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087BB276"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7A620F">
        <w:rPr>
          <w:rFonts w:ascii="Arial" w:hAnsi="Arial" w:cs="Arial"/>
          <w:b/>
          <w:bCs/>
          <w:sz w:val="22"/>
          <w:szCs w:val="22"/>
        </w:rPr>
        <w:t>14</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7A620F" w:rsidRPr="007A620F">
        <w:t xml:space="preserve"> </w:t>
      </w:r>
      <w:r w:rsidR="00DA4C61" w:rsidRPr="00DA4C61">
        <w:rPr>
          <w:rFonts w:ascii="Arial" w:hAnsi="Arial" w:cs="Arial"/>
          <w:b/>
          <w:bCs/>
          <w:sz w:val="22"/>
          <w:szCs w:val="22"/>
        </w:rPr>
        <w:t>3618</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E821F1"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070073B9"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DA4C61">
        <w:rPr>
          <w:rFonts w:ascii="Arial" w:hAnsi="Arial" w:cs="Arial"/>
          <w:sz w:val="22"/>
          <w:szCs w:val="22"/>
        </w:rPr>
        <w:t xml:space="preserve">  </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DA4C61" w:rsidRPr="00DA4C61">
            <w:rPr>
              <w:rFonts w:ascii="Arial" w:hAnsi="Arial" w:cs="Arial"/>
              <w:b/>
              <w:iCs/>
              <w:sz w:val="22"/>
              <w:szCs w:val="22"/>
            </w:rPr>
            <w:t xml:space="preserve">MB </w:t>
          </w:r>
          <w:r w:rsidR="00F802CF">
            <w:rPr>
              <w:rFonts w:ascii="Arial" w:hAnsi="Arial" w:cs="Arial"/>
              <w:b/>
              <w:iCs/>
              <w:sz w:val="22"/>
              <w:szCs w:val="22"/>
            </w:rPr>
            <w:t>„</w:t>
          </w:r>
          <w:proofErr w:type="spellStart"/>
          <w:r w:rsidR="00DA4C61" w:rsidRPr="00DA4C61">
            <w:rPr>
              <w:rFonts w:ascii="Arial" w:hAnsi="Arial" w:cs="Arial"/>
              <w:b/>
              <w:iCs/>
              <w:sz w:val="22"/>
              <w:szCs w:val="22"/>
            </w:rPr>
            <w:t>Woodirana</w:t>
          </w:r>
          <w:proofErr w:type="spellEnd"/>
          <w:r w:rsidR="00F802CF">
            <w:rPr>
              <w:rFonts w:ascii="Arial" w:hAnsi="Arial" w:cs="Arial"/>
              <w:b/>
              <w:iCs/>
              <w:sz w:val="22"/>
              <w:szCs w:val="22"/>
            </w:rPr>
            <w:t>“</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DA4C61" w:rsidRPr="00DA4C61">
            <w:rPr>
              <w:rFonts w:ascii="Arial" w:hAnsi="Arial" w:cs="Arial"/>
              <w:sz w:val="22"/>
              <w:szCs w:val="22"/>
            </w:rPr>
            <w:t>įmonės direktorius Aivaras Gružauskas</w:t>
          </w:r>
        </w:sdtContent>
      </w:sdt>
      <w:r w:rsidR="00F74D42" w:rsidRPr="00BE6295">
        <w:rPr>
          <w:rFonts w:ascii="Arial" w:hAnsi="Arial" w:cs="Arial"/>
          <w:sz w:val="22"/>
          <w:szCs w:val="22"/>
        </w:rPr>
        <w:t>, veikianti</w:t>
      </w:r>
      <w:r w:rsidR="00B36359">
        <w:rPr>
          <w:rFonts w:ascii="Arial" w:hAnsi="Arial" w:cs="Arial"/>
          <w:sz w:val="22"/>
          <w:szCs w:val="22"/>
        </w:rPr>
        <w:t>s</w:t>
      </w:r>
      <w:r w:rsidR="00F74D42" w:rsidRPr="00BE6295">
        <w:rPr>
          <w:rFonts w:ascii="Arial" w:hAnsi="Arial" w:cs="Arial"/>
          <w:sz w:val="22"/>
          <w:szCs w:val="22"/>
        </w:rPr>
        <w:t xml:space="preserve">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0F112652"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A620F">
            <w:rPr>
              <w:rFonts w:ascii="Arial" w:eastAsia="Calibri" w:hAnsi="Arial" w:cs="Arial"/>
              <w:b/>
            </w:rPr>
            <w:t>4</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7A620F" w:rsidRPr="007A620F">
            <w:rPr>
              <w:rFonts w:ascii="Arial" w:eastAsia="Calibri" w:hAnsi="Arial" w:cs="Arial"/>
              <w:b/>
            </w:rPr>
            <w:t>52-VP-361</w:t>
          </w:r>
          <w:r w:rsidR="00DA4C61">
            <w:rPr>
              <w:rFonts w:ascii="Arial" w:eastAsia="Calibri" w:hAnsi="Arial" w:cs="Arial"/>
              <w:b/>
            </w:rPr>
            <w:t>8</w:t>
          </w:r>
          <w:r w:rsidR="007A620F" w:rsidRPr="007A620F">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E821F1"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31DA8C68" w:rsidR="00487A7B" w:rsidRPr="00487A7B" w:rsidRDefault="00E821F1"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635357" w:rsidRPr="0095554E" w14:paraId="076EFA27" w14:textId="77777777" w:rsidTr="00C150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635357" w:rsidRPr="0095554E" w:rsidRDefault="00635357" w:rsidP="00635357">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7777777" w:rsidR="00635357" w:rsidRPr="0095554E" w:rsidRDefault="00635357" w:rsidP="00635357">
            <w:pPr>
              <w:autoSpaceDN/>
              <w:jc w:val="both"/>
              <w:textAlignment w:val="auto"/>
              <w:rPr>
                <w:rFonts w:ascii="Arial" w:eastAsia="Times New Roman" w:hAnsi="Arial" w:cs="Arial"/>
              </w:rPr>
            </w:pPr>
            <w:r w:rsidRPr="0095554E">
              <w:rPr>
                <w:rFonts w:ascii="Arial" w:eastAsia="Calibri" w:hAnsi="Arial" w:cs="Arial"/>
              </w:rPr>
              <w:t xml:space="preserve">Miško želdinių ir </w:t>
            </w:r>
            <w:proofErr w:type="spellStart"/>
            <w:r w:rsidRPr="0095554E">
              <w:rPr>
                <w:rFonts w:ascii="Arial" w:eastAsia="Calibri" w:hAnsi="Arial" w:cs="Arial"/>
              </w:rPr>
              <w:t>žėlinių</w:t>
            </w:r>
            <w:proofErr w:type="spellEnd"/>
            <w:r w:rsidRPr="0095554E">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635357" w:rsidRPr="0095554E" w:rsidRDefault="00635357" w:rsidP="00635357">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28DC45FC" w:rsidR="00635357" w:rsidRPr="00635357" w:rsidRDefault="00635357" w:rsidP="00635357">
            <w:pPr>
              <w:autoSpaceDN/>
              <w:spacing w:before="100" w:beforeAutospacing="1" w:after="100" w:afterAutospacing="1"/>
              <w:jc w:val="center"/>
              <w:textAlignment w:val="auto"/>
              <w:rPr>
                <w:rFonts w:ascii="Arial" w:eastAsia="Times New Roman" w:hAnsi="Arial" w:cs="Arial"/>
              </w:rPr>
            </w:pPr>
            <w:r w:rsidRPr="00635357">
              <w:rPr>
                <w:rFonts w:ascii="Arial" w:hAnsi="Arial" w:cs="Arial"/>
                <w:color w:val="000000"/>
              </w:rPr>
              <w:t>219,</w:t>
            </w:r>
            <w:r w:rsidR="00EB7A88">
              <w:rPr>
                <w:rFonts w:ascii="Arial" w:hAnsi="Arial" w:cs="Arial"/>
                <w:color w:val="000000"/>
              </w:rPr>
              <w:t>72</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1FF7D469" w:rsidR="00635357" w:rsidRPr="005A6F0C" w:rsidRDefault="00635357" w:rsidP="00635357">
            <w:pPr>
              <w:autoSpaceDN/>
              <w:spacing w:before="100" w:beforeAutospacing="1" w:after="100" w:afterAutospacing="1"/>
              <w:jc w:val="center"/>
              <w:textAlignment w:val="auto"/>
              <w:rPr>
                <w:rFonts w:ascii="Arial" w:eastAsia="Times New Roman" w:hAnsi="Arial" w:cs="Arial"/>
              </w:rPr>
            </w:pPr>
          </w:p>
        </w:tc>
      </w:tr>
      <w:tr w:rsidR="00635357" w:rsidRPr="0095554E" w14:paraId="723D22DB" w14:textId="77777777" w:rsidTr="008D0A08">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635357" w:rsidRPr="0095554E" w:rsidRDefault="00635357" w:rsidP="00635357">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E579C2B" w14:textId="77777777" w:rsidR="00635357" w:rsidRPr="0095554E" w:rsidRDefault="00635357" w:rsidP="00635357">
            <w:pPr>
              <w:autoSpaceDN/>
              <w:jc w:val="both"/>
              <w:textAlignment w:val="auto"/>
              <w:rPr>
                <w:rFonts w:ascii="Arial" w:eastAsia="Times New Roman" w:hAnsi="Arial" w:cs="Arial"/>
              </w:rPr>
            </w:pPr>
            <w:r w:rsidRPr="0095554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77777777" w:rsidR="00635357" w:rsidRPr="0095554E" w:rsidRDefault="00635357" w:rsidP="00635357">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3E9F6A72" w:rsidR="00635357" w:rsidRPr="00635357" w:rsidRDefault="00635357" w:rsidP="00635357">
            <w:pPr>
              <w:autoSpaceDN/>
              <w:spacing w:before="100" w:beforeAutospacing="1" w:after="100" w:afterAutospacing="1"/>
              <w:jc w:val="center"/>
              <w:textAlignment w:val="auto"/>
              <w:rPr>
                <w:rFonts w:ascii="Arial" w:eastAsia="Times New Roman" w:hAnsi="Arial" w:cs="Arial"/>
              </w:rPr>
            </w:pPr>
            <w:r w:rsidRPr="00635357">
              <w:rPr>
                <w:rFonts w:ascii="Arial" w:hAnsi="Arial" w:cs="Arial"/>
                <w:color w:val="000000"/>
              </w:rPr>
              <w:t>245,</w:t>
            </w:r>
            <w:r w:rsidR="00EB7A88">
              <w:rPr>
                <w:rFonts w:ascii="Arial" w:hAnsi="Arial" w:cs="Arial"/>
                <w:color w:val="000000"/>
              </w:rPr>
              <w:t>34</w:t>
            </w:r>
          </w:p>
        </w:tc>
        <w:tc>
          <w:tcPr>
            <w:tcW w:w="1984" w:type="dxa"/>
            <w:tcBorders>
              <w:top w:val="nil"/>
              <w:left w:val="nil"/>
              <w:bottom w:val="single" w:sz="4" w:space="0" w:color="auto"/>
              <w:right w:val="single" w:sz="4" w:space="0" w:color="auto"/>
            </w:tcBorders>
            <w:shd w:val="clear" w:color="auto" w:fill="auto"/>
            <w:vAlign w:val="center"/>
          </w:tcPr>
          <w:p w14:paraId="21E1E5E4" w14:textId="69BECFEC" w:rsidR="00635357" w:rsidRPr="005A6F0C" w:rsidRDefault="00635357" w:rsidP="00635357">
            <w:pPr>
              <w:autoSpaceDN/>
              <w:spacing w:before="100" w:beforeAutospacing="1" w:after="100" w:afterAutospacing="1"/>
              <w:jc w:val="center"/>
              <w:textAlignment w:val="auto"/>
              <w:rPr>
                <w:rFonts w:ascii="Arial" w:eastAsia="Times New Roman" w:hAnsi="Arial" w:cs="Arial"/>
              </w:rPr>
            </w:pPr>
          </w:p>
        </w:tc>
      </w:tr>
      <w:tr w:rsidR="00635357" w:rsidRPr="0095554E" w14:paraId="288AC457" w14:textId="77777777" w:rsidTr="003C4924">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9B7E1C3" w14:textId="4BA36755" w:rsidR="00635357" w:rsidRPr="0095554E" w:rsidRDefault="00635357" w:rsidP="00635357">
            <w:pPr>
              <w:autoSpaceDN/>
              <w:ind w:right="-102"/>
              <w:jc w:val="center"/>
              <w:textAlignment w:val="auto"/>
              <w:rPr>
                <w:rFonts w:ascii="Arial" w:eastAsia="Times New Roman" w:hAnsi="Arial" w:cs="Arial"/>
              </w:rPr>
            </w:pPr>
            <w:r>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tcPr>
          <w:p w14:paraId="3E5CBBE6" w14:textId="16B7F27C" w:rsidR="00635357" w:rsidRPr="0095554E" w:rsidRDefault="00635357" w:rsidP="00635357">
            <w:pPr>
              <w:autoSpaceDN/>
              <w:jc w:val="both"/>
              <w:textAlignment w:val="auto"/>
              <w:rPr>
                <w:rFonts w:ascii="Arial" w:eastAsia="Times New Roman" w:hAnsi="Arial" w:cs="Arial"/>
                <w:lang w:eastAsia="lt-LT"/>
              </w:rPr>
            </w:pPr>
            <w:proofErr w:type="spellStart"/>
            <w:r w:rsidRPr="00E67E9B">
              <w:rPr>
                <w:rFonts w:ascii="Arial" w:eastAsia="Times New Roman" w:hAnsi="Arial" w:cs="Arial"/>
                <w:lang w:eastAsia="lt-LT"/>
              </w:rPr>
              <w:t>Kvartalinių</w:t>
            </w:r>
            <w:proofErr w:type="spellEnd"/>
            <w:r w:rsidRPr="00E67E9B">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06A13A07" w14:textId="48128E29" w:rsidR="00635357" w:rsidRPr="0095554E" w:rsidRDefault="00635357" w:rsidP="00635357">
            <w:pPr>
              <w:autoSpaceDN/>
              <w:jc w:val="center"/>
              <w:textAlignment w:val="auto"/>
              <w:rPr>
                <w:rFonts w:ascii="Arial" w:eastAsia="Times New Roman" w:hAnsi="Arial" w:cs="Arial"/>
              </w:rPr>
            </w:pPr>
            <w:r w:rsidRPr="00E67E9B">
              <w:rPr>
                <w:rFonts w:ascii="Arial" w:eastAsia="Times New Roman" w:hAnsi="Arial" w:cs="Arial"/>
              </w:rPr>
              <w:t>Eur/km</w:t>
            </w:r>
          </w:p>
        </w:tc>
        <w:tc>
          <w:tcPr>
            <w:tcW w:w="2002" w:type="dxa"/>
            <w:tcBorders>
              <w:top w:val="nil"/>
              <w:left w:val="single" w:sz="4" w:space="0" w:color="auto"/>
              <w:bottom w:val="single" w:sz="4" w:space="0" w:color="auto"/>
              <w:right w:val="single" w:sz="4" w:space="0" w:color="auto"/>
            </w:tcBorders>
            <w:shd w:val="clear" w:color="auto" w:fill="auto"/>
            <w:vAlign w:val="center"/>
          </w:tcPr>
          <w:p w14:paraId="723BDF5A" w14:textId="596F35B0" w:rsidR="00635357" w:rsidRPr="00635357" w:rsidRDefault="00635357" w:rsidP="00635357">
            <w:pPr>
              <w:autoSpaceDN/>
              <w:spacing w:before="100" w:beforeAutospacing="1" w:after="100"/>
              <w:jc w:val="center"/>
              <w:textAlignment w:val="auto"/>
              <w:rPr>
                <w:rFonts w:ascii="Arial" w:hAnsi="Arial" w:cs="Arial"/>
              </w:rPr>
            </w:pPr>
            <w:r w:rsidRPr="00635357">
              <w:rPr>
                <w:rFonts w:ascii="Arial" w:hAnsi="Arial" w:cs="Arial"/>
                <w:color w:val="000000"/>
              </w:rPr>
              <w:t>123,1</w:t>
            </w:r>
            <w:r w:rsidR="00EB7A88">
              <w:rPr>
                <w:rFonts w:ascii="Arial" w:hAnsi="Arial" w:cs="Arial"/>
                <w:color w:val="000000"/>
              </w:rPr>
              <w:t>6</w:t>
            </w:r>
          </w:p>
        </w:tc>
        <w:tc>
          <w:tcPr>
            <w:tcW w:w="1984" w:type="dxa"/>
            <w:tcBorders>
              <w:top w:val="nil"/>
              <w:left w:val="nil"/>
              <w:bottom w:val="single" w:sz="4" w:space="0" w:color="auto"/>
              <w:right w:val="single" w:sz="4" w:space="0" w:color="auto"/>
            </w:tcBorders>
            <w:shd w:val="clear" w:color="auto" w:fill="auto"/>
            <w:vAlign w:val="center"/>
          </w:tcPr>
          <w:p w14:paraId="7DF48477" w14:textId="7F904BB1" w:rsidR="00635357" w:rsidRPr="005A6F0C" w:rsidRDefault="00635357" w:rsidP="00635357">
            <w:pPr>
              <w:autoSpaceDN/>
              <w:spacing w:before="100" w:beforeAutospacing="1" w:after="100"/>
              <w:jc w:val="center"/>
              <w:textAlignment w:val="auto"/>
              <w:rPr>
                <w:rFonts w:ascii="Arial" w:hAnsi="Arial" w:cs="Arial"/>
              </w:rPr>
            </w:pP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21F3B26A"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4AA06B8D"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74267589">
    <w:abstractNumId w:val="0"/>
  </w:num>
  <w:num w:numId="2" w16cid:durableId="2641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4D72"/>
    <w:rsid w:val="0012607D"/>
    <w:rsid w:val="00131714"/>
    <w:rsid w:val="001504ED"/>
    <w:rsid w:val="00150711"/>
    <w:rsid w:val="001515A8"/>
    <w:rsid w:val="0017793B"/>
    <w:rsid w:val="00186610"/>
    <w:rsid w:val="001C5503"/>
    <w:rsid w:val="001E0C58"/>
    <w:rsid w:val="001E255A"/>
    <w:rsid w:val="001F6DE6"/>
    <w:rsid w:val="00217B8A"/>
    <w:rsid w:val="00233306"/>
    <w:rsid w:val="00251517"/>
    <w:rsid w:val="00297DAD"/>
    <w:rsid w:val="002B6E9E"/>
    <w:rsid w:val="002C5991"/>
    <w:rsid w:val="002F0C88"/>
    <w:rsid w:val="003201B8"/>
    <w:rsid w:val="00331CB4"/>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4F5B71"/>
    <w:rsid w:val="00571CDD"/>
    <w:rsid w:val="0057221B"/>
    <w:rsid w:val="00576C42"/>
    <w:rsid w:val="005A6F0C"/>
    <w:rsid w:val="005C1E6F"/>
    <w:rsid w:val="005D07BE"/>
    <w:rsid w:val="005F3C11"/>
    <w:rsid w:val="00601678"/>
    <w:rsid w:val="00612F12"/>
    <w:rsid w:val="0061621D"/>
    <w:rsid w:val="006322A6"/>
    <w:rsid w:val="00635357"/>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A620F"/>
    <w:rsid w:val="007C1ACC"/>
    <w:rsid w:val="007E2878"/>
    <w:rsid w:val="0080184A"/>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33CD8"/>
    <w:rsid w:val="009402ED"/>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210B9"/>
    <w:rsid w:val="00B36359"/>
    <w:rsid w:val="00B373FF"/>
    <w:rsid w:val="00B423C9"/>
    <w:rsid w:val="00B56968"/>
    <w:rsid w:val="00B62FF1"/>
    <w:rsid w:val="00B63296"/>
    <w:rsid w:val="00B647B3"/>
    <w:rsid w:val="00B932B9"/>
    <w:rsid w:val="00B97086"/>
    <w:rsid w:val="00B97BA1"/>
    <w:rsid w:val="00B97FF6"/>
    <w:rsid w:val="00BA2166"/>
    <w:rsid w:val="00BA5FE0"/>
    <w:rsid w:val="00BB2B53"/>
    <w:rsid w:val="00BE229F"/>
    <w:rsid w:val="00BE22A4"/>
    <w:rsid w:val="00BE6295"/>
    <w:rsid w:val="00BF6828"/>
    <w:rsid w:val="00C007B2"/>
    <w:rsid w:val="00C0494B"/>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4C61"/>
    <w:rsid w:val="00DA5BA1"/>
    <w:rsid w:val="00DC7040"/>
    <w:rsid w:val="00DD1810"/>
    <w:rsid w:val="00DD3225"/>
    <w:rsid w:val="00DE3A84"/>
    <w:rsid w:val="00DE630C"/>
    <w:rsid w:val="00E219EF"/>
    <w:rsid w:val="00E302AC"/>
    <w:rsid w:val="00E67E9B"/>
    <w:rsid w:val="00E737E1"/>
    <w:rsid w:val="00E821F1"/>
    <w:rsid w:val="00E871EB"/>
    <w:rsid w:val="00E96416"/>
    <w:rsid w:val="00EB53F1"/>
    <w:rsid w:val="00EB7A88"/>
    <w:rsid w:val="00EC105D"/>
    <w:rsid w:val="00EF306A"/>
    <w:rsid w:val="00F04C51"/>
    <w:rsid w:val="00F05734"/>
    <w:rsid w:val="00F26F49"/>
    <w:rsid w:val="00F311AF"/>
    <w:rsid w:val="00F74D42"/>
    <w:rsid w:val="00F802CF"/>
    <w:rsid w:val="00F825D8"/>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C94D12"/>
    <w:rsid w:val="00C969E5"/>
    <w:rsid w:val="00D534D8"/>
    <w:rsid w:val="00DC042D"/>
    <w:rsid w:val="00E24634"/>
    <w:rsid w:val="00E302AC"/>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638</Words>
  <Characters>3638</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110</cp:revision>
  <cp:lastPrinted>2022-07-15T06:48:00Z</cp:lastPrinted>
  <dcterms:created xsi:type="dcterms:W3CDTF">2020-12-29T16:57:00Z</dcterms:created>
  <dcterms:modified xsi:type="dcterms:W3CDTF">2025-07-23T06:36:00Z</dcterms:modified>
</cp:coreProperties>
</file>