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F41C" w14:textId="21CF7AF5" w:rsidR="00AD5C29" w:rsidRPr="00AD5C29" w:rsidRDefault="00AD5C29" w:rsidP="00AD5C29">
      <w:pPr>
        <w:keepNext/>
        <w:keepLines/>
        <w:widowControl/>
        <w:autoSpaceDE/>
        <w:autoSpaceDN/>
        <w:adjustRightInd/>
        <w:ind w:firstLine="0"/>
        <w:jc w:val="right"/>
        <w:outlineLvl w:val="0"/>
        <w:rPr>
          <w:rFonts w:ascii="Calibri" w:eastAsiaTheme="majorEastAsia" w:hAnsi="Calibri" w:cs="Calibri"/>
          <w:color w:val="0F4761" w:themeColor="accent1" w:themeShade="BF"/>
          <w:sz w:val="22"/>
          <w:szCs w:val="22"/>
        </w:rPr>
      </w:pPr>
      <w:r>
        <w:rPr>
          <w:rFonts w:ascii="Calibri" w:eastAsiaTheme="majorEastAsia" w:hAnsi="Calibri" w:cs="Calibri"/>
          <w:color w:val="0070C0"/>
          <w:sz w:val="22"/>
          <w:szCs w:val="22"/>
        </w:rPr>
        <w:t>Sutarties 1 priedas</w:t>
      </w:r>
    </w:p>
    <w:p w14:paraId="117084F4" w14:textId="77777777" w:rsidR="00DC2604" w:rsidRDefault="00DC2604" w:rsidP="00AD5C29">
      <w:pPr>
        <w:tabs>
          <w:tab w:val="left" w:pos="3192"/>
          <w:tab w:val="right" w:leader="underscore" w:pos="8640"/>
        </w:tabs>
        <w:ind w:left="5103" w:hanging="5103"/>
        <w:rPr>
          <w:rFonts w:ascii="Times New Roman" w:hAnsi="Times New Roman" w:cs="Times New Roman"/>
          <w:b/>
          <w:sz w:val="24"/>
        </w:rPr>
      </w:pPr>
    </w:p>
    <w:p w14:paraId="34E1F7E7" w14:textId="77777777" w:rsidR="00AD5C29" w:rsidRDefault="00AD5C29" w:rsidP="00AD5C29">
      <w:pPr>
        <w:tabs>
          <w:tab w:val="left" w:pos="3192"/>
          <w:tab w:val="right" w:leader="underscore" w:pos="8640"/>
        </w:tabs>
        <w:ind w:left="5103" w:hanging="5103"/>
        <w:rPr>
          <w:rFonts w:ascii="Times New Roman" w:hAnsi="Times New Roman" w:cs="Times New Roman"/>
          <w:b/>
          <w:sz w:val="24"/>
        </w:rPr>
      </w:pPr>
    </w:p>
    <w:p w14:paraId="6D545CAA" w14:textId="37AA0AE3" w:rsidR="00C20251" w:rsidRPr="00913D45" w:rsidRDefault="00C20251" w:rsidP="00AD5C29">
      <w:pPr>
        <w:tabs>
          <w:tab w:val="left" w:pos="3192"/>
        </w:tabs>
        <w:ind w:left="5103" w:right="707" w:hanging="5103"/>
        <w:jc w:val="center"/>
        <w:rPr>
          <w:rFonts w:ascii="Times New Roman" w:hAnsi="Times New Roman" w:cs="Times New Roman"/>
          <w:b/>
          <w:sz w:val="24"/>
        </w:rPr>
      </w:pPr>
      <w:r w:rsidRPr="00913D45">
        <w:rPr>
          <w:rFonts w:ascii="Times New Roman" w:hAnsi="Times New Roman" w:cs="Times New Roman"/>
          <w:b/>
          <w:sz w:val="24"/>
        </w:rPr>
        <w:t>TECHNINĖ SPECIFIKACIJA</w:t>
      </w:r>
    </w:p>
    <w:p w14:paraId="5873C810" w14:textId="77777777" w:rsidR="00C20251" w:rsidRPr="001832F6" w:rsidRDefault="00C20251" w:rsidP="00D579F8">
      <w:pPr>
        <w:widowControl/>
        <w:autoSpaceDE/>
        <w:autoSpaceDN/>
        <w:adjustRightInd/>
        <w:ind w:firstLine="0"/>
        <w:rPr>
          <w:rFonts w:ascii="Times New Roman" w:hAnsi="Times New Roman" w:cs="Times New Roman"/>
          <w:sz w:val="24"/>
        </w:rPr>
      </w:pPr>
    </w:p>
    <w:p w14:paraId="5A65AEA5" w14:textId="62208813" w:rsidR="00C20251" w:rsidRPr="001832F6" w:rsidRDefault="00C20251" w:rsidP="00AD5C29">
      <w:pPr>
        <w:pStyle w:val="ListParagraph"/>
        <w:widowControl/>
        <w:numPr>
          <w:ilvl w:val="0"/>
          <w:numId w:val="1"/>
        </w:numPr>
        <w:autoSpaceDE/>
        <w:autoSpaceDN/>
        <w:adjustRightInd/>
        <w:ind w:left="0" w:firstLine="851"/>
        <w:contextualSpacing w:val="0"/>
        <w:jc w:val="both"/>
        <w:rPr>
          <w:rFonts w:ascii="Times New Roman" w:hAnsi="Times New Roman"/>
          <w:sz w:val="24"/>
        </w:rPr>
      </w:pPr>
      <w:r w:rsidRPr="001832F6">
        <w:rPr>
          <w:rFonts w:ascii="Times New Roman" w:hAnsi="Times New Roman"/>
          <w:sz w:val="24"/>
        </w:rPr>
        <w:t>V</w:t>
      </w:r>
      <w:r w:rsidR="683DE63E" w:rsidRPr="001832F6">
        <w:rPr>
          <w:rFonts w:ascii="Times New Roman" w:hAnsi="Times New Roman"/>
          <w:sz w:val="24"/>
        </w:rPr>
        <w:t>iešoji įstaiga</w:t>
      </w:r>
      <w:r w:rsidRPr="001832F6">
        <w:rPr>
          <w:rFonts w:ascii="Times New Roman" w:hAnsi="Times New Roman"/>
          <w:sz w:val="24"/>
        </w:rPr>
        <w:t xml:space="preserve"> Centrinė projektų valdymo agentūra (toliau – CPVA) planuoja įsigyti </w:t>
      </w:r>
      <w:r w:rsidRPr="001832F6">
        <w:rPr>
          <w:rFonts w:ascii="Times New Roman" w:hAnsi="Times New Roman"/>
          <w:color w:val="000000" w:themeColor="text1"/>
          <w:sz w:val="24"/>
        </w:rPr>
        <w:t xml:space="preserve">atsiskaitomųjų banko sąskaitų atidarymo ir administravimo </w:t>
      </w:r>
      <w:r w:rsidRPr="001832F6">
        <w:rPr>
          <w:rFonts w:ascii="Times New Roman" w:hAnsi="Times New Roman"/>
          <w:sz w:val="24"/>
        </w:rPr>
        <w:t>bei internetinės bankininkystės paslaugas (toliau – Paslaugos), kurios apima:</w:t>
      </w:r>
    </w:p>
    <w:p w14:paraId="09E9E8A8" w14:textId="4FDFD449" w:rsidR="00C20251" w:rsidRPr="001832F6" w:rsidRDefault="00C20251" w:rsidP="00AD5C29">
      <w:pPr>
        <w:pStyle w:val="ListParagraph"/>
        <w:widowControl/>
        <w:numPr>
          <w:ilvl w:val="1"/>
          <w:numId w:val="1"/>
        </w:numPr>
        <w:autoSpaceDE/>
        <w:autoSpaceDN/>
        <w:adjustRightInd/>
        <w:ind w:left="0" w:firstLine="851"/>
        <w:jc w:val="both"/>
        <w:rPr>
          <w:rFonts w:ascii="Times New Roman" w:hAnsi="Times New Roman"/>
          <w:sz w:val="24"/>
        </w:rPr>
      </w:pPr>
      <w:r w:rsidRPr="001832F6">
        <w:rPr>
          <w:rFonts w:ascii="Times New Roman" w:hAnsi="Times New Roman"/>
          <w:sz w:val="24"/>
        </w:rPr>
        <w:t xml:space="preserve"> </w:t>
      </w:r>
      <w:r w:rsidR="005B7123">
        <w:rPr>
          <w:rFonts w:ascii="Times New Roman" w:hAnsi="Times New Roman"/>
          <w:sz w:val="24"/>
        </w:rPr>
        <w:t>26</w:t>
      </w:r>
      <w:r w:rsidR="005B7123" w:rsidRPr="001832F6">
        <w:rPr>
          <w:rFonts w:ascii="Times New Roman" w:hAnsi="Times New Roman"/>
          <w:sz w:val="24"/>
        </w:rPr>
        <w:t xml:space="preserve"> </w:t>
      </w:r>
      <w:r w:rsidRPr="001832F6">
        <w:rPr>
          <w:rFonts w:ascii="Times New Roman" w:hAnsi="Times New Roman"/>
          <w:sz w:val="24"/>
        </w:rPr>
        <w:t xml:space="preserve">banko sąskaitų </w:t>
      </w:r>
      <w:r w:rsidR="00150671" w:rsidRPr="001832F6">
        <w:rPr>
          <w:rFonts w:ascii="Times New Roman" w:hAnsi="Times New Roman"/>
          <w:sz w:val="24"/>
        </w:rPr>
        <w:t>administravimą,</w:t>
      </w:r>
      <w:r w:rsidRPr="001832F6">
        <w:rPr>
          <w:rFonts w:ascii="Times New Roman" w:hAnsi="Times New Roman"/>
          <w:sz w:val="24"/>
        </w:rPr>
        <w:t xml:space="preserve"> taip pat papildomų sąskaitų (esant poreikiui) atidarymą ne ilgesniam kaip Sutarties galiojimo laikotarpiui;</w:t>
      </w:r>
    </w:p>
    <w:p w14:paraId="6D8F1A0B" w14:textId="77777777" w:rsidR="00C20251" w:rsidRPr="001832F6" w:rsidRDefault="00C20251" w:rsidP="00AD5C29">
      <w:pPr>
        <w:pStyle w:val="ListParagraph"/>
        <w:widowControl/>
        <w:numPr>
          <w:ilvl w:val="1"/>
          <w:numId w:val="1"/>
        </w:numPr>
        <w:autoSpaceDE/>
        <w:autoSpaceDN/>
        <w:adjustRightInd/>
        <w:ind w:left="0" w:firstLine="851"/>
        <w:jc w:val="both"/>
        <w:rPr>
          <w:rFonts w:ascii="Times New Roman" w:hAnsi="Times New Roman"/>
          <w:sz w:val="24"/>
        </w:rPr>
      </w:pPr>
      <w:r w:rsidRPr="001832F6">
        <w:rPr>
          <w:rFonts w:ascii="Times New Roman" w:hAnsi="Times New Roman"/>
          <w:sz w:val="24"/>
        </w:rPr>
        <w:t xml:space="preserve"> CPVA lėšų priėmimą ir įskaitymą į atidarytas sąskaitas, </w:t>
      </w:r>
    </w:p>
    <w:p w14:paraId="25E70DDC" w14:textId="77777777" w:rsidR="00C20251" w:rsidRPr="001832F6" w:rsidRDefault="00C20251" w:rsidP="00AD5C29">
      <w:pPr>
        <w:pStyle w:val="ListParagraph"/>
        <w:widowControl/>
        <w:numPr>
          <w:ilvl w:val="1"/>
          <w:numId w:val="1"/>
        </w:numPr>
        <w:tabs>
          <w:tab w:val="left" w:pos="0"/>
        </w:tabs>
        <w:autoSpaceDE/>
        <w:autoSpaceDN/>
        <w:adjustRightInd/>
        <w:ind w:left="0" w:firstLine="851"/>
        <w:jc w:val="both"/>
        <w:rPr>
          <w:rFonts w:ascii="Times New Roman" w:hAnsi="Times New Roman"/>
          <w:sz w:val="24"/>
        </w:rPr>
      </w:pPr>
      <w:r w:rsidRPr="001832F6">
        <w:rPr>
          <w:rFonts w:ascii="Times New Roman" w:hAnsi="Times New Roman"/>
          <w:sz w:val="24"/>
        </w:rPr>
        <w:t xml:space="preserve"> CPVA nurodymų dėl lėšų pervedimo ir išmokėjimo iš banko sąskaitų vykdymą, kitų operacijų atlikimą;</w:t>
      </w:r>
    </w:p>
    <w:p w14:paraId="2C0B801F" w14:textId="7BA9FE63" w:rsidR="00C20251" w:rsidRPr="001832F6" w:rsidRDefault="00C20251" w:rsidP="00AD5C29">
      <w:pPr>
        <w:pStyle w:val="ListParagraph"/>
        <w:widowControl/>
        <w:numPr>
          <w:ilvl w:val="1"/>
          <w:numId w:val="1"/>
        </w:numPr>
        <w:tabs>
          <w:tab w:val="left" w:pos="0"/>
        </w:tabs>
        <w:autoSpaceDE/>
        <w:autoSpaceDN/>
        <w:adjustRightInd/>
        <w:ind w:left="0" w:firstLine="851"/>
        <w:jc w:val="both"/>
        <w:rPr>
          <w:rFonts w:ascii="Times New Roman" w:hAnsi="Times New Roman"/>
          <w:sz w:val="24"/>
        </w:rPr>
      </w:pPr>
      <w:r w:rsidRPr="001832F6">
        <w:rPr>
          <w:rFonts w:ascii="Times New Roman" w:hAnsi="Times New Roman"/>
          <w:sz w:val="24"/>
        </w:rPr>
        <w:t xml:space="preserve"> konsultacijų CPVA sąskaitų tvarkymo, internetinės bankininkystės klausimais teikimą ir pan.</w:t>
      </w:r>
      <w:r w:rsidR="00876353">
        <w:rPr>
          <w:rFonts w:ascii="Times New Roman" w:hAnsi="Times New Roman"/>
          <w:sz w:val="24"/>
        </w:rPr>
        <w:t xml:space="preserve"> </w:t>
      </w:r>
      <w:r w:rsidR="00C721D7">
        <w:rPr>
          <w:rFonts w:ascii="Times New Roman" w:hAnsi="Times New Roman"/>
          <w:sz w:val="24"/>
        </w:rPr>
        <w:t>d</w:t>
      </w:r>
      <w:r w:rsidR="00B54C87">
        <w:rPr>
          <w:rFonts w:ascii="Times New Roman" w:hAnsi="Times New Roman"/>
          <w:sz w:val="24"/>
        </w:rPr>
        <w:t xml:space="preserve">arbo valandomis, darbo dienomis, </w:t>
      </w:r>
      <w:r w:rsidR="00E838C6">
        <w:rPr>
          <w:rFonts w:ascii="Times New Roman" w:hAnsi="Times New Roman"/>
          <w:sz w:val="24"/>
        </w:rPr>
        <w:t>lietuvių ir anglų kalbomis.</w:t>
      </w:r>
    </w:p>
    <w:p w14:paraId="3B63AD47" w14:textId="7C7B0E3B" w:rsidR="009F31C9" w:rsidRDefault="009F31C9" w:rsidP="00AD5C29">
      <w:pPr>
        <w:pStyle w:val="ListParagraph"/>
        <w:widowControl/>
        <w:numPr>
          <w:ilvl w:val="1"/>
          <w:numId w:val="1"/>
        </w:numPr>
        <w:tabs>
          <w:tab w:val="left" w:pos="0"/>
        </w:tabs>
        <w:autoSpaceDE/>
        <w:autoSpaceDN/>
        <w:adjustRightInd/>
        <w:ind w:left="0" w:firstLine="851"/>
        <w:jc w:val="both"/>
        <w:rPr>
          <w:rFonts w:ascii="Times New Roman" w:hAnsi="Times New Roman"/>
          <w:sz w:val="24"/>
        </w:rPr>
      </w:pPr>
      <w:r w:rsidRPr="001832F6">
        <w:rPr>
          <w:rFonts w:ascii="Times New Roman" w:hAnsi="Times New Roman"/>
          <w:sz w:val="24"/>
        </w:rPr>
        <w:t>Pasirašomos sutarties trukmė 36 mėn. arba iki kol bus išpirkta maksimali sutarties vertė (priklausomai kas nutinka anksčiau).</w:t>
      </w:r>
    </w:p>
    <w:p w14:paraId="22E998AE" w14:textId="2A5F81F6" w:rsidR="00466A1D" w:rsidRDefault="00B94368" w:rsidP="00AD5C29">
      <w:pPr>
        <w:pStyle w:val="ListParagraph"/>
        <w:widowControl/>
        <w:numPr>
          <w:ilvl w:val="1"/>
          <w:numId w:val="1"/>
        </w:numPr>
        <w:tabs>
          <w:tab w:val="left" w:pos="0"/>
        </w:tabs>
        <w:autoSpaceDE/>
        <w:autoSpaceDN/>
        <w:adjustRightInd/>
        <w:ind w:left="0" w:firstLine="851"/>
        <w:jc w:val="both"/>
        <w:rPr>
          <w:rFonts w:ascii="Times New Roman" w:hAnsi="Times New Roman"/>
          <w:sz w:val="24"/>
        </w:rPr>
      </w:pPr>
      <w:r>
        <w:rPr>
          <w:rFonts w:ascii="Times New Roman" w:hAnsi="Times New Roman"/>
          <w:sz w:val="24"/>
        </w:rPr>
        <w:t>Paslaugos apima operacijas eurais (EUR) ir, esant poreikiui, kitomis pagrindinėmis valiutomis (USD,</w:t>
      </w:r>
      <w:r w:rsidR="0074202F">
        <w:rPr>
          <w:rFonts w:ascii="Times New Roman" w:hAnsi="Times New Roman"/>
          <w:sz w:val="24"/>
        </w:rPr>
        <w:t xml:space="preserve"> CHF,</w:t>
      </w:r>
      <w:r>
        <w:rPr>
          <w:rFonts w:ascii="Times New Roman" w:hAnsi="Times New Roman"/>
          <w:sz w:val="24"/>
        </w:rPr>
        <w:t xml:space="preserve"> GBP).</w:t>
      </w:r>
    </w:p>
    <w:p w14:paraId="0BE538D3" w14:textId="3B17AB6D" w:rsidR="001E19B0" w:rsidRDefault="001E19B0" w:rsidP="00AD5C29">
      <w:pPr>
        <w:pStyle w:val="ListParagraph"/>
        <w:widowControl/>
        <w:numPr>
          <w:ilvl w:val="1"/>
          <w:numId w:val="1"/>
        </w:numPr>
        <w:tabs>
          <w:tab w:val="left" w:pos="0"/>
        </w:tabs>
        <w:autoSpaceDE/>
        <w:autoSpaceDN/>
        <w:adjustRightInd/>
        <w:ind w:left="0" w:firstLine="851"/>
        <w:jc w:val="both"/>
        <w:rPr>
          <w:rFonts w:ascii="Times New Roman" w:hAnsi="Times New Roman"/>
          <w:sz w:val="24"/>
        </w:rPr>
      </w:pPr>
      <w:r>
        <w:rPr>
          <w:rFonts w:ascii="Times New Roman" w:hAnsi="Times New Roman"/>
          <w:sz w:val="24"/>
        </w:rPr>
        <w:t>Tarptautiniai mokėjimai dažniausiai vykdomi į</w:t>
      </w:r>
      <w:r w:rsidR="0074202F">
        <w:rPr>
          <w:rFonts w:ascii="Times New Roman" w:hAnsi="Times New Roman"/>
          <w:sz w:val="24"/>
        </w:rPr>
        <w:t xml:space="preserve"> Ukrainą, Moldovą, Angolą, Palestiną. Taip pat į Europos Sąjungos šalis</w:t>
      </w:r>
      <w:r w:rsidR="00B36AC7">
        <w:rPr>
          <w:rFonts w:ascii="Times New Roman" w:hAnsi="Times New Roman"/>
          <w:sz w:val="24"/>
        </w:rPr>
        <w:t>.</w:t>
      </w:r>
    </w:p>
    <w:p w14:paraId="2A0D73C1" w14:textId="46773909" w:rsidR="00843A22" w:rsidRDefault="00843A22" w:rsidP="00AD5C29">
      <w:pPr>
        <w:pStyle w:val="ListParagraph"/>
        <w:widowControl/>
        <w:numPr>
          <w:ilvl w:val="1"/>
          <w:numId w:val="1"/>
        </w:numPr>
        <w:tabs>
          <w:tab w:val="left" w:pos="0"/>
        </w:tabs>
        <w:autoSpaceDE/>
        <w:autoSpaceDN/>
        <w:adjustRightInd/>
        <w:ind w:left="0" w:firstLine="851"/>
        <w:jc w:val="both"/>
        <w:rPr>
          <w:rFonts w:ascii="Times New Roman" w:hAnsi="Times New Roman"/>
          <w:sz w:val="24"/>
        </w:rPr>
      </w:pPr>
      <w:r>
        <w:rPr>
          <w:rFonts w:ascii="Times New Roman" w:hAnsi="Times New Roman"/>
          <w:sz w:val="24"/>
        </w:rPr>
        <w:t>Paslaugos turi apimti SEPA</w:t>
      </w:r>
      <w:r w:rsidR="004E6AFA">
        <w:rPr>
          <w:rFonts w:ascii="Times New Roman" w:hAnsi="Times New Roman"/>
          <w:sz w:val="24"/>
        </w:rPr>
        <w:t>, ne-SEPA ir SWIFT tipo mokėjimus.</w:t>
      </w:r>
    </w:p>
    <w:p w14:paraId="4E160A88" w14:textId="5265A455" w:rsidR="00AB4B04" w:rsidRDefault="00AB4B04" w:rsidP="00AD5C29">
      <w:pPr>
        <w:pStyle w:val="ListParagraph"/>
        <w:widowControl/>
        <w:numPr>
          <w:ilvl w:val="1"/>
          <w:numId w:val="1"/>
        </w:numPr>
        <w:tabs>
          <w:tab w:val="left" w:pos="0"/>
        </w:tabs>
        <w:autoSpaceDE/>
        <w:autoSpaceDN/>
        <w:adjustRightInd/>
        <w:ind w:left="0" w:firstLine="851"/>
        <w:jc w:val="both"/>
        <w:rPr>
          <w:rFonts w:ascii="Times New Roman" w:hAnsi="Times New Roman"/>
          <w:sz w:val="24"/>
        </w:rPr>
      </w:pPr>
      <w:r>
        <w:rPr>
          <w:rFonts w:ascii="Times New Roman" w:hAnsi="Times New Roman"/>
          <w:sz w:val="24"/>
        </w:rPr>
        <w:t>Preliminarus debetinių kortelių poreikis – 12 vnt.</w:t>
      </w:r>
    </w:p>
    <w:p w14:paraId="50AB7447" w14:textId="252C3B18" w:rsidR="00AB4B04" w:rsidRPr="001832F6" w:rsidRDefault="00AB4B04" w:rsidP="00635E8A">
      <w:pPr>
        <w:pStyle w:val="ListParagraph"/>
        <w:widowControl/>
        <w:numPr>
          <w:ilvl w:val="1"/>
          <w:numId w:val="1"/>
        </w:numPr>
        <w:tabs>
          <w:tab w:val="left" w:pos="0"/>
          <w:tab w:val="left" w:pos="1560"/>
        </w:tabs>
        <w:autoSpaceDE/>
        <w:autoSpaceDN/>
        <w:adjustRightInd/>
        <w:ind w:left="0" w:firstLine="851"/>
        <w:jc w:val="both"/>
        <w:rPr>
          <w:rFonts w:ascii="Times New Roman" w:hAnsi="Times New Roman"/>
          <w:sz w:val="24"/>
        </w:rPr>
      </w:pPr>
      <w:r>
        <w:rPr>
          <w:rFonts w:ascii="Times New Roman" w:hAnsi="Times New Roman"/>
          <w:sz w:val="24"/>
        </w:rPr>
        <w:t>Preliminarus kreditinių kortelių poreikis – 1 vnt</w:t>
      </w:r>
      <w:r w:rsidR="003801BC">
        <w:rPr>
          <w:rFonts w:ascii="Times New Roman" w:hAnsi="Times New Roman"/>
          <w:sz w:val="24"/>
        </w:rPr>
        <w:t>.</w:t>
      </w:r>
    </w:p>
    <w:p w14:paraId="503EFEE0" w14:textId="77777777" w:rsidR="00C20251" w:rsidRPr="00D12070" w:rsidRDefault="00C20251" w:rsidP="00AD5C29">
      <w:pPr>
        <w:pStyle w:val="ListParagraph"/>
        <w:widowControl/>
        <w:numPr>
          <w:ilvl w:val="0"/>
          <w:numId w:val="1"/>
        </w:numPr>
        <w:tabs>
          <w:tab w:val="left" w:pos="0"/>
        </w:tabs>
        <w:autoSpaceDE/>
        <w:autoSpaceDN/>
        <w:adjustRightInd/>
        <w:ind w:left="0" w:firstLine="851"/>
        <w:jc w:val="both"/>
        <w:rPr>
          <w:rFonts w:ascii="Times New Roman" w:hAnsi="Times New Roman"/>
          <w:sz w:val="22"/>
          <w:szCs w:val="22"/>
        </w:rPr>
      </w:pPr>
      <w:r w:rsidRPr="001832F6">
        <w:rPr>
          <w:rFonts w:ascii="Times New Roman" w:hAnsi="Times New Roman"/>
          <w:sz w:val="24"/>
        </w:rPr>
        <w:t>Planuojamos įsigyti žemiau išvardytos Paslaugos ir jų apimtys</w:t>
      </w:r>
      <w:r w:rsidRPr="00D12070">
        <w:rPr>
          <w:rStyle w:val="FootnoteReference"/>
          <w:rFonts w:ascii="Times New Roman" w:hAnsi="Times New Roman"/>
          <w:sz w:val="22"/>
          <w:szCs w:val="22"/>
        </w:rPr>
        <w:footnoteReference w:id="1"/>
      </w:r>
      <w:r w:rsidRPr="00D12070">
        <w:rPr>
          <w:rFonts w:ascii="Times New Roman" w:hAnsi="Times New Roman"/>
          <w:sz w:val="22"/>
          <w:szCs w:val="22"/>
        </w:rPr>
        <w:t>:</w:t>
      </w:r>
    </w:p>
    <w:p w14:paraId="2F2D35B7" w14:textId="77777777" w:rsidR="00D176FD" w:rsidRDefault="00D176FD" w:rsidP="00D176FD">
      <w:pPr>
        <w:tabs>
          <w:tab w:val="left" w:pos="1276"/>
        </w:tabs>
        <w:ind w:firstLine="0"/>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704"/>
        <w:gridCol w:w="6946"/>
        <w:gridCol w:w="1977"/>
      </w:tblGrid>
      <w:tr w:rsidR="00D176FD" w14:paraId="4952D0BA" w14:textId="77777777" w:rsidTr="00211CE8">
        <w:tc>
          <w:tcPr>
            <w:tcW w:w="704" w:type="dxa"/>
          </w:tcPr>
          <w:p w14:paraId="2C458ADC" w14:textId="3A79EC6F" w:rsidR="00D176FD" w:rsidRPr="00D176FD" w:rsidRDefault="00D176FD" w:rsidP="00D176FD">
            <w:pPr>
              <w:tabs>
                <w:tab w:val="left" w:pos="1276"/>
              </w:tabs>
              <w:ind w:firstLine="0"/>
              <w:jc w:val="center"/>
              <w:rPr>
                <w:rFonts w:ascii="Times New Roman" w:hAnsi="Times New Roman" w:cs="Times New Roman"/>
                <w:b/>
                <w:bCs/>
                <w:sz w:val="24"/>
              </w:rPr>
            </w:pPr>
            <w:r w:rsidRPr="00D176FD">
              <w:rPr>
                <w:rFonts w:ascii="Times New Roman" w:hAnsi="Times New Roman" w:cs="Times New Roman"/>
                <w:b/>
                <w:bCs/>
                <w:sz w:val="24"/>
              </w:rPr>
              <w:t>Eil. Nr.</w:t>
            </w:r>
          </w:p>
        </w:tc>
        <w:tc>
          <w:tcPr>
            <w:tcW w:w="6946" w:type="dxa"/>
          </w:tcPr>
          <w:p w14:paraId="02ECEDC5" w14:textId="0538A321" w:rsidR="00D176FD" w:rsidRPr="00D176FD" w:rsidRDefault="00D176FD" w:rsidP="00D176FD">
            <w:pPr>
              <w:tabs>
                <w:tab w:val="left" w:pos="1276"/>
              </w:tabs>
              <w:ind w:firstLine="0"/>
              <w:jc w:val="center"/>
              <w:rPr>
                <w:rFonts w:ascii="Times New Roman" w:hAnsi="Times New Roman" w:cs="Times New Roman"/>
                <w:b/>
                <w:bCs/>
                <w:sz w:val="24"/>
              </w:rPr>
            </w:pPr>
            <w:r w:rsidRPr="00D176FD">
              <w:rPr>
                <w:rFonts w:ascii="Times New Roman" w:hAnsi="Times New Roman" w:cs="Times New Roman"/>
                <w:b/>
                <w:bCs/>
                <w:sz w:val="24"/>
              </w:rPr>
              <w:t>Paslaugų pavadinimas</w:t>
            </w:r>
          </w:p>
        </w:tc>
        <w:tc>
          <w:tcPr>
            <w:tcW w:w="1977" w:type="dxa"/>
          </w:tcPr>
          <w:p w14:paraId="566A5BDB" w14:textId="5F0273BD" w:rsidR="00D176FD" w:rsidRPr="00D176FD" w:rsidRDefault="00D176FD" w:rsidP="00D176FD">
            <w:pPr>
              <w:tabs>
                <w:tab w:val="left" w:pos="1276"/>
              </w:tabs>
              <w:ind w:firstLine="0"/>
              <w:jc w:val="center"/>
              <w:rPr>
                <w:rFonts w:ascii="Times New Roman" w:hAnsi="Times New Roman" w:cs="Times New Roman"/>
                <w:b/>
                <w:bCs/>
                <w:sz w:val="24"/>
              </w:rPr>
            </w:pPr>
            <w:r w:rsidRPr="00D176FD">
              <w:rPr>
                <w:rFonts w:ascii="Times New Roman" w:hAnsi="Times New Roman" w:cs="Times New Roman"/>
                <w:b/>
                <w:bCs/>
                <w:sz w:val="24"/>
              </w:rPr>
              <w:t>Preliminarus kiekis 12 mėn. laikotarpiui</w:t>
            </w:r>
          </w:p>
        </w:tc>
      </w:tr>
      <w:tr w:rsidR="00D176FD" w14:paraId="0DA45E6A" w14:textId="77777777" w:rsidTr="00211CE8">
        <w:tc>
          <w:tcPr>
            <w:tcW w:w="704" w:type="dxa"/>
          </w:tcPr>
          <w:p w14:paraId="61EBA136" w14:textId="75C6C978" w:rsidR="00D176FD" w:rsidRPr="00D176FD" w:rsidRDefault="00D176FD" w:rsidP="00D176FD">
            <w:pPr>
              <w:tabs>
                <w:tab w:val="left" w:pos="1276"/>
              </w:tabs>
              <w:ind w:firstLine="0"/>
              <w:jc w:val="center"/>
              <w:rPr>
                <w:rFonts w:ascii="Times New Roman" w:hAnsi="Times New Roman" w:cs="Times New Roman"/>
                <w:i/>
                <w:iCs/>
                <w:sz w:val="24"/>
              </w:rPr>
            </w:pPr>
            <w:r w:rsidRPr="00D176FD">
              <w:rPr>
                <w:rFonts w:ascii="Times New Roman" w:hAnsi="Times New Roman" w:cs="Times New Roman"/>
                <w:i/>
                <w:iCs/>
                <w:sz w:val="24"/>
              </w:rPr>
              <w:t>1</w:t>
            </w:r>
          </w:p>
        </w:tc>
        <w:tc>
          <w:tcPr>
            <w:tcW w:w="6946" w:type="dxa"/>
          </w:tcPr>
          <w:p w14:paraId="2794737A" w14:textId="662BECF0" w:rsidR="00D176FD" w:rsidRPr="00D176FD" w:rsidRDefault="00D176FD" w:rsidP="00D176FD">
            <w:pPr>
              <w:tabs>
                <w:tab w:val="left" w:pos="1276"/>
              </w:tabs>
              <w:ind w:firstLine="0"/>
              <w:jc w:val="center"/>
              <w:rPr>
                <w:rFonts w:ascii="Times New Roman" w:hAnsi="Times New Roman" w:cs="Times New Roman"/>
                <w:i/>
                <w:iCs/>
                <w:sz w:val="24"/>
              </w:rPr>
            </w:pPr>
            <w:r w:rsidRPr="00D176FD">
              <w:rPr>
                <w:rFonts w:ascii="Times New Roman" w:hAnsi="Times New Roman" w:cs="Times New Roman"/>
                <w:i/>
                <w:iCs/>
                <w:sz w:val="24"/>
              </w:rPr>
              <w:t>2</w:t>
            </w:r>
          </w:p>
        </w:tc>
        <w:tc>
          <w:tcPr>
            <w:tcW w:w="1977" w:type="dxa"/>
          </w:tcPr>
          <w:p w14:paraId="051EE784" w14:textId="3E2DA634" w:rsidR="00D176FD" w:rsidRPr="00D176FD" w:rsidRDefault="00D176FD" w:rsidP="00D176FD">
            <w:pPr>
              <w:tabs>
                <w:tab w:val="left" w:pos="1276"/>
              </w:tabs>
              <w:ind w:firstLine="0"/>
              <w:jc w:val="center"/>
              <w:rPr>
                <w:rFonts w:ascii="Times New Roman" w:hAnsi="Times New Roman" w:cs="Times New Roman"/>
                <w:i/>
                <w:iCs/>
                <w:sz w:val="24"/>
              </w:rPr>
            </w:pPr>
            <w:r w:rsidRPr="00D176FD">
              <w:rPr>
                <w:rFonts w:ascii="Times New Roman" w:hAnsi="Times New Roman" w:cs="Times New Roman"/>
                <w:i/>
                <w:iCs/>
                <w:sz w:val="24"/>
              </w:rPr>
              <w:t>3</w:t>
            </w:r>
          </w:p>
        </w:tc>
      </w:tr>
      <w:tr w:rsidR="00D176FD" w14:paraId="015C6843" w14:textId="77777777" w:rsidTr="00211CE8">
        <w:tc>
          <w:tcPr>
            <w:tcW w:w="704" w:type="dxa"/>
          </w:tcPr>
          <w:p w14:paraId="091E5D32"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6CE9F0AC" w14:textId="14B2D555"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Mėnesinis sąskaitų (</w:t>
            </w:r>
            <w:r>
              <w:rPr>
                <w:rFonts w:ascii="Times New Roman" w:hAnsi="Times New Roman" w:cs="Times New Roman"/>
                <w:sz w:val="24"/>
              </w:rPr>
              <w:t>2</w:t>
            </w:r>
            <w:r w:rsidR="00C911E1">
              <w:rPr>
                <w:rFonts w:ascii="Times New Roman" w:hAnsi="Times New Roman" w:cs="Times New Roman"/>
                <w:sz w:val="24"/>
              </w:rPr>
              <w:t>6</w:t>
            </w:r>
            <w:r w:rsidRPr="00913D45">
              <w:rPr>
                <w:rFonts w:ascii="Times New Roman" w:hAnsi="Times New Roman" w:cs="Times New Roman"/>
                <w:sz w:val="24"/>
              </w:rPr>
              <w:t xml:space="preserve"> vnt.) administravimo mokestis</w:t>
            </w:r>
          </w:p>
        </w:tc>
        <w:tc>
          <w:tcPr>
            <w:tcW w:w="1977" w:type="dxa"/>
          </w:tcPr>
          <w:p w14:paraId="65C2E873" w14:textId="33775935"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250</w:t>
            </w:r>
          </w:p>
        </w:tc>
      </w:tr>
      <w:tr w:rsidR="00D176FD" w14:paraId="6816914C" w14:textId="77777777" w:rsidTr="00211CE8">
        <w:tc>
          <w:tcPr>
            <w:tcW w:w="704" w:type="dxa"/>
          </w:tcPr>
          <w:p w14:paraId="511875B5"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32687068" w14:textId="04A60CFD"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Lėšų pervedimas eurais banko viduje į savo sąskaitas pagal mokėjimo nurodymą, pateiktą per internetinės bankininkystės sistemą</w:t>
            </w:r>
          </w:p>
        </w:tc>
        <w:tc>
          <w:tcPr>
            <w:tcW w:w="1977" w:type="dxa"/>
          </w:tcPr>
          <w:p w14:paraId="6BAD07F1" w14:textId="714D0B5E"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120</w:t>
            </w:r>
          </w:p>
        </w:tc>
      </w:tr>
      <w:tr w:rsidR="00D176FD" w14:paraId="354B092D" w14:textId="77777777" w:rsidTr="00211CE8">
        <w:tc>
          <w:tcPr>
            <w:tcW w:w="704" w:type="dxa"/>
          </w:tcPr>
          <w:p w14:paraId="44D10E6A"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2322D160" w14:textId="33B9FD99"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Lėšų pervedimas eurais į kitus Lietuvoje registruotus bankus pagal mokėjimo nurodymą, pateiktą per internetinės bankininkystės sistemą*</w:t>
            </w:r>
          </w:p>
        </w:tc>
        <w:tc>
          <w:tcPr>
            <w:tcW w:w="1977" w:type="dxa"/>
          </w:tcPr>
          <w:p w14:paraId="09C713B0" w14:textId="0142B884"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4</w:t>
            </w:r>
            <w:r w:rsidRPr="00913D45">
              <w:rPr>
                <w:rFonts w:ascii="Times New Roman" w:hAnsi="Times New Roman" w:cs="Times New Roman"/>
                <w:sz w:val="24"/>
              </w:rPr>
              <w:t>0</w:t>
            </w:r>
          </w:p>
        </w:tc>
      </w:tr>
      <w:tr w:rsidR="00D176FD" w14:paraId="595120EE" w14:textId="77777777" w:rsidTr="00211CE8">
        <w:tc>
          <w:tcPr>
            <w:tcW w:w="704" w:type="dxa"/>
          </w:tcPr>
          <w:p w14:paraId="1AABCCB4"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4BD8E890" w14:textId="77AD62F0"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Lėšų pervedimo atšaukimo ar tikslinimo administravimas</w:t>
            </w:r>
          </w:p>
        </w:tc>
        <w:tc>
          <w:tcPr>
            <w:tcW w:w="1977" w:type="dxa"/>
          </w:tcPr>
          <w:p w14:paraId="5B5EA79D" w14:textId="5BBB9AB3" w:rsidR="00D176FD" w:rsidRDefault="0057632B"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20</w:t>
            </w:r>
          </w:p>
        </w:tc>
      </w:tr>
      <w:tr w:rsidR="00D176FD" w14:paraId="59D28742" w14:textId="77777777" w:rsidTr="00211CE8">
        <w:tc>
          <w:tcPr>
            <w:tcW w:w="704" w:type="dxa"/>
          </w:tcPr>
          <w:p w14:paraId="18691DB6"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13A57B07" w14:textId="5384EF39"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Tarptautinis lėšų pervedimas pagal nurodymą, pateiktą per internetinės bankininkystės sistemą (mokėtojas apmoka visus mokesčius)</w:t>
            </w:r>
          </w:p>
        </w:tc>
        <w:tc>
          <w:tcPr>
            <w:tcW w:w="1977" w:type="dxa"/>
          </w:tcPr>
          <w:p w14:paraId="4E6D7FF4" w14:textId="2DDA32AD"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8</w:t>
            </w:r>
            <w:r w:rsidRPr="00913D45">
              <w:rPr>
                <w:rFonts w:ascii="Times New Roman" w:hAnsi="Times New Roman" w:cs="Times New Roman"/>
                <w:sz w:val="24"/>
              </w:rPr>
              <w:t>00</w:t>
            </w:r>
          </w:p>
        </w:tc>
      </w:tr>
      <w:tr w:rsidR="00D176FD" w14:paraId="7AE6393A" w14:textId="77777777" w:rsidTr="00211CE8">
        <w:tc>
          <w:tcPr>
            <w:tcW w:w="704" w:type="dxa"/>
          </w:tcPr>
          <w:p w14:paraId="7C9BE416"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038A1C87" w14:textId="26D6EFF0"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Tarptautinio mokėjimo nurodymo duomenų tikslinimo ir mokėjimo nurodymo atšaukimo administravimas</w:t>
            </w:r>
          </w:p>
        </w:tc>
        <w:tc>
          <w:tcPr>
            <w:tcW w:w="1977" w:type="dxa"/>
          </w:tcPr>
          <w:p w14:paraId="64751652" w14:textId="1EBFA2E8"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4</w:t>
            </w:r>
            <w:r w:rsidRPr="00913D45">
              <w:rPr>
                <w:rFonts w:ascii="Times New Roman" w:hAnsi="Times New Roman" w:cs="Times New Roman"/>
                <w:sz w:val="24"/>
              </w:rPr>
              <w:t>0</w:t>
            </w:r>
          </w:p>
        </w:tc>
      </w:tr>
      <w:tr w:rsidR="00D176FD" w14:paraId="408FD522" w14:textId="77777777" w:rsidTr="00211CE8">
        <w:tc>
          <w:tcPr>
            <w:tcW w:w="704" w:type="dxa"/>
          </w:tcPr>
          <w:p w14:paraId="6D2E666C"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281C1CEB" w14:textId="38D95428"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Į savo sąskaitą pervestų lėšų banko viduje administravimas</w:t>
            </w:r>
          </w:p>
        </w:tc>
        <w:tc>
          <w:tcPr>
            <w:tcW w:w="1977" w:type="dxa"/>
          </w:tcPr>
          <w:p w14:paraId="598E3B8F" w14:textId="047E4D04"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6</w:t>
            </w:r>
            <w:r w:rsidRPr="00913D45">
              <w:rPr>
                <w:rFonts w:ascii="Times New Roman" w:hAnsi="Times New Roman" w:cs="Times New Roman"/>
                <w:sz w:val="24"/>
              </w:rPr>
              <w:t>0</w:t>
            </w:r>
          </w:p>
        </w:tc>
      </w:tr>
      <w:tr w:rsidR="00D176FD" w14:paraId="52E8880E" w14:textId="77777777" w:rsidTr="00211CE8">
        <w:tc>
          <w:tcPr>
            <w:tcW w:w="704" w:type="dxa"/>
          </w:tcPr>
          <w:p w14:paraId="68F060AD"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68B9B931" w14:textId="7C5D34B1"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Iš kitų asmenų pervestų lėšų banko viduje administravimas***</w:t>
            </w:r>
          </w:p>
        </w:tc>
        <w:tc>
          <w:tcPr>
            <w:tcW w:w="1977" w:type="dxa"/>
          </w:tcPr>
          <w:p w14:paraId="38027FAB" w14:textId="1EBB6AE1"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6</w:t>
            </w:r>
            <w:r w:rsidRPr="00913D45">
              <w:rPr>
                <w:rFonts w:ascii="Times New Roman" w:hAnsi="Times New Roman" w:cs="Times New Roman"/>
                <w:sz w:val="24"/>
              </w:rPr>
              <w:t>0</w:t>
            </w:r>
          </w:p>
        </w:tc>
      </w:tr>
      <w:tr w:rsidR="00D176FD" w14:paraId="57D8B595" w14:textId="77777777" w:rsidTr="00211CE8">
        <w:tc>
          <w:tcPr>
            <w:tcW w:w="704" w:type="dxa"/>
          </w:tcPr>
          <w:p w14:paraId="3DB85F1F"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65260086" w14:textId="170007E4"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Pervestų lėšų iš kitų Lietuvoje registruotų bankų administravimas***</w:t>
            </w:r>
          </w:p>
        </w:tc>
        <w:tc>
          <w:tcPr>
            <w:tcW w:w="1977" w:type="dxa"/>
          </w:tcPr>
          <w:p w14:paraId="7DEF13D4" w14:textId="773B7A9C"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6</w:t>
            </w:r>
            <w:r w:rsidRPr="00913D45">
              <w:rPr>
                <w:rFonts w:ascii="Times New Roman" w:hAnsi="Times New Roman" w:cs="Times New Roman"/>
                <w:sz w:val="24"/>
              </w:rPr>
              <w:t>0</w:t>
            </w:r>
          </w:p>
        </w:tc>
      </w:tr>
      <w:tr w:rsidR="00D176FD" w14:paraId="250C998B" w14:textId="77777777" w:rsidTr="00211CE8">
        <w:tc>
          <w:tcPr>
            <w:tcW w:w="704" w:type="dxa"/>
          </w:tcPr>
          <w:p w14:paraId="2FBB01DA"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3442D12D" w14:textId="3FDBA922"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Pervestų Europinių mokėjimų lėšų administravimas**</w:t>
            </w:r>
          </w:p>
        </w:tc>
        <w:tc>
          <w:tcPr>
            <w:tcW w:w="1977" w:type="dxa"/>
          </w:tcPr>
          <w:p w14:paraId="025F820B" w14:textId="68F45DEF"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2</w:t>
            </w:r>
            <w:r w:rsidRPr="00913D45">
              <w:rPr>
                <w:rFonts w:ascii="Times New Roman" w:hAnsi="Times New Roman" w:cs="Times New Roman"/>
                <w:sz w:val="24"/>
              </w:rPr>
              <w:t>0</w:t>
            </w:r>
          </w:p>
        </w:tc>
      </w:tr>
      <w:tr w:rsidR="00D176FD" w14:paraId="49E664C0" w14:textId="77777777" w:rsidTr="00211CE8">
        <w:tc>
          <w:tcPr>
            <w:tcW w:w="704" w:type="dxa"/>
          </w:tcPr>
          <w:p w14:paraId="6F6B3027"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7E234405" w14:textId="01C478D6"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Pervestų lėšų iš užsienio bankų administravimas</w:t>
            </w:r>
          </w:p>
        </w:tc>
        <w:tc>
          <w:tcPr>
            <w:tcW w:w="1977" w:type="dxa"/>
          </w:tcPr>
          <w:p w14:paraId="29F57DC3" w14:textId="695C6981"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120</w:t>
            </w:r>
          </w:p>
        </w:tc>
      </w:tr>
      <w:tr w:rsidR="00211CE8" w14:paraId="23223CD3" w14:textId="77777777" w:rsidTr="00211CE8">
        <w:tc>
          <w:tcPr>
            <w:tcW w:w="704" w:type="dxa"/>
          </w:tcPr>
          <w:p w14:paraId="4DD7F042" w14:textId="77777777" w:rsidR="00211CE8" w:rsidRPr="00D176FD" w:rsidRDefault="00211CE8"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7028FA40" w14:textId="7E62E326" w:rsidR="00211CE8" w:rsidRPr="00913D45" w:rsidRDefault="00211CE8" w:rsidP="00D176FD">
            <w:pPr>
              <w:tabs>
                <w:tab w:val="left" w:pos="1276"/>
              </w:tabs>
              <w:ind w:firstLine="0"/>
              <w:jc w:val="both"/>
              <w:rPr>
                <w:rFonts w:ascii="Times New Roman" w:hAnsi="Times New Roman" w:cs="Times New Roman"/>
                <w:sz w:val="24"/>
              </w:rPr>
            </w:pPr>
            <w:r>
              <w:rPr>
                <w:rFonts w:ascii="Times New Roman" w:hAnsi="Times New Roman" w:cs="Times New Roman"/>
                <w:sz w:val="24"/>
              </w:rPr>
              <w:t>Kredito kortelės išdavimas</w:t>
            </w:r>
          </w:p>
        </w:tc>
        <w:tc>
          <w:tcPr>
            <w:tcW w:w="1977" w:type="dxa"/>
          </w:tcPr>
          <w:p w14:paraId="6F156721" w14:textId="096F1C65" w:rsidR="00211CE8" w:rsidRDefault="00211CE8"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1</w:t>
            </w:r>
          </w:p>
        </w:tc>
      </w:tr>
      <w:tr w:rsidR="00D176FD" w14:paraId="61C0DAD7" w14:textId="77777777" w:rsidTr="00211CE8">
        <w:tc>
          <w:tcPr>
            <w:tcW w:w="704" w:type="dxa"/>
          </w:tcPr>
          <w:p w14:paraId="26B3FB75"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61C28BF2" w14:textId="194869D0"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Debeto kortelės išdavimas</w:t>
            </w:r>
          </w:p>
        </w:tc>
        <w:tc>
          <w:tcPr>
            <w:tcW w:w="1977" w:type="dxa"/>
          </w:tcPr>
          <w:p w14:paraId="7F7FB7F3" w14:textId="0A1002EB"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4</w:t>
            </w:r>
          </w:p>
        </w:tc>
      </w:tr>
      <w:tr w:rsidR="00D176FD" w14:paraId="5618FEFF" w14:textId="77777777" w:rsidTr="00211CE8">
        <w:tc>
          <w:tcPr>
            <w:tcW w:w="704" w:type="dxa"/>
          </w:tcPr>
          <w:p w14:paraId="3E9843CC"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726DACD8" w14:textId="234CA73F"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Debeto kortelės administravimo mokestis (1 mėn.)</w:t>
            </w:r>
          </w:p>
        </w:tc>
        <w:tc>
          <w:tcPr>
            <w:tcW w:w="1977" w:type="dxa"/>
          </w:tcPr>
          <w:p w14:paraId="748CBC19" w14:textId="0DBB61B1"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1</w:t>
            </w:r>
            <w:r w:rsidR="00AE051B">
              <w:rPr>
                <w:rFonts w:ascii="Times New Roman" w:hAnsi="Times New Roman" w:cs="Times New Roman"/>
                <w:sz w:val="24"/>
              </w:rPr>
              <w:t>4</w:t>
            </w:r>
            <w:r>
              <w:rPr>
                <w:rFonts w:ascii="Times New Roman" w:hAnsi="Times New Roman" w:cs="Times New Roman"/>
                <w:sz w:val="24"/>
              </w:rPr>
              <w:t>2</w:t>
            </w:r>
          </w:p>
        </w:tc>
      </w:tr>
      <w:tr w:rsidR="00D176FD" w14:paraId="28333BFC" w14:textId="77777777" w:rsidTr="00211CE8">
        <w:tc>
          <w:tcPr>
            <w:tcW w:w="704" w:type="dxa"/>
          </w:tcPr>
          <w:p w14:paraId="17FB567A"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203157FF" w14:textId="266A6CC1"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Kredito kortelės administravimo mokestis (1 mėn.)</w:t>
            </w:r>
          </w:p>
        </w:tc>
        <w:tc>
          <w:tcPr>
            <w:tcW w:w="1977" w:type="dxa"/>
          </w:tcPr>
          <w:p w14:paraId="200984AA" w14:textId="5BDB0253"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12</w:t>
            </w:r>
          </w:p>
        </w:tc>
      </w:tr>
      <w:tr w:rsidR="00D176FD" w14:paraId="283DEB6A" w14:textId="77777777" w:rsidTr="00211CE8">
        <w:tc>
          <w:tcPr>
            <w:tcW w:w="704" w:type="dxa"/>
          </w:tcPr>
          <w:p w14:paraId="5090FE4C"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65789BF3" w14:textId="7BF51EAA"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Debeto kortelės atnaujinimo mokestis</w:t>
            </w:r>
          </w:p>
        </w:tc>
        <w:tc>
          <w:tcPr>
            <w:tcW w:w="1977" w:type="dxa"/>
          </w:tcPr>
          <w:p w14:paraId="5F039A28" w14:textId="05A64AE9"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4</w:t>
            </w:r>
          </w:p>
        </w:tc>
      </w:tr>
      <w:tr w:rsidR="00D176FD" w14:paraId="25A5C0FC" w14:textId="77777777" w:rsidTr="00211CE8">
        <w:tc>
          <w:tcPr>
            <w:tcW w:w="704" w:type="dxa"/>
          </w:tcPr>
          <w:p w14:paraId="6A7D1726"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5BEDFE3F" w14:textId="57947687"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Kredito kortelės atnaujinimo mokestis</w:t>
            </w:r>
          </w:p>
        </w:tc>
        <w:tc>
          <w:tcPr>
            <w:tcW w:w="1977" w:type="dxa"/>
          </w:tcPr>
          <w:p w14:paraId="543F90E0" w14:textId="0826379A" w:rsidR="00D176FD" w:rsidRDefault="00AE051B"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1</w:t>
            </w:r>
          </w:p>
        </w:tc>
      </w:tr>
      <w:tr w:rsidR="00D176FD" w14:paraId="33B60F04" w14:textId="77777777" w:rsidTr="00211CE8">
        <w:tc>
          <w:tcPr>
            <w:tcW w:w="704" w:type="dxa"/>
          </w:tcPr>
          <w:p w14:paraId="62E954B1"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2C62FFA4" w14:textId="72ABABE1" w:rsidR="00D176FD" w:rsidRDefault="00E82871" w:rsidP="00D176FD">
            <w:pPr>
              <w:tabs>
                <w:tab w:val="left" w:pos="1276"/>
              </w:tabs>
              <w:ind w:firstLine="0"/>
              <w:jc w:val="both"/>
              <w:rPr>
                <w:rFonts w:ascii="Times New Roman" w:hAnsi="Times New Roman" w:cs="Times New Roman"/>
                <w:sz w:val="24"/>
              </w:rPr>
            </w:pPr>
            <w:r>
              <w:rPr>
                <w:rFonts w:ascii="Times New Roman" w:hAnsi="Times New Roman" w:cs="Times New Roman"/>
                <w:sz w:val="24"/>
              </w:rPr>
              <w:t xml:space="preserve">Sąskaitų aptarnavimo </w:t>
            </w:r>
            <w:proofErr w:type="spellStart"/>
            <w:r>
              <w:rPr>
                <w:rFonts w:ascii="Times New Roman" w:hAnsi="Times New Roman" w:cs="Times New Roman"/>
                <w:sz w:val="24"/>
              </w:rPr>
              <w:t>mokęstis</w:t>
            </w:r>
            <w:proofErr w:type="spellEnd"/>
          </w:p>
        </w:tc>
        <w:tc>
          <w:tcPr>
            <w:tcW w:w="1977" w:type="dxa"/>
          </w:tcPr>
          <w:p w14:paraId="6CF5FB49" w14:textId="00AF65DF" w:rsidR="00D176FD" w:rsidRDefault="0093495E"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26</w:t>
            </w:r>
          </w:p>
        </w:tc>
      </w:tr>
      <w:tr w:rsidR="00D176FD" w14:paraId="044C0873" w14:textId="77777777" w:rsidTr="00211CE8">
        <w:tc>
          <w:tcPr>
            <w:tcW w:w="704" w:type="dxa"/>
          </w:tcPr>
          <w:p w14:paraId="6A6ACAB7"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1DEFCC83" w14:textId="0B1491A6"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Pažymų užsakymas (sąskaitų likučio derinimas, finansinio indentifikavimo formos)</w:t>
            </w:r>
          </w:p>
        </w:tc>
        <w:tc>
          <w:tcPr>
            <w:tcW w:w="1977" w:type="dxa"/>
          </w:tcPr>
          <w:p w14:paraId="13858500" w14:textId="2F244B92"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4</w:t>
            </w:r>
          </w:p>
        </w:tc>
      </w:tr>
      <w:tr w:rsidR="00D176FD" w14:paraId="53C36299" w14:textId="77777777" w:rsidTr="00211CE8">
        <w:tc>
          <w:tcPr>
            <w:tcW w:w="704" w:type="dxa"/>
          </w:tcPr>
          <w:p w14:paraId="73ECE723"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626C0EDE" w14:textId="1E73F7B5"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PIN kodų, slaptažodžių, generatorių ir kitų saugumo priemonių išdavimas</w:t>
            </w:r>
          </w:p>
        </w:tc>
        <w:tc>
          <w:tcPr>
            <w:tcW w:w="1977" w:type="dxa"/>
          </w:tcPr>
          <w:p w14:paraId="66833CE1" w14:textId="61F2A229" w:rsidR="00D176FD" w:rsidRDefault="00D176FD"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4</w:t>
            </w:r>
          </w:p>
        </w:tc>
      </w:tr>
      <w:tr w:rsidR="00D176FD" w14:paraId="36129E40" w14:textId="77777777" w:rsidTr="00211CE8">
        <w:tc>
          <w:tcPr>
            <w:tcW w:w="704" w:type="dxa"/>
          </w:tcPr>
          <w:p w14:paraId="09AA5FC7" w14:textId="77777777" w:rsidR="00D176FD" w:rsidRPr="00D176FD" w:rsidRDefault="00D176FD" w:rsidP="00D176FD">
            <w:pPr>
              <w:pStyle w:val="ListParagraph"/>
              <w:numPr>
                <w:ilvl w:val="0"/>
                <w:numId w:val="2"/>
              </w:numPr>
              <w:tabs>
                <w:tab w:val="left" w:pos="1276"/>
              </w:tabs>
              <w:ind w:left="357" w:hanging="357"/>
              <w:jc w:val="both"/>
              <w:rPr>
                <w:rFonts w:ascii="Times New Roman" w:hAnsi="Times New Roman" w:cs="Times New Roman"/>
                <w:sz w:val="24"/>
              </w:rPr>
            </w:pPr>
          </w:p>
        </w:tc>
        <w:tc>
          <w:tcPr>
            <w:tcW w:w="6946" w:type="dxa"/>
          </w:tcPr>
          <w:p w14:paraId="682900C0" w14:textId="79B14B12" w:rsidR="00D176FD" w:rsidRDefault="00D176FD" w:rsidP="00D176FD">
            <w:pPr>
              <w:tabs>
                <w:tab w:val="left" w:pos="1276"/>
              </w:tabs>
              <w:ind w:firstLine="0"/>
              <w:jc w:val="both"/>
              <w:rPr>
                <w:rFonts w:ascii="Times New Roman" w:hAnsi="Times New Roman" w:cs="Times New Roman"/>
                <w:sz w:val="24"/>
              </w:rPr>
            </w:pPr>
            <w:r w:rsidRPr="00913D45">
              <w:rPr>
                <w:rFonts w:ascii="Times New Roman" w:hAnsi="Times New Roman" w:cs="Times New Roman"/>
                <w:sz w:val="24"/>
              </w:rPr>
              <w:t>Vieno mėnesio preliminarūs vidutiniai lėšų likučiai sąskaitose (</w:t>
            </w:r>
            <w:r w:rsidR="00635E8A">
              <w:rPr>
                <w:rFonts w:ascii="Times New Roman" w:hAnsi="Times New Roman" w:cs="Times New Roman"/>
                <w:sz w:val="24"/>
              </w:rPr>
              <w:t>26</w:t>
            </w:r>
            <w:r w:rsidRPr="00913D45">
              <w:rPr>
                <w:rFonts w:ascii="Times New Roman" w:hAnsi="Times New Roman" w:cs="Times New Roman"/>
                <w:sz w:val="24"/>
              </w:rPr>
              <w:t xml:space="preserve"> vnt.)</w:t>
            </w:r>
          </w:p>
        </w:tc>
        <w:tc>
          <w:tcPr>
            <w:tcW w:w="1977" w:type="dxa"/>
          </w:tcPr>
          <w:p w14:paraId="080EAD14" w14:textId="1E6C8701" w:rsidR="00D176FD" w:rsidRDefault="00F87F96" w:rsidP="00D176FD">
            <w:pPr>
              <w:tabs>
                <w:tab w:val="left" w:pos="1276"/>
              </w:tabs>
              <w:ind w:firstLine="0"/>
              <w:jc w:val="center"/>
              <w:rPr>
                <w:rFonts w:ascii="Times New Roman" w:hAnsi="Times New Roman" w:cs="Times New Roman"/>
                <w:sz w:val="24"/>
              </w:rPr>
            </w:pPr>
            <w:r>
              <w:rPr>
                <w:rFonts w:ascii="Times New Roman" w:hAnsi="Times New Roman" w:cs="Times New Roman"/>
                <w:sz w:val="24"/>
              </w:rPr>
              <w:t>5</w:t>
            </w:r>
            <w:r w:rsidR="00D176FD">
              <w:rPr>
                <w:rFonts w:ascii="Times New Roman" w:hAnsi="Times New Roman" w:cs="Times New Roman"/>
                <w:sz w:val="24"/>
              </w:rPr>
              <w:t>0 </w:t>
            </w:r>
            <w:r w:rsidR="00D176FD" w:rsidRPr="00913D45">
              <w:rPr>
                <w:rFonts w:ascii="Times New Roman" w:hAnsi="Times New Roman" w:cs="Times New Roman"/>
                <w:sz w:val="24"/>
              </w:rPr>
              <w:t>000</w:t>
            </w:r>
            <w:r w:rsidR="00D176FD">
              <w:rPr>
                <w:rFonts w:ascii="Times New Roman" w:hAnsi="Times New Roman" w:cs="Times New Roman"/>
                <w:sz w:val="24"/>
              </w:rPr>
              <w:t> </w:t>
            </w:r>
            <w:r w:rsidR="00D176FD" w:rsidRPr="00913D45">
              <w:rPr>
                <w:rFonts w:ascii="Times New Roman" w:hAnsi="Times New Roman" w:cs="Times New Roman"/>
                <w:sz w:val="24"/>
              </w:rPr>
              <w:t>000,0</w:t>
            </w:r>
            <w:r w:rsidR="00D579F8">
              <w:rPr>
                <w:rFonts w:ascii="Times New Roman" w:hAnsi="Times New Roman" w:cs="Times New Roman"/>
                <w:sz w:val="24"/>
              </w:rPr>
              <w:t>0</w:t>
            </w:r>
          </w:p>
        </w:tc>
      </w:tr>
    </w:tbl>
    <w:p w14:paraId="1E17C06D" w14:textId="20ABA2EA" w:rsidR="00C20251" w:rsidRPr="00C70983" w:rsidRDefault="00C20251" w:rsidP="00AD5C29">
      <w:pPr>
        <w:tabs>
          <w:tab w:val="left" w:pos="1276"/>
        </w:tabs>
        <w:ind w:firstLine="851"/>
        <w:jc w:val="both"/>
        <w:rPr>
          <w:rFonts w:ascii="Times New Roman" w:hAnsi="Times New Roman" w:cs="Times New Roman"/>
          <w:szCs w:val="20"/>
        </w:rPr>
      </w:pPr>
      <w:r w:rsidRPr="00C70983">
        <w:rPr>
          <w:rFonts w:ascii="Times New Roman" w:hAnsi="Times New Roman" w:cs="Times New Roman"/>
          <w:szCs w:val="20"/>
        </w:rPr>
        <w:t>Pastabos:</w:t>
      </w:r>
    </w:p>
    <w:p w14:paraId="103DCE06" w14:textId="77777777" w:rsidR="00C20251" w:rsidRPr="00C70983" w:rsidRDefault="00C20251" w:rsidP="00AD5C29">
      <w:pPr>
        <w:tabs>
          <w:tab w:val="left" w:pos="1276"/>
        </w:tabs>
        <w:ind w:firstLine="851"/>
        <w:jc w:val="both"/>
        <w:rPr>
          <w:rFonts w:ascii="Times New Roman" w:hAnsi="Times New Roman" w:cs="Times New Roman"/>
          <w:szCs w:val="20"/>
        </w:rPr>
      </w:pPr>
      <w:r w:rsidRPr="00C70983">
        <w:rPr>
          <w:rFonts w:ascii="Times New Roman" w:hAnsi="Times New Roman" w:cs="Times New Roman"/>
          <w:szCs w:val="20"/>
        </w:rPr>
        <w:t>* bendras mokėjimų nurodymų skaičius pervestų į kitus Lietuvoje registruotus bankus ir banko viduje;</w:t>
      </w:r>
    </w:p>
    <w:p w14:paraId="2E15670A" w14:textId="77777777" w:rsidR="00C20251" w:rsidRPr="00C70983" w:rsidRDefault="00C20251" w:rsidP="00AD5C29">
      <w:pPr>
        <w:tabs>
          <w:tab w:val="left" w:pos="1276"/>
        </w:tabs>
        <w:ind w:firstLine="851"/>
        <w:jc w:val="both"/>
        <w:rPr>
          <w:rFonts w:ascii="Times New Roman" w:hAnsi="Times New Roman" w:cs="Times New Roman"/>
          <w:szCs w:val="20"/>
        </w:rPr>
      </w:pPr>
      <w:r w:rsidRPr="00C70983">
        <w:rPr>
          <w:rFonts w:ascii="Times New Roman" w:hAnsi="Times New Roman" w:cs="Times New Roman"/>
          <w:szCs w:val="20"/>
        </w:rPr>
        <w:t>** ES šalys, Islandija, Lichtenšteinas, Norvegija ir Šveicarija;</w:t>
      </w:r>
    </w:p>
    <w:p w14:paraId="061EC094" w14:textId="77777777" w:rsidR="00C20251" w:rsidRDefault="00C20251" w:rsidP="00AD5C29">
      <w:pPr>
        <w:tabs>
          <w:tab w:val="left" w:pos="1276"/>
        </w:tabs>
        <w:ind w:firstLine="851"/>
        <w:jc w:val="both"/>
        <w:rPr>
          <w:rFonts w:ascii="Times New Roman" w:hAnsi="Times New Roman" w:cs="Times New Roman"/>
          <w:szCs w:val="20"/>
        </w:rPr>
      </w:pPr>
      <w:r w:rsidRPr="00C70983">
        <w:rPr>
          <w:rFonts w:ascii="Times New Roman" w:hAnsi="Times New Roman" w:cs="Times New Roman"/>
          <w:szCs w:val="20"/>
        </w:rPr>
        <w:t>*** bendras gautų pavedimų skaičius iš kitų asmenų banko viduje ir Lietuvoje registruotų bankų;</w:t>
      </w:r>
    </w:p>
    <w:p w14:paraId="64CEAE5A" w14:textId="77777777" w:rsidR="00C20251" w:rsidRPr="00C70983" w:rsidRDefault="00C20251" w:rsidP="00AD5C29">
      <w:pPr>
        <w:tabs>
          <w:tab w:val="left" w:pos="1276"/>
        </w:tabs>
        <w:ind w:firstLine="851"/>
        <w:jc w:val="both"/>
        <w:rPr>
          <w:rFonts w:ascii="Times New Roman" w:hAnsi="Times New Roman" w:cs="Times New Roman"/>
          <w:sz w:val="24"/>
        </w:rPr>
      </w:pPr>
    </w:p>
    <w:p w14:paraId="6803A290" w14:textId="77777777" w:rsidR="00C20251" w:rsidRPr="00913D45" w:rsidRDefault="00C20251" w:rsidP="00AD5C29">
      <w:pPr>
        <w:pStyle w:val="Punktai1"/>
        <w:spacing w:line="240" w:lineRule="auto"/>
        <w:ind w:left="0" w:firstLine="851"/>
      </w:pPr>
      <w:r w:rsidRPr="00913D45">
        <w:t xml:space="preserve">Sutarties vykdymo eigoje atsiradus poreikiui, CPVA turi teisę atsidaryti papildomas sąskaitas pagal Sutartyje nurodytus įkainius, bet ne ilgesniam kaip Sutarties galiojimo terminui. </w:t>
      </w:r>
    </w:p>
    <w:p w14:paraId="6E804F6B" w14:textId="77777777" w:rsidR="00C20251" w:rsidRPr="00913D45" w:rsidRDefault="00C20251" w:rsidP="00AD5C29">
      <w:pPr>
        <w:pStyle w:val="Punktai1"/>
        <w:spacing w:line="240" w:lineRule="auto"/>
        <w:ind w:left="0" w:firstLine="851"/>
        <w:rPr>
          <w:color w:val="000000"/>
        </w:rPr>
      </w:pPr>
      <w:r w:rsidRPr="00913D45">
        <w:t>Paslaugos turėtų atitikti šiuos reikalavimus:</w:t>
      </w:r>
    </w:p>
    <w:p w14:paraId="4B73A54B" w14:textId="36D8464B" w:rsidR="00C20251" w:rsidRPr="00913D45" w:rsidRDefault="00C20251" w:rsidP="00AD5C29">
      <w:pPr>
        <w:pStyle w:val="Punktai1"/>
        <w:numPr>
          <w:ilvl w:val="1"/>
          <w:numId w:val="1"/>
        </w:numPr>
        <w:spacing w:line="240" w:lineRule="auto"/>
        <w:ind w:left="0" w:firstLine="851"/>
        <w:rPr>
          <w:color w:val="000000"/>
        </w:rPr>
      </w:pPr>
      <w:r w:rsidRPr="00913D45">
        <w:t xml:space="preserve"> turi būti užtikrintas internetinės bankininkystės sistemos saugumas ją kuriant, naudojant ir tobulinant, įdiegtos saugumo technologijos, </w:t>
      </w:r>
      <w:r w:rsidR="00EB1861" w:rsidRPr="00913D45">
        <w:t>už</w:t>
      </w:r>
      <w:r w:rsidR="00EB1861">
        <w:t>t</w:t>
      </w:r>
      <w:r w:rsidR="00EB1861" w:rsidRPr="00913D45">
        <w:t>ikrina</w:t>
      </w:r>
      <w:r w:rsidR="00EB1861">
        <w:t>nčios</w:t>
      </w:r>
      <w:r w:rsidRPr="00913D45">
        <w:t xml:space="preserve"> atsiskaitymų bei bankinių operacijų saugum</w:t>
      </w:r>
      <w:r w:rsidR="00EB1861">
        <w:t>ą</w:t>
      </w:r>
      <w:r w:rsidRPr="00913D45">
        <w:t xml:space="preserve">; </w:t>
      </w:r>
    </w:p>
    <w:p w14:paraId="2E991DF7" w14:textId="77777777" w:rsidR="00C20251" w:rsidRPr="00FB4899" w:rsidRDefault="00C20251" w:rsidP="00AD5C29">
      <w:pPr>
        <w:pStyle w:val="Punktai1"/>
        <w:numPr>
          <w:ilvl w:val="1"/>
          <w:numId w:val="1"/>
        </w:numPr>
        <w:spacing w:line="240" w:lineRule="auto"/>
        <w:ind w:left="0" w:firstLine="851"/>
        <w:rPr>
          <w:color w:val="000000"/>
        </w:rPr>
      </w:pPr>
      <w:r w:rsidRPr="00913D45">
        <w:t xml:space="preserve"> galimybė internetinės bankininkystės sistemoje pasirašyti dokumentus, matant dokumentų suvestinę, t. y. pasirašomų dokumentų bendrą kiekį ir sumą, galimybė matyti skirtingos būklės (pasirašyti, vykdomi, įvykdyti, atmesti ir t. t.) dokumentų suvestinę, ją išskleisti, peržiūrėti, redaguoti dokumentus, galimybė vykdyti dokumentų paiešką pagal keletą kriterijų, rūšiuoti dokumentus;</w:t>
      </w:r>
    </w:p>
    <w:p w14:paraId="4CF32F17" w14:textId="56166393" w:rsidR="00FB4899" w:rsidRPr="00913D45" w:rsidRDefault="00FB4899" w:rsidP="00AD5C29">
      <w:pPr>
        <w:pStyle w:val="Punktai1"/>
        <w:numPr>
          <w:ilvl w:val="1"/>
          <w:numId w:val="1"/>
        </w:numPr>
        <w:spacing w:line="240" w:lineRule="auto"/>
        <w:ind w:left="0" w:firstLine="851"/>
        <w:rPr>
          <w:color w:val="000000"/>
        </w:rPr>
      </w:pPr>
      <w:r>
        <w:t>Internetinėje bankin</w:t>
      </w:r>
      <w:r w:rsidR="005244DE">
        <w:t xml:space="preserve">inkystėje turi būti galimybė pasirašyti ir valdyti šiuos dokumentų tipus: </w:t>
      </w:r>
      <w:r w:rsidR="00373A3A">
        <w:t>mokėjimai, paraiškos</w:t>
      </w:r>
      <w:r w:rsidR="00C03771">
        <w:t>, pažymos kontrolės institucijoms.</w:t>
      </w:r>
    </w:p>
    <w:p w14:paraId="431F5FE7" w14:textId="77777777" w:rsidR="00C20251" w:rsidRPr="00913D45" w:rsidRDefault="00C20251" w:rsidP="00AD5C29">
      <w:pPr>
        <w:pStyle w:val="Punktai1"/>
        <w:numPr>
          <w:ilvl w:val="1"/>
          <w:numId w:val="1"/>
        </w:numPr>
        <w:spacing w:line="240" w:lineRule="auto"/>
        <w:ind w:left="0" w:firstLine="851"/>
        <w:rPr>
          <w:color w:val="000000"/>
        </w:rPr>
      </w:pPr>
      <w:r w:rsidRPr="00913D45">
        <w:t xml:space="preserve"> galimybė internetinės bankininkystės sistemoje valdyti sąskaitas ir gauti informaciją bet kuriuo paros metu, taip pat gauti informaciją apie valiutų kursus, galimybės susikurti pastovių mokėjimų sistemą ir kt. </w:t>
      </w:r>
    </w:p>
    <w:p w14:paraId="25AEEC39" w14:textId="77777777" w:rsidR="00C20251" w:rsidRPr="00913D45" w:rsidRDefault="00C20251" w:rsidP="00AD5C29">
      <w:pPr>
        <w:pStyle w:val="Punktai1"/>
        <w:numPr>
          <w:ilvl w:val="1"/>
          <w:numId w:val="1"/>
        </w:numPr>
        <w:spacing w:line="240" w:lineRule="auto"/>
        <w:ind w:left="0" w:firstLine="851"/>
        <w:rPr>
          <w:color w:val="000000"/>
        </w:rPr>
      </w:pPr>
      <w:r w:rsidRPr="00913D45">
        <w:t xml:space="preserve"> turi būti užtikrintas laiku atliekamas gautų piniginių lėšų įskaitymas į CPVA sąskaitas bei jų pervedimas į nurodytas sąskaitas ir kt.</w:t>
      </w:r>
    </w:p>
    <w:p w14:paraId="42A90F3D" w14:textId="6BD18962" w:rsidR="00C20251" w:rsidRDefault="00C20251" w:rsidP="00AD5C29">
      <w:pPr>
        <w:pStyle w:val="Punktai1"/>
        <w:numPr>
          <w:ilvl w:val="1"/>
          <w:numId w:val="1"/>
        </w:numPr>
        <w:spacing w:line="240" w:lineRule="auto"/>
        <w:ind w:left="0" w:firstLine="851"/>
      </w:pPr>
      <w:r w:rsidRPr="00913D45">
        <w:t>turi būti galimybė su tam tikromis CPVA pasirinktomis sąskaitomis susijusius mokesčius nuskaičiuoti ir registruoti vienoje konkrečioje sąskaitoje.</w:t>
      </w:r>
    </w:p>
    <w:p w14:paraId="3EC9F7F4" w14:textId="274D8235" w:rsidR="00B04CF6" w:rsidRDefault="007B2E92" w:rsidP="00AD5C29">
      <w:pPr>
        <w:pStyle w:val="Punktai1"/>
        <w:numPr>
          <w:ilvl w:val="1"/>
          <w:numId w:val="1"/>
        </w:numPr>
        <w:spacing w:line="240" w:lineRule="auto"/>
        <w:ind w:left="0" w:firstLine="851"/>
      </w:pPr>
      <w:r>
        <w:t xml:space="preserve">Sistemos prieinamumas </w:t>
      </w:r>
      <w:r w:rsidR="006E4A91">
        <w:t>24/7</w:t>
      </w:r>
      <w:r w:rsidR="004571B8">
        <w:t>.</w:t>
      </w:r>
    </w:p>
    <w:p w14:paraId="612540FD" w14:textId="09360118" w:rsidR="004571B8" w:rsidRPr="00571EB8" w:rsidRDefault="2AFE4794" w:rsidP="1CC8DD97">
      <w:pPr>
        <w:pStyle w:val="Punktai1"/>
        <w:spacing w:line="240" w:lineRule="auto"/>
        <w:ind w:left="0" w:firstLine="851"/>
      </w:pPr>
      <w:r>
        <w:t xml:space="preserve">Tiekėjas privalo laikytis </w:t>
      </w:r>
      <w:r w:rsidRPr="1CC8DD97">
        <w:rPr>
          <w:rStyle w:val="Strong"/>
          <w:rFonts w:eastAsiaTheme="majorEastAsia"/>
          <w:b w:val="0"/>
          <w:bCs w:val="0"/>
        </w:rPr>
        <w:t>BDAR (ES) 2016/679</w:t>
      </w:r>
      <w:r>
        <w:t>, LR Asmens duomenų teisinės apsaugos įstatymo ir Lietuvos banko in</w:t>
      </w:r>
      <w:r w:rsidR="3E3C5687">
        <w:t>formacijos saugumo reikalavimų.</w:t>
      </w:r>
    </w:p>
    <w:p w14:paraId="6ABA6A67" w14:textId="0D298A64" w:rsidR="00C20251" w:rsidRPr="00571EB8" w:rsidRDefault="00C20251" w:rsidP="00AD5C29">
      <w:pPr>
        <w:widowControl/>
        <w:autoSpaceDE/>
        <w:autoSpaceDN/>
        <w:adjustRightInd/>
        <w:ind w:firstLine="0"/>
        <w:jc w:val="both"/>
        <w:rPr>
          <w:rFonts w:ascii="Times New Roman" w:hAnsi="Times New Roman" w:cs="Times New Roman"/>
          <w:sz w:val="24"/>
        </w:rPr>
      </w:pPr>
    </w:p>
    <w:p w14:paraId="21D23EFD" w14:textId="2C38EBBF" w:rsidR="00C20251" w:rsidRPr="00571EB8" w:rsidRDefault="00D176FD" w:rsidP="00D176FD">
      <w:pPr>
        <w:widowControl/>
        <w:autoSpaceDE/>
        <w:autoSpaceDN/>
        <w:adjustRightInd/>
        <w:ind w:firstLine="0"/>
        <w:jc w:val="center"/>
        <w:rPr>
          <w:rFonts w:ascii="Times New Roman" w:hAnsi="Times New Roman" w:cs="Times New Roman"/>
          <w:sz w:val="24"/>
        </w:rPr>
      </w:pPr>
      <w:r w:rsidRPr="00571EB8">
        <w:rPr>
          <w:rFonts w:ascii="Times New Roman" w:hAnsi="Times New Roman" w:cs="Times New Roman"/>
          <w:sz w:val="24"/>
        </w:rPr>
        <w:t>__________</w:t>
      </w:r>
    </w:p>
    <w:sectPr w:rsidR="00C20251" w:rsidRPr="00571EB8" w:rsidSect="00AD5C29">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33BE" w14:textId="77777777" w:rsidR="00375BA9" w:rsidRDefault="00375BA9" w:rsidP="00C20251">
      <w:r>
        <w:separator/>
      </w:r>
    </w:p>
  </w:endnote>
  <w:endnote w:type="continuationSeparator" w:id="0">
    <w:p w14:paraId="07585427" w14:textId="77777777" w:rsidR="00375BA9" w:rsidRDefault="00375BA9" w:rsidP="00C2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77E3" w14:textId="77777777" w:rsidR="00375BA9" w:rsidRDefault="00375BA9" w:rsidP="00C20251">
      <w:r>
        <w:separator/>
      </w:r>
    </w:p>
  </w:footnote>
  <w:footnote w:type="continuationSeparator" w:id="0">
    <w:p w14:paraId="67D60E19" w14:textId="77777777" w:rsidR="00375BA9" w:rsidRDefault="00375BA9" w:rsidP="00C20251">
      <w:r>
        <w:continuationSeparator/>
      </w:r>
    </w:p>
  </w:footnote>
  <w:footnote w:id="1">
    <w:p w14:paraId="0C90EA0E" w14:textId="77777777" w:rsidR="00C20251" w:rsidRDefault="00C20251" w:rsidP="00D176FD">
      <w:pPr>
        <w:pStyle w:val="FootnoteText"/>
        <w:tabs>
          <w:tab w:val="clear" w:pos="360"/>
        </w:tabs>
        <w:ind w:left="0" w:firstLine="0"/>
        <w:jc w:val="both"/>
      </w:pPr>
      <w:r>
        <w:rPr>
          <w:rStyle w:val="FootnoteReference"/>
        </w:rPr>
        <w:footnoteRef/>
      </w:r>
      <w:r>
        <w:t xml:space="preserve"> </w:t>
      </w:r>
      <w:r w:rsidRPr="00C70983">
        <w:rPr>
          <w:lang w:val="lt-LT"/>
        </w:rPr>
        <w:t>Nurodytos Paslaugos ir jų apimtys yra preliminarios. CPVA Sutarties galiojimo metu neįsipareigoja pirkti visų nurodytų Paslaugų / jų apimčių. Sutarties vykdymo metu, prireikus papildomai įsigyti paslaugų, CPVA turi teisę papildomai įsigyti Sutartyje nurodytų Paslaugų už Sutartyje nurodytus įkainius.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9B0"/>
    <w:multiLevelType w:val="hybridMultilevel"/>
    <w:tmpl w:val="9CC49A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504F4"/>
    <w:multiLevelType w:val="multilevel"/>
    <w:tmpl w:val="F1F632CE"/>
    <w:lvl w:ilvl="0">
      <w:start w:val="1"/>
      <w:numFmt w:val="decimal"/>
      <w:pStyle w:val="Punktai1"/>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715812014">
    <w:abstractNumId w:val="1"/>
  </w:num>
  <w:num w:numId="2" w16cid:durableId="111012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51"/>
    <w:rsid w:val="000D5914"/>
    <w:rsid w:val="00125282"/>
    <w:rsid w:val="00150671"/>
    <w:rsid w:val="00166E8F"/>
    <w:rsid w:val="001767BB"/>
    <w:rsid w:val="001832F6"/>
    <w:rsid w:val="001D70A3"/>
    <w:rsid w:val="001E19B0"/>
    <w:rsid w:val="00211CE8"/>
    <w:rsid w:val="002356D5"/>
    <w:rsid w:val="00293AE0"/>
    <w:rsid w:val="002A55DA"/>
    <w:rsid w:val="002E365D"/>
    <w:rsid w:val="003407E7"/>
    <w:rsid w:val="00362731"/>
    <w:rsid w:val="00373A3A"/>
    <w:rsid w:val="00375BA9"/>
    <w:rsid w:val="003801BC"/>
    <w:rsid w:val="003E2EEE"/>
    <w:rsid w:val="003E3737"/>
    <w:rsid w:val="003F4827"/>
    <w:rsid w:val="003F5421"/>
    <w:rsid w:val="004571B8"/>
    <w:rsid w:val="00463CC2"/>
    <w:rsid w:val="00464A12"/>
    <w:rsid w:val="00466A1D"/>
    <w:rsid w:val="00480A22"/>
    <w:rsid w:val="004C2225"/>
    <w:rsid w:val="004C52AB"/>
    <w:rsid w:val="004E6AFA"/>
    <w:rsid w:val="00510469"/>
    <w:rsid w:val="005244DE"/>
    <w:rsid w:val="00571EB8"/>
    <w:rsid w:val="0057632B"/>
    <w:rsid w:val="00583BCC"/>
    <w:rsid w:val="00585EC5"/>
    <w:rsid w:val="005B504C"/>
    <w:rsid w:val="005B7123"/>
    <w:rsid w:val="005D221E"/>
    <w:rsid w:val="00635E8A"/>
    <w:rsid w:val="006E4A91"/>
    <w:rsid w:val="0072741D"/>
    <w:rsid w:val="0074202F"/>
    <w:rsid w:val="00774350"/>
    <w:rsid w:val="0078770C"/>
    <w:rsid w:val="007B2E92"/>
    <w:rsid w:val="00843A22"/>
    <w:rsid w:val="00865915"/>
    <w:rsid w:val="00876353"/>
    <w:rsid w:val="008F1806"/>
    <w:rsid w:val="00931F88"/>
    <w:rsid w:val="0093495E"/>
    <w:rsid w:val="00934AAC"/>
    <w:rsid w:val="009448D3"/>
    <w:rsid w:val="00945A41"/>
    <w:rsid w:val="00967ECD"/>
    <w:rsid w:val="009A1220"/>
    <w:rsid w:val="009D6FE0"/>
    <w:rsid w:val="009F31C9"/>
    <w:rsid w:val="00A17892"/>
    <w:rsid w:val="00A60BE0"/>
    <w:rsid w:val="00AB4B04"/>
    <w:rsid w:val="00AC6080"/>
    <w:rsid w:val="00AD5C29"/>
    <w:rsid w:val="00AD6C13"/>
    <w:rsid w:val="00AE051B"/>
    <w:rsid w:val="00AE4323"/>
    <w:rsid w:val="00AF7350"/>
    <w:rsid w:val="00B04CF6"/>
    <w:rsid w:val="00B35648"/>
    <w:rsid w:val="00B35A9B"/>
    <w:rsid w:val="00B36AC7"/>
    <w:rsid w:val="00B54C87"/>
    <w:rsid w:val="00B94368"/>
    <w:rsid w:val="00BA0FD2"/>
    <w:rsid w:val="00BA740B"/>
    <w:rsid w:val="00C03771"/>
    <w:rsid w:val="00C20251"/>
    <w:rsid w:val="00C721D7"/>
    <w:rsid w:val="00C911E1"/>
    <w:rsid w:val="00CC4913"/>
    <w:rsid w:val="00D12070"/>
    <w:rsid w:val="00D176FD"/>
    <w:rsid w:val="00D224BA"/>
    <w:rsid w:val="00D3321A"/>
    <w:rsid w:val="00D50CF2"/>
    <w:rsid w:val="00D579F8"/>
    <w:rsid w:val="00D640D7"/>
    <w:rsid w:val="00D82AD1"/>
    <w:rsid w:val="00D866DD"/>
    <w:rsid w:val="00DB348B"/>
    <w:rsid w:val="00DC2604"/>
    <w:rsid w:val="00DC5D9F"/>
    <w:rsid w:val="00DD47BD"/>
    <w:rsid w:val="00E44510"/>
    <w:rsid w:val="00E82871"/>
    <w:rsid w:val="00E82D16"/>
    <w:rsid w:val="00E838C6"/>
    <w:rsid w:val="00E90C0A"/>
    <w:rsid w:val="00EB1861"/>
    <w:rsid w:val="00EB71A6"/>
    <w:rsid w:val="00ED4D9C"/>
    <w:rsid w:val="00EF6300"/>
    <w:rsid w:val="00F330D2"/>
    <w:rsid w:val="00F74F99"/>
    <w:rsid w:val="00F87F96"/>
    <w:rsid w:val="00FB4899"/>
    <w:rsid w:val="0691DFBA"/>
    <w:rsid w:val="1CC8DD97"/>
    <w:rsid w:val="23FA4719"/>
    <w:rsid w:val="2AFE4794"/>
    <w:rsid w:val="3E3C5687"/>
    <w:rsid w:val="431CDA02"/>
    <w:rsid w:val="49726989"/>
    <w:rsid w:val="683DE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F94B"/>
  <w15:chartTrackingRefBased/>
  <w15:docId w15:val="{55D078B5-EBC3-4C08-A8C3-807DB2F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51"/>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Heading1">
    <w:name w:val="heading 1"/>
    <w:basedOn w:val="Normal"/>
    <w:next w:val="Normal"/>
    <w:link w:val="Heading1Char"/>
    <w:uiPriority w:val="9"/>
    <w:qFormat/>
    <w:rsid w:val="00C20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2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2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2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2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251"/>
    <w:rPr>
      <w:rFonts w:eastAsiaTheme="majorEastAsia" w:cstheme="majorBidi"/>
      <w:color w:val="272727" w:themeColor="text1" w:themeTint="D8"/>
    </w:rPr>
  </w:style>
  <w:style w:type="paragraph" w:styleId="Title">
    <w:name w:val="Title"/>
    <w:basedOn w:val="Normal"/>
    <w:next w:val="Normal"/>
    <w:link w:val="TitleChar"/>
    <w:uiPriority w:val="10"/>
    <w:qFormat/>
    <w:rsid w:val="00C202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251"/>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251"/>
    <w:pPr>
      <w:spacing w:before="160"/>
      <w:jc w:val="center"/>
    </w:pPr>
    <w:rPr>
      <w:i/>
      <w:iCs/>
      <w:color w:val="404040" w:themeColor="text1" w:themeTint="BF"/>
    </w:rPr>
  </w:style>
  <w:style w:type="character" w:customStyle="1" w:styleId="QuoteChar">
    <w:name w:val="Quote Char"/>
    <w:basedOn w:val="DefaultParagraphFont"/>
    <w:link w:val="Quote"/>
    <w:uiPriority w:val="29"/>
    <w:rsid w:val="00C20251"/>
    <w:rPr>
      <w:i/>
      <w:iCs/>
      <w:color w:val="404040" w:themeColor="text1" w:themeTint="BF"/>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C20251"/>
    <w:pPr>
      <w:ind w:left="720"/>
      <w:contextualSpacing/>
    </w:pPr>
  </w:style>
  <w:style w:type="character" w:styleId="IntenseEmphasis">
    <w:name w:val="Intense Emphasis"/>
    <w:basedOn w:val="DefaultParagraphFont"/>
    <w:uiPriority w:val="21"/>
    <w:qFormat/>
    <w:rsid w:val="00C20251"/>
    <w:rPr>
      <w:i/>
      <w:iCs/>
      <w:color w:val="0F4761" w:themeColor="accent1" w:themeShade="BF"/>
    </w:rPr>
  </w:style>
  <w:style w:type="paragraph" w:styleId="IntenseQuote">
    <w:name w:val="Intense Quote"/>
    <w:basedOn w:val="Normal"/>
    <w:next w:val="Normal"/>
    <w:link w:val="IntenseQuoteChar"/>
    <w:uiPriority w:val="30"/>
    <w:qFormat/>
    <w:rsid w:val="00C20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251"/>
    <w:rPr>
      <w:i/>
      <w:iCs/>
      <w:color w:val="0F4761" w:themeColor="accent1" w:themeShade="BF"/>
    </w:rPr>
  </w:style>
  <w:style w:type="character" w:styleId="IntenseReference">
    <w:name w:val="Intense Reference"/>
    <w:basedOn w:val="DefaultParagraphFont"/>
    <w:uiPriority w:val="32"/>
    <w:qFormat/>
    <w:rsid w:val="00C20251"/>
    <w:rPr>
      <w:b/>
      <w:bCs/>
      <w:smallCaps/>
      <w:color w:val="0F4761" w:themeColor="accent1" w:themeShade="BF"/>
      <w:spacing w:val="5"/>
    </w:rPr>
  </w:style>
  <w:style w:type="table" w:styleId="TableGrid">
    <w:name w:val="Table Grid"/>
    <w:basedOn w:val="TableNormal"/>
    <w:uiPriority w:val="59"/>
    <w:rsid w:val="00C2025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ußnotentextf"/>
    <w:basedOn w:val="Normal"/>
    <w:link w:val="FootnoteTextChar"/>
    <w:rsid w:val="00C20251"/>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
    <w:basedOn w:val="DefaultParagraphFont"/>
    <w:link w:val="FootnoteText"/>
    <w:rsid w:val="00C20251"/>
    <w:rPr>
      <w:rFonts w:ascii="Times New Roman" w:eastAsia="Times New Roman" w:hAnsi="Times New Roman" w:cs="Times New Roman"/>
      <w:kern w:val="0"/>
      <w:sz w:val="20"/>
      <w:szCs w:val="20"/>
      <w:lang w:val="en-US"/>
      <w14:ligatures w14:val="none"/>
    </w:rPr>
  </w:style>
  <w:style w:type="character" w:styleId="FootnoteReference">
    <w:name w:val="footnote reference"/>
    <w:rsid w:val="00C20251"/>
    <w:rPr>
      <w:vertAlign w:val="superscript"/>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C20251"/>
  </w:style>
  <w:style w:type="paragraph" w:customStyle="1" w:styleId="Punktai1">
    <w:name w:val="Punktai 1."/>
    <w:basedOn w:val="Normal"/>
    <w:link w:val="Punktai1Char"/>
    <w:uiPriority w:val="99"/>
    <w:qFormat/>
    <w:rsid w:val="00C20251"/>
    <w:pPr>
      <w:widowControl/>
      <w:numPr>
        <w:numId w:val="1"/>
      </w:numPr>
      <w:tabs>
        <w:tab w:val="left" w:pos="1134"/>
      </w:tabs>
      <w:autoSpaceDE/>
      <w:autoSpaceDN/>
      <w:adjustRightInd/>
      <w:spacing w:line="360" w:lineRule="auto"/>
      <w:contextualSpacing/>
      <w:jc w:val="both"/>
    </w:pPr>
    <w:rPr>
      <w:rFonts w:ascii="Times New Roman" w:hAnsi="Times New Roman" w:cs="Times New Roman"/>
      <w:sz w:val="24"/>
      <w:lang w:eastAsia="en-US"/>
    </w:rPr>
  </w:style>
  <w:style w:type="character" w:customStyle="1" w:styleId="Punktai1Char">
    <w:name w:val="Punktai 1. Char"/>
    <w:basedOn w:val="DefaultParagraphFont"/>
    <w:link w:val="Punktai1"/>
    <w:uiPriority w:val="99"/>
    <w:locked/>
    <w:rsid w:val="00C20251"/>
    <w:rPr>
      <w:rFonts w:ascii="Times New Roman" w:eastAsia="Times New Roman" w:hAnsi="Times New Roman" w:cs="Times New Roman"/>
      <w:kern w:val="0"/>
      <w14:ligatures w14:val="none"/>
    </w:rPr>
  </w:style>
  <w:style w:type="paragraph" w:styleId="Header">
    <w:name w:val="header"/>
    <w:basedOn w:val="Normal"/>
    <w:link w:val="HeaderChar"/>
    <w:uiPriority w:val="99"/>
    <w:semiHidden/>
    <w:unhideWhenUsed/>
    <w:rsid w:val="00AF7350"/>
    <w:pPr>
      <w:tabs>
        <w:tab w:val="center" w:pos="4513"/>
        <w:tab w:val="right" w:pos="9026"/>
      </w:tabs>
    </w:pPr>
  </w:style>
  <w:style w:type="character" w:customStyle="1" w:styleId="HeaderChar">
    <w:name w:val="Header Char"/>
    <w:basedOn w:val="DefaultParagraphFont"/>
    <w:link w:val="Header"/>
    <w:uiPriority w:val="99"/>
    <w:semiHidden/>
    <w:rsid w:val="00AF7350"/>
    <w:rPr>
      <w:rFonts w:ascii="Arial" w:eastAsia="Times New Roman" w:hAnsi="Arial" w:cs="Arial"/>
      <w:kern w:val="0"/>
      <w:sz w:val="20"/>
      <w:lang w:eastAsia="lt-LT"/>
      <w14:ligatures w14:val="none"/>
    </w:rPr>
  </w:style>
  <w:style w:type="paragraph" w:styleId="Footer">
    <w:name w:val="footer"/>
    <w:basedOn w:val="Normal"/>
    <w:link w:val="FooterChar"/>
    <w:uiPriority w:val="99"/>
    <w:semiHidden/>
    <w:unhideWhenUsed/>
    <w:rsid w:val="00AF7350"/>
    <w:pPr>
      <w:tabs>
        <w:tab w:val="center" w:pos="4513"/>
        <w:tab w:val="right" w:pos="9026"/>
      </w:tabs>
    </w:pPr>
  </w:style>
  <w:style w:type="character" w:customStyle="1" w:styleId="FooterChar">
    <w:name w:val="Footer Char"/>
    <w:basedOn w:val="DefaultParagraphFont"/>
    <w:link w:val="Footer"/>
    <w:uiPriority w:val="99"/>
    <w:semiHidden/>
    <w:rsid w:val="00AF7350"/>
    <w:rPr>
      <w:rFonts w:ascii="Arial" w:eastAsia="Times New Roman" w:hAnsi="Arial" w:cs="Arial"/>
      <w:kern w:val="0"/>
      <w:sz w:val="20"/>
      <w:lang w:eastAsia="lt-LT"/>
      <w14:ligatures w14:val="none"/>
    </w:rPr>
  </w:style>
  <w:style w:type="paragraph" w:styleId="CommentText">
    <w:name w:val="annotation text"/>
    <w:basedOn w:val="Normal"/>
    <w:link w:val="CommentTextChar"/>
    <w:uiPriority w:val="99"/>
    <w:unhideWhenUsed/>
    <w:rsid w:val="00AF7350"/>
    <w:rPr>
      <w:szCs w:val="20"/>
    </w:rPr>
  </w:style>
  <w:style w:type="character" w:customStyle="1" w:styleId="CommentTextChar">
    <w:name w:val="Comment Text Char"/>
    <w:basedOn w:val="DefaultParagraphFont"/>
    <w:link w:val="CommentText"/>
    <w:uiPriority w:val="99"/>
    <w:rsid w:val="00AF7350"/>
    <w:rPr>
      <w:rFonts w:ascii="Arial" w:eastAsia="Times New Roman" w:hAnsi="Arial" w:cs="Arial"/>
      <w:kern w:val="0"/>
      <w:sz w:val="20"/>
      <w:szCs w:val="20"/>
      <w:lang w:eastAsia="lt-LT"/>
      <w14:ligatures w14:val="none"/>
    </w:rPr>
  </w:style>
  <w:style w:type="character" w:styleId="CommentReference">
    <w:name w:val="annotation reference"/>
    <w:basedOn w:val="DefaultParagraphFont"/>
    <w:uiPriority w:val="99"/>
    <w:semiHidden/>
    <w:unhideWhenUsed/>
    <w:rsid w:val="00AF7350"/>
    <w:rPr>
      <w:sz w:val="16"/>
      <w:szCs w:val="16"/>
    </w:rPr>
  </w:style>
  <w:style w:type="paragraph" w:styleId="CommentSubject">
    <w:name w:val="annotation subject"/>
    <w:basedOn w:val="CommentText"/>
    <w:next w:val="CommentText"/>
    <w:link w:val="CommentSubjectChar"/>
    <w:uiPriority w:val="99"/>
    <w:semiHidden/>
    <w:unhideWhenUsed/>
    <w:rsid w:val="00D50CF2"/>
    <w:rPr>
      <w:b/>
      <w:bCs/>
    </w:rPr>
  </w:style>
  <w:style w:type="character" w:customStyle="1" w:styleId="CommentSubjectChar">
    <w:name w:val="Comment Subject Char"/>
    <w:basedOn w:val="CommentTextChar"/>
    <w:link w:val="CommentSubject"/>
    <w:uiPriority w:val="99"/>
    <w:semiHidden/>
    <w:rsid w:val="00D50CF2"/>
    <w:rPr>
      <w:rFonts w:ascii="Arial" w:eastAsia="Times New Roman" w:hAnsi="Arial" w:cs="Arial"/>
      <w:b/>
      <w:bCs/>
      <w:kern w:val="0"/>
      <w:sz w:val="20"/>
      <w:szCs w:val="20"/>
      <w:lang w:eastAsia="lt-LT"/>
      <w14:ligatures w14:val="none"/>
    </w:rPr>
  </w:style>
  <w:style w:type="character" w:styleId="Strong">
    <w:name w:val="Strong"/>
    <w:basedOn w:val="DefaultParagraphFont"/>
    <w:uiPriority w:val="22"/>
    <w:qFormat/>
    <w:rsid w:val="00865915"/>
    <w:rPr>
      <w:b/>
      <w:bCs/>
    </w:rPr>
  </w:style>
  <w:style w:type="paragraph" w:styleId="Revision">
    <w:name w:val="Revision"/>
    <w:hidden/>
    <w:uiPriority w:val="99"/>
    <w:semiHidden/>
    <w:rsid w:val="00585EC5"/>
    <w:pPr>
      <w:spacing w:after="0" w:line="240" w:lineRule="auto"/>
    </w:pPr>
    <w:rPr>
      <w:rFonts w:ascii="Arial" w:eastAsia="Times New Roman" w:hAnsi="Arial" w:cs="Arial"/>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3042</Words>
  <Characters>1735</Characters>
  <Application>Microsoft Office Word</Application>
  <DocSecurity>0</DocSecurity>
  <Lines>14</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Jurgita Makarienė</cp:lastModifiedBy>
  <cp:revision>3</cp:revision>
  <dcterms:created xsi:type="dcterms:W3CDTF">2025-11-26T11:56:00Z</dcterms:created>
  <dcterms:modified xsi:type="dcterms:W3CDTF">2025-11-26T11:57:00Z</dcterms:modified>
</cp:coreProperties>
</file>