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24ED" w14:textId="77777777" w:rsidR="00ED5C3C" w:rsidRPr="007D4C62" w:rsidRDefault="00ED5C3C" w:rsidP="00ED5C3C">
      <w:pPr>
        <w:spacing w:after="0"/>
        <w:jc w:val="center"/>
        <w:rPr>
          <w:rFonts w:ascii="Calibri" w:eastAsia="Times New Roman" w:hAnsi="Calibri" w:cs="Calibri"/>
          <w:kern w:val="0"/>
          <w14:ligatures w14:val="none"/>
        </w:rPr>
      </w:pPr>
      <w:bookmarkStart w:id="0" w:name="_Hlk85535517"/>
      <w:bookmarkStart w:id="1" w:name="_Hlk131499300"/>
      <w:bookmarkStart w:id="2" w:name="_Hlk153353472"/>
      <w:r w:rsidRPr="007D4C62">
        <w:rPr>
          <w:rFonts w:ascii="Calibri" w:eastAsia="Times New Roman" w:hAnsi="Calibri" w:cs="Calibri"/>
          <w:noProof/>
          <w:kern w:val="0"/>
          <w:lang w:eastAsia="lt-LT"/>
          <w14:ligatures w14:val="none"/>
        </w:rPr>
        <w:drawing>
          <wp:inline distT="0" distB="0" distL="0" distR="0" wp14:anchorId="1CDAB4D3" wp14:editId="0D57B216">
            <wp:extent cx="542925" cy="552450"/>
            <wp:effectExtent l="0" t="0" r="0" b="0"/>
            <wp:docPr id="1763446194" name="Picture 1763446194" descr="Lietuvos herbas - Vytis. Šarvuotas raitelis su skydu ir kalavi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46194" name="Picture 1763446194" descr="Lietuvos herbas - Vytis. Šarvuotas raitelis su skydu ir kalaviju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B7588" w14:textId="77777777" w:rsidR="00ED5C3C" w:rsidRPr="007D4C62" w:rsidRDefault="00ED5C3C" w:rsidP="00ED5C3C">
      <w:pPr>
        <w:spacing w:after="0"/>
        <w:jc w:val="center"/>
        <w:rPr>
          <w:rFonts w:ascii="Calibri" w:eastAsia="Times New Roman" w:hAnsi="Calibri" w:cs="Calibri"/>
          <w:kern w:val="0"/>
          <w14:ligatures w14:val="none"/>
        </w:rPr>
      </w:pPr>
    </w:p>
    <w:p w14:paraId="7C98CFA6" w14:textId="77777777" w:rsidR="00ED5C3C" w:rsidRPr="007D4C62" w:rsidRDefault="00ED5C3C" w:rsidP="00ED5C3C">
      <w:pPr>
        <w:keepNext/>
        <w:tabs>
          <w:tab w:val="left" w:pos="900"/>
        </w:tabs>
        <w:spacing w:after="0"/>
        <w:jc w:val="center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7D4C62">
        <w:rPr>
          <w:rFonts w:ascii="Calibri" w:eastAsia="Calibri" w:hAnsi="Calibri" w:cs="Calibri"/>
          <w:b/>
          <w:bCs/>
          <w:kern w:val="0"/>
          <w14:ligatures w14:val="none"/>
        </w:rPr>
        <w:t>VIEŠŲJŲ PIRKIMŲ TARNYBA</w:t>
      </w:r>
    </w:p>
    <w:p w14:paraId="0D630D11" w14:textId="77777777" w:rsidR="00ED5C3C" w:rsidRPr="007D4C62" w:rsidRDefault="00ED5C3C" w:rsidP="00ED5C3C">
      <w:pPr>
        <w:tabs>
          <w:tab w:val="left" w:pos="900"/>
        </w:tabs>
        <w:spacing w:after="0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2BF8FF19" w14:textId="77777777" w:rsidR="00ED5C3C" w:rsidRPr="007D4C62" w:rsidRDefault="00ED5C3C" w:rsidP="00ED5C3C">
      <w:pPr>
        <w:tabs>
          <w:tab w:val="left" w:pos="900"/>
        </w:tabs>
        <w:spacing w:after="0"/>
        <w:jc w:val="both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113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7"/>
        <w:gridCol w:w="2529"/>
        <w:gridCol w:w="1865"/>
        <w:gridCol w:w="2409"/>
      </w:tblGrid>
      <w:tr w:rsidR="00ED5C3C" w:rsidRPr="007D4C62" w14:paraId="0BB16D2E" w14:textId="77777777" w:rsidTr="00E56CB5">
        <w:trPr>
          <w:cantSplit/>
          <w:trHeight w:val="80"/>
        </w:trPr>
        <w:tc>
          <w:tcPr>
            <w:tcW w:w="4537" w:type="dxa"/>
            <w:hideMark/>
          </w:tcPr>
          <w:p w14:paraId="0A5F2539" w14:textId="77777777" w:rsidR="00ED5C3C" w:rsidRPr="00A6401A" w:rsidRDefault="00ED5C3C" w:rsidP="00E56CB5">
            <w:pPr>
              <w:spacing w:after="0"/>
              <w:rPr>
                <w:rFonts w:ascii="Calibri" w:eastAsia="Times New Roman" w:hAnsi="Calibri" w:cs="Calibri"/>
                <w:bCs/>
              </w:rPr>
            </w:pPr>
            <w:r w:rsidRPr="00A6401A">
              <w:rPr>
                <w:rFonts w:ascii="Calibri" w:eastAsia="Times New Roman" w:hAnsi="Calibri" w:cs="Calibri"/>
                <w:bCs/>
              </w:rPr>
              <w:t xml:space="preserve">Gynybos resursų agentūrai </w:t>
            </w:r>
          </w:p>
          <w:p w14:paraId="7F23A597" w14:textId="77777777" w:rsidR="00ED5C3C" w:rsidRPr="00A6401A" w:rsidRDefault="00ED5C3C" w:rsidP="00E56CB5">
            <w:pPr>
              <w:spacing w:after="0"/>
              <w:rPr>
                <w:rFonts w:ascii="Calibri" w:eastAsia="Times New Roman" w:hAnsi="Calibri" w:cs="Calibri"/>
                <w:bCs/>
              </w:rPr>
            </w:pPr>
            <w:r w:rsidRPr="00A6401A">
              <w:rPr>
                <w:rFonts w:ascii="Calibri" w:eastAsia="Times New Roman" w:hAnsi="Calibri" w:cs="Calibri"/>
                <w:bCs/>
              </w:rPr>
              <w:t>prie Krašto apsaugos ministerijos</w:t>
            </w:r>
          </w:p>
          <w:p w14:paraId="1594804D" w14:textId="77777777" w:rsidR="00ED5C3C" w:rsidRPr="00A6401A" w:rsidRDefault="00ED5C3C" w:rsidP="00E56CB5">
            <w:pPr>
              <w:spacing w:after="0"/>
              <w:rPr>
                <w:rFonts w:ascii="Calibri" w:eastAsia="Times New Roman" w:hAnsi="Calibri" w:cs="Calibri"/>
                <w:bCs/>
              </w:rPr>
            </w:pPr>
            <w:r w:rsidRPr="00A6401A">
              <w:rPr>
                <w:rFonts w:ascii="Calibri" w:eastAsia="Times New Roman" w:hAnsi="Calibri" w:cs="Calibri"/>
                <w:bCs/>
              </w:rPr>
              <w:t xml:space="preserve">El. p.: </w:t>
            </w:r>
            <w:hyperlink r:id="rId9" w:history="1">
              <w:r w:rsidRPr="00A6401A">
                <w:rPr>
                  <w:rFonts w:ascii="Calibri" w:hAnsi="Calibri" w:cs="Calibri"/>
                  <w:bCs/>
                </w:rPr>
                <w:t>gra</w:t>
              </w:r>
              <w:r w:rsidRPr="00A6401A">
                <w:rPr>
                  <w:rFonts w:ascii="Calibri" w:eastAsia="Times New Roman" w:hAnsi="Calibri" w:cs="Calibri"/>
                  <w:bCs/>
                </w:rPr>
                <w:t>@kam.lt</w:t>
              </w:r>
            </w:hyperlink>
          </w:p>
          <w:p w14:paraId="6036AEE1" w14:textId="77777777" w:rsidR="00393622" w:rsidRDefault="00393622" w:rsidP="00393622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  <w:p w14:paraId="7D0AD9EB" w14:textId="77777777" w:rsidR="00393622" w:rsidRPr="00393622" w:rsidRDefault="00393622" w:rsidP="0039362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529" w:type="dxa"/>
            <w:hideMark/>
          </w:tcPr>
          <w:p w14:paraId="2457054F" w14:textId="6F8BFCB1" w:rsidR="00ED5C3C" w:rsidRPr="007D4C62" w:rsidRDefault="00ED5C3C" w:rsidP="00E56CB5">
            <w:pPr>
              <w:spacing w:after="0"/>
              <w:ind w:left="-105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                    2025-1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>-</w:t>
            </w:r>
          </w:p>
          <w:p w14:paraId="573744CC" w14:textId="101FE25C" w:rsidR="00ED5C3C" w:rsidRDefault="00ED5C3C" w:rsidP="00E56CB5">
            <w:pPr>
              <w:tabs>
                <w:tab w:val="left" w:pos="462"/>
              </w:tabs>
              <w:spacing w:after="0"/>
              <w:ind w:left="2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               Į 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2025-08-11</w:t>
            </w:r>
          </w:p>
          <w:p w14:paraId="4F1C2F93" w14:textId="60714789" w:rsidR="00ED5C3C" w:rsidRDefault="00ED5C3C" w:rsidP="00ED5C3C">
            <w:pPr>
              <w:tabs>
                <w:tab w:val="left" w:pos="462"/>
              </w:tabs>
              <w:spacing w:after="0"/>
              <w:ind w:left="29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                 </w:t>
            </w: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>2025-1</w:t>
            </w:r>
            <w:r w:rsidR="00393622">
              <w:rPr>
                <w:rFonts w:ascii="Calibri" w:eastAsia="Times New Roman" w:hAnsi="Calibri" w:cs="Calibri"/>
                <w:kern w:val="0"/>
                <w14:ligatures w14:val="none"/>
              </w:rPr>
              <w:t>0</w:t>
            </w: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>-</w:t>
            </w:r>
            <w:r w:rsidR="00393622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  <w:p w14:paraId="397361C5" w14:textId="77B6428D" w:rsidR="00ED5C3C" w:rsidRDefault="00ED5C3C" w:rsidP="00E56CB5">
            <w:pPr>
              <w:tabs>
                <w:tab w:val="left" w:pos="462"/>
              </w:tabs>
              <w:spacing w:after="0"/>
              <w:ind w:left="29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                 </w:t>
            </w: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>2025-1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  <w:p w14:paraId="1A7A93A4" w14:textId="77777777" w:rsidR="00ED5C3C" w:rsidRPr="007D4C62" w:rsidRDefault="00ED5C3C" w:rsidP="00ED5C3C">
            <w:pPr>
              <w:tabs>
                <w:tab w:val="left" w:pos="462"/>
              </w:tabs>
              <w:spacing w:after="0"/>
              <w:ind w:left="29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65" w:type="dxa"/>
            <w:hideMark/>
          </w:tcPr>
          <w:p w14:paraId="6B7EC295" w14:textId="77777777" w:rsidR="00ED5C3C" w:rsidRPr="007D4C62" w:rsidRDefault="00ED5C3C" w:rsidP="00E56CB5">
            <w:pPr>
              <w:spacing w:after="0"/>
              <w:ind w:left="-105" w:right="-237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>Nr. 4S-</w:t>
            </w:r>
          </w:p>
          <w:p w14:paraId="7079F30C" w14:textId="62B6FAA5" w:rsidR="00ED5C3C" w:rsidRDefault="00ED5C3C" w:rsidP="00E56CB5">
            <w:pPr>
              <w:spacing w:after="0"/>
              <w:ind w:left="-105" w:right="-2379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Nr. S-1281</w:t>
            </w:r>
          </w:p>
          <w:p w14:paraId="78FBBD52" w14:textId="1F80C39A" w:rsidR="00ED5C3C" w:rsidRPr="007D4C62" w:rsidRDefault="00ED5C3C" w:rsidP="00E56CB5">
            <w:pPr>
              <w:spacing w:after="0"/>
              <w:ind w:left="-105" w:right="-237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Nr. </w:t>
            </w:r>
            <w:r w:rsidRPr="00A6401A">
              <w:rPr>
                <w:rFonts w:ascii="Calibri" w:eastAsia="Times New Roman" w:hAnsi="Calibri" w:cs="Calibri"/>
                <w:kern w:val="0"/>
                <w14:ligatures w14:val="none"/>
              </w:rPr>
              <w:t>S-</w:t>
            </w:r>
            <w:r w:rsidR="00393622">
              <w:rPr>
                <w:rFonts w:ascii="Calibri" w:eastAsia="Times New Roman" w:hAnsi="Calibri" w:cs="Calibri"/>
                <w:kern w:val="0"/>
                <w14:ligatures w14:val="none"/>
              </w:rPr>
              <w:t>1689</w:t>
            </w:r>
          </w:p>
          <w:p w14:paraId="4C6FAB21" w14:textId="77777777" w:rsidR="00393622" w:rsidRPr="007D4C62" w:rsidRDefault="00393622" w:rsidP="00393622">
            <w:pPr>
              <w:spacing w:after="0"/>
              <w:ind w:left="-105" w:right="-237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Nr. </w:t>
            </w:r>
            <w:r w:rsidRPr="00A6401A">
              <w:rPr>
                <w:rFonts w:ascii="Calibri" w:eastAsia="Times New Roman" w:hAnsi="Calibri" w:cs="Calibri"/>
                <w:kern w:val="0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1855</w:t>
            </w:r>
          </w:p>
          <w:p w14:paraId="6C9AE1E8" w14:textId="77777777" w:rsidR="00ED5C3C" w:rsidRPr="007D4C62" w:rsidRDefault="00ED5C3C" w:rsidP="00E56CB5">
            <w:pPr>
              <w:ind w:left="-86" w:right="-2379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0CD96983" w14:textId="77777777" w:rsidR="00ED5C3C" w:rsidRPr="007D4C62" w:rsidRDefault="00ED5C3C" w:rsidP="00E56CB5">
            <w:pPr>
              <w:tabs>
                <w:tab w:val="left" w:pos="1071"/>
              </w:tabs>
              <w:spacing w:after="0"/>
              <w:ind w:left="-105" w:right="-2379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5BABCC07" w14:textId="77777777" w:rsidR="00ED5C3C" w:rsidRPr="007D4C62" w:rsidRDefault="00ED5C3C" w:rsidP="00ED5C3C">
      <w:pPr>
        <w:tabs>
          <w:tab w:val="left" w:pos="7176"/>
        </w:tabs>
        <w:spacing w:after="0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  <w:bookmarkStart w:id="3" w:name="_Hlk85523927"/>
      <w:bookmarkStart w:id="4" w:name="_Hlk156483607"/>
      <w:r w:rsidRPr="007D4C62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SPRENDIMAS DĖL SUTIKIMO VYKDYTI PIRKIMĄ NESKELBIAMŲ DERYBŲ BŪDU</w:t>
      </w:r>
    </w:p>
    <w:p w14:paraId="68BF030E" w14:textId="77777777" w:rsidR="00ED5C3C" w:rsidRPr="007D4C62" w:rsidRDefault="00ED5C3C" w:rsidP="00ED5C3C">
      <w:pPr>
        <w:tabs>
          <w:tab w:val="left" w:pos="7176"/>
        </w:tabs>
        <w:spacing w:after="0"/>
        <w:rPr>
          <w:rFonts w:ascii="Calibri" w:eastAsia="Times New Roman" w:hAnsi="Calibri" w:cs="Calibri"/>
          <w:kern w:val="0"/>
          <w:lang w:eastAsia="lt-LT"/>
          <w14:ligatures w14:val="none"/>
        </w:rPr>
      </w:pPr>
    </w:p>
    <w:bookmarkEnd w:id="3"/>
    <w:bookmarkEnd w:id="4"/>
    <w:p w14:paraId="02E51A1D" w14:textId="38FFD606" w:rsidR="00ED5C3C" w:rsidRPr="00A6401A" w:rsidRDefault="00ED5C3C" w:rsidP="00DB52F6">
      <w:pPr>
        <w:spacing w:after="0"/>
        <w:ind w:firstLine="567"/>
        <w:rPr>
          <w:rFonts w:ascii="Calibri" w:hAnsi="Calibri" w:cs="Calibri"/>
        </w:rPr>
      </w:pPr>
      <w:r w:rsidRPr="00A6401A">
        <w:rPr>
          <w:rFonts w:ascii="Calibri" w:hAnsi="Calibri" w:cs="Calibri"/>
        </w:rPr>
        <w:t>Viešųjų pirkimų tarnyba (toliau – Tarnyba), vadovaudamasi Lietuvos Respublikos viešųjų pirkimų, atliekamų gynybos ir saugumo srityje, įstatymo (toliau – Įstatymas) 9 straipsnio 2 dalies 6 punktu ir Perkančiųjų organizacijų prašymų dėl Viešųjų pirkimų tarnybos sutikimų pateikimo ir nagrinėjimo taisyklėmis</w:t>
      </w:r>
      <w:r w:rsidRPr="00A6401A">
        <w:rPr>
          <w:rStyle w:val="FootnoteReference"/>
          <w:rFonts w:ascii="Calibri" w:hAnsi="Calibri" w:cs="Calibri"/>
        </w:rPr>
        <w:footnoteReference w:id="1"/>
      </w:r>
      <w:r w:rsidRPr="00A6401A">
        <w:rPr>
          <w:rFonts w:ascii="Calibri" w:hAnsi="Calibri" w:cs="Calibri"/>
        </w:rPr>
        <w:t xml:space="preserve"> (toliau – Taisyklės), </w:t>
      </w:r>
      <w:r w:rsidRPr="007731C5">
        <w:rPr>
          <w:rFonts w:ascii="Calibri" w:hAnsi="Calibri" w:cs="Calibri"/>
        </w:rPr>
        <w:t xml:space="preserve">išnagrinėjo Gynybos resursų agentūros </w:t>
      </w:r>
      <w:r w:rsidRPr="007731C5">
        <w:rPr>
          <w:rFonts w:ascii="Calibri" w:hAnsi="Calibri" w:cs="Calibri"/>
          <w:bCs/>
        </w:rPr>
        <w:t>prie Krašto apsaugos ministerijos</w:t>
      </w:r>
      <w:r w:rsidRPr="007731C5">
        <w:rPr>
          <w:rFonts w:ascii="Calibri" w:hAnsi="Calibri" w:cs="Calibri"/>
        </w:rPr>
        <w:t xml:space="preserve"> (toliau – Perkančioji organizacija</w:t>
      </w:r>
      <w:r w:rsidR="00732E22">
        <w:rPr>
          <w:rFonts w:ascii="Calibri" w:hAnsi="Calibri" w:cs="Calibri"/>
        </w:rPr>
        <w:t xml:space="preserve"> arba GRA</w:t>
      </w:r>
      <w:r w:rsidRPr="007731C5">
        <w:rPr>
          <w:rFonts w:ascii="Calibri" w:hAnsi="Calibri" w:cs="Calibri"/>
        </w:rPr>
        <w:t xml:space="preserve">) prašymą sutikti </w:t>
      </w:r>
      <w:r w:rsidR="002033CB" w:rsidRPr="007731C5">
        <w:rPr>
          <w:rFonts w:ascii="Calibri" w:hAnsi="Calibri" w:cs="Calibri"/>
        </w:rPr>
        <w:t xml:space="preserve">vidinio ryšio įrangos WiSPR priedų pirkimą </w:t>
      </w:r>
      <w:r w:rsidRPr="007731C5">
        <w:rPr>
          <w:rFonts w:ascii="Calibri" w:hAnsi="Calibri" w:cs="Calibri"/>
        </w:rPr>
        <w:t>(toliau – Pirkimas) vykdyti neskelbiamų derybų</w:t>
      </w:r>
      <w:r w:rsidRPr="00A6401A">
        <w:rPr>
          <w:rFonts w:ascii="Calibri" w:hAnsi="Calibri" w:cs="Calibri"/>
        </w:rPr>
        <w:t xml:space="preserve"> būdu, vadovaujantis Įstatymo 19 straipsnio 4 dalies 5 punktu</w:t>
      </w:r>
      <w:r>
        <w:rPr>
          <w:rFonts w:ascii="Calibri" w:hAnsi="Calibri" w:cs="Calibri"/>
        </w:rPr>
        <w:t xml:space="preserve"> (toliau – Prašymas)</w:t>
      </w:r>
      <w:r w:rsidRPr="00A6401A">
        <w:rPr>
          <w:rFonts w:ascii="Calibri" w:hAnsi="Calibri" w:cs="Calibri"/>
        </w:rPr>
        <w:t>.</w:t>
      </w:r>
    </w:p>
    <w:p w14:paraId="54463EDC" w14:textId="015172DC" w:rsidR="000F3FC5" w:rsidRPr="00D63B02" w:rsidRDefault="00061939" w:rsidP="00DB52F6">
      <w:pPr>
        <w:spacing w:after="0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Perkančioji organizacija nurodo</w:t>
      </w:r>
      <w:r w:rsidR="00ED5C3C" w:rsidRPr="00D63B02">
        <w:rPr>
          <w:rFonts w:ascii="Calibri" w:hAnsi="Calibri" w:cs="Calibri"/>
        </w:rPr>
        <w:t xml:space="preserve">, kad </w:t>
      </w:r>
      <w:r w:rsidR="00013AC4">
        <w:rPr>
          <w:rFonts w:ascii="Calibri" w:hAnsi="Calibri" w:cs="Calibri"/>
        </w:rPr>
        <w:t>į</w:t>
      </w:r>
      <w:r w:rsidR="000F3FC5" w:rsidRPr="00D63B02">
        <w:rPr>
          <w:rFonts w:ascii="Calibri" w:hAnsi="Calibri" w:cs="Calibri"/>
        </w:rPr>
        <w:t xml:space="preserve">monės IDE INTRACOM DEFENSE vidinio ryšio aparatūros WiSPR komplektai </w:t>
      </w:r>
      <w:r w:rsidR="001A70BE">
        <w:rPr>
          <w:rFonts w:ascii="Calibri" w:hAnsi="Calibri" w:cs="Calibri"/>
        </w:rPr>
        <w:t xml:space="preserve">yra </w:t>
      </w:r>
      <w:r w:rsidR="000F3FC5" w:rsidRPr="00D63B02">
        <w:rPr>
          <w:rFonts w:ascii="Calibri" w:hAnsi="Calibri" w:cs="Calibri"/>
        </w:rPr>
        <w:t xml:space="preserve">įdiegti Lietuvos kariuomenės </w:t>
      </w:r>
      <w:r w:rsidR="00E54E79" w:rsidRPr="00E54E79">
        <w:rPr>
          <w:rFonts w:ascii="Calibri" w:hAnsi="Calibri" w:cs="Calibri"/>
        </w:rPr>
        <w:t>šarvuot</w:t>
      </w:r>
      <w:r w:rsidR="007C18C7">
        <w:rPr>
          <w:rFonts w:ascii="Calibri" w:hAnsi="Calibri" w:cs="Calibri"/>
        </w:rPr>
        <w:t>ose</w:t>
      </w:r>
      <w:r w:rsidR="00E54E79" w:rsidRPr="00E54E79">
        <w:rPr>
          <w:rFonts w:ascii="Calibri" w:hAnsi="Calibri" w:cs="Calibri"/>
        </w:rPr>
        <w:t xml:space="preserve"> transporto priemon</w:t>
      </w:r>
      <w:r w:rsidR="00D06B6D">
        <w:rPr>
          <w:rFonts w:ascii="Calibri" w:hAnsi="Calibri" w:cs="Calibri"/>
        </w:rPr>
        <w:t>ė</w:t>
      </w:r>
      <w:r w:rsidR="00BD66A8">
        <w:rPr>
          <w:rFonts w:ascii="Calibri" w:hAnsi="Calibri" w:cs="Calibri"/>
        </w:rPr>
        <w:t>se</w:t>
      </w:r>
      <w:r w:rsidR="00950598" w:rsidRPr="00E54E79">
        <w:rPr>
          <w:rFonts w:ascii="Calibri" w:hAnsi="Calibri" w:cs="Calibri"/>
        </w:rPr>
        <w:t xml:space="preserve">, </w:t>
      </w:r>
      <w:r w:rsidR="00A569B4" w:rsidRPr="00E54E79">
        <w:rPr>
          <w:rFonts w:ascii="Calibri" w:hAnsi="Calibri" w:cs="Calibri"/>
        </w:rPr>
        <w:t>š</w:t>
      </w:r>
      <w:r w:rsidR="000F3FC5" w:rsidRPr="00E54E79">
        <w:rPr>
          <w:rFonts w:ascii="Calibri" w:hAnsi="Calibri" w:cs="Calibri"/>
        </w:rPr>
        <w:t>i įranga yra neatskiriama minėtos karinės technikos ryšių</w:t>
      </w:r>
      <w:r w:rsidR="000F3FC5" w:rsidRPr="00D63B02">
        <w:rPr>
          <w:rFonts w:ascii="Calibri" w:hAnsi="Calibri" w:cs="Calibri"/>
        </w:rPr>
        <w:t xml:space="preserve"> sistemos dalis, užtikrinanti patikimą ir saugią vidinę komunikaciją vykdant karines operacijas bei pratybas. </w:t>
      </w:r>
      <w:r w:rsidR="00732E22">
        <w:rPr>
          <w:rFonts w:ascii="Calibri" w:hAnsi="Calibri" w:cs="Calibri"/>
        </w:rPr>
        <w:t xml:space="preserve">Perkančiosios organizacijos teigimu, </w:t>
      </w:r>
      <w:r w:rsidR="00E449E3">
        <w:rPr>
          <w:rFonts w:ascii="Calibri" w:hAnsi="Calibri" w:cs="Calibri"/>
        </w:rPr>
        <w:t>v</w:t>
      </w:r>
      <w:r w:rsidR="000F3FC5" w:rsidRPr="00D63B02">
        <w:rPr>
          <w:rFonts w:ascii="Calibri" w:hAnsi="Calibri" w:cs="Calibri"/>
        </w:rPr>
        <w:t xml:space="preserve">idinio ryšio įranga WiSPR gaminama pagal unikalius specifikacijos reikalavimus, turinčius uždarą architektūrą ir patentuotą technologinį sprendimą. </w:t>
      </w:r>
    </w:p>
    <w:p w14:paraId="3BA3942F" w14:textId="77777777" w:rsidR="00EE41A2" w:rsidRDefault="00AB0DFA" w:rsidP="00EE41A2">
      <w:pPr>
        <w:tabs>
          <w:tab w:val="left" w:pos="1134"/>
        </w:tabs>
        <w:spacing w:after="0"/>
        <w:ind w:firstLine="567"/>
        <w:rPr>
          <w:rFonts w:ascii="Calibri" w:hAnsi="Calibri" w:cs="Calibri"/>
        </w:rPr>
      </w:pPr>
      <w:r>
        <w:rPr>
          <w:rFonts w:ascii="Calibri" w:hAnsi="Calibri" w:cs="Calibri"/>
        </w:rPr>
        <w:t>Prašyme taip pat pažymima, jog s</w:t>
      </w:r>
      <w:r w:rsidR="00911D59" w:rsidRPr="00911D59">
        <w:rPr>
          <w:rFonts w:ascii="Calibri" w:hAnsi="Calibri" w:cs="Calibri"/>
        </w:rPr>
        <w:t>iekiant užtikrinti sklandžią ir operatyvią vidinio ryšio įrangos techninę priežiūrą, būtina įsigyti papildomus vidinio ryšio įrangos priedus</w:t>
      </w:r>
      <w:r w:rsidR="00B34CCA">
        <w:rPr>
          <w:rFonts w:ascii="Calibri" w:hAnsi="Calibri" w:cs="Calibri"/>
        </w:rPr>
        <w:t>, kadangi d</w:t>
      </w:r>
      <w:r w:rsidR="00911D59" w:rsidRPr="00911D59">
        <w:rPr>
          <w:rFonts w:ascii="Calibri" w:hAnsi="Calibri" w:cs="Calibri"/>
        </w:rPr>
        <w:t>ėl intensyvaus naudojimo ir specifinių eksploatacinių sąlygų kyla poreikis atlikti greitus remonto darbus, kad būtų išvengta ryšio trikdžių ir užtikrintas nuolatinis operatyvumas.</w:t>
      </w:r>
      <w:r w:rsidR="00EE41A2">
        <w:rPr>
          <w:rFonts w:ascii="Calibri" w:hAnsi="Calibri" w:cs="Calibri"/>
        </w:rPr>
        <w:t xml:space="preserve"> </w:t>
      </w:r>
      <w:r w:rsidR="00281EB5">
        <w:rPr>
          <w:rFonts w:ascii="Calibri" w:hAnsi="Calibri" w:cs="Calibri"/>
        </w:rPr>
        <w:t xml:space="preserve">GRA </w:t>
      </w:r>
      <w:r w:rsidR="000B0213">
        <w:rPr>
          <w:rFonts w:ascii="Calibri" w:hAnsi="Calibri" w:cs="Calibri"/>
        </w:rPr>
        <w:t>nurodo</w:t>
      </w:r>
      <w:r w:rsidR="009600EF">
        <w:rPr>
          <w:rFonts w:ascii="Calibri" w:hAnsi="Calibri" w:cs="Calibri"/>
        </w:rPr>
        <w:t>, jog P</w:t>
      </w:r>
      <w:r w:rsidR="009600EF" w:rsidRPr="009600EF">
        <w:rPr>
          <w:rFonts w:ascii="Calibri" w:hAnsi="Calibri" w:cs="Calibri"/>
        </w:rPr>
        <w:t>irkimu siekia įsigyti tik prekes, t. y. vidinės ryšio įrangos WiSPR atsargines dalis, kurias, esant ekstremalioms situacijoms Lietuvos kariuomenės specialistai patys operatyviai pakeistų kariniame transporte</w:t>
      </w:r>
      <w:r w:rsidR="009600EF">
        <w:rPr>
          <w:rFonts w:ascii="Calibri" w:hAnsi="Calibri" w:cs="Calibri"/>
        </w:rPr>
        <w:t>.</w:t>
      </w:r>
      <w:r w:rsidR="003607C2">
        <w:rPr>
          <w:rFonts w:ascii="Calibri" w:hAnsi="Calibri" w:cs="Calibri"/>
        </w:rPr>
        <w:t xml:space="preserve"> </w:t>
      </w:r>
    </w:p>
    <w:p w14:paraId="64529C49" w14:textId="1EE68F46" w:rsidR="002159B6" w:rsidRPr="009600EF" w:rsidRDefault="005F0041" w:rsidP="00EE41A2">
      <w:pPr>
        <w:tabs>
          <w:tab w:val="left" w:pos="1134"/>
        </w:tabs>
        <w:spacing w:after="0"/>
        <w:ind w:firstLine="567"/>
        <w:rPr>
          <w:rFonts w:ascii="Calibri" w:hAnsi="Calibri" w:cs="Calibri"/>
        </w:rPr>
      </w:pPr>
      <w:r>
        <w:rPr>
          <w:rFonts w:ascii="Calibri" w:hAnsi="Calibri" w:cs="Calibri"/>
        </w:rPr>
        <w:t>Papildomai pateiktoje informacijo</w:t>
      </w:r>
      <w:r w:rsidR="00140B4E">
        <w:rPr>
          <w:rFonts w:ascii="Calibri" w:hAnsi="Calibri" w:cs="Calibri"/>
        </w:rPr>
        <w:t>j</w:t>
      </w:r>
      <w:r>
        <w:rPr>
          <w:rFonts w:ascii="Calibri" w:hAnsi="Calibri" w:cs="Calibri"/>
        </w:rPr>
        <w:t>e</w:t>
      </w:r>
      <w:r w:rsidR="00842ACE">
        <w:rPr>
          <w:rFonts w:ascii="Calibri" w:hAnsi="Calibri" w:cs="Calibri"/>
        </w:rPr>
        <w:t xml:space="preserve"> t</w:t>
      </w:r>
      <w:r w:rsidR="003607C2">
        <w:rPr>
          <w:rFonts w:ascii="Calibri" w:hAnsi="Calibri" w:cs="Calibri"/>
        </w:rPr>
        <w:t xml:space="preserve">aip pat </w:t>
      </w:r>
      <w:r w:rsidR="0095716D">
        <w:rPr>
          <w:rFonts w:ascii="Calibri" w:hAnsi="Calibri" w:cs="Calibri"/>
        </w:rPr>
        <w:t>nurodoma</w:t>
      </w:r>
      <w:r w:rsidR="003607C2">
        <w:rPr>
          <w:rFonts w:ascii="Calibri" w:hAnsi="Calibri" w:cs="Calibri"/>
        </w:rPr>
        <w:t>, jog</w:t>
      </w:r>
      <w:r w:rsidR="00182E75">
        <w:rPr>
          <w:rFonts w:ascii="Calibri" w:hAnsi="Calibri" w:cs="Calibri"/>
        </w:rPr>
        <w:t xml:space="preserve"> </w:t>
      </w:r>
      <w:r w:rsidR="002159B6" w:rsidRPr="00C6284F">
        <w:rPr>
          <w:rFonts w:ascii="Calibri" w:hAnsi="Calibri" w:cs="Calibri"/>
        </w:rPr>
        <w:t>2025 m. lapkričio 4 d. IDE INTRACOM DEFENSE rašto</w:t>
      </w:r>
      <w:r w:rsidR="00FB3F23">
        <w:rPr>
          <w:rStyle w:val="FootnoteReference"/>
          <w:rFonts w:ascii="Calibri" w:hAnsi="Calibri" w:cs="Calibri"/>
        </w:rPr>
        <w:footnoteReference w:id="2"/>
      </w:r>
      <w:r w:rsidR="002159B6" w:rsidRPr="00C6284F">
        <w:rPr>
          <w:rFonts w:ascii="Calibri" w:hAnsi="Calibri" w:cs="Calibri"/>
        </w:rPr>
        <w:t xml:space="preserve"> priede pateiktas WiSPR vidinio ryšio įrangos komplektuojančiųjų dalių sąrašas su NATO nomenklatūriniais numeriais (toliau –  NSN, angl. </w:t>
      </w:r>
      <w:proofErr w:type="spellStart"/>
      <w:r w:rsidR="002159B6" w:rsidRPr="00C6284F">
        <w:rPr>
          <w:rFonts w:ascii="Calibri" w:hAnsi="Calibri" w:cs="Calibri"/>
          <w:i/>
        </w:rPr>
        <w:t>National</w:t>
      </w:r>
      <w:proofErr w:type="spellEnd"/>
      <w:r w:rsidR="002159B6" w:rsidRPr="00C6284F">
        <w:rPr>
          <w:rFonts w:ascii="Calibri" w:hAnsi="Calibri" w:cs="Calibri"/>
          <w:i/>
        </w:rPr>
        <w:t xml:space="preserve"> </w:t>
      </w:r>
      <w:proofErr w:type="spellStart"/>
      <w:r w:rsidR="002159B6" w:rsidRPr="00C6284F">
        <w:rPr>
          <w:rFonts w:ascii="Calibri" w:hAnsi="Calibri" w:cs="Calibri"/>
          <w:i/>
        </w:rPr>
        <w:t>Stock</w:t>
      </w:r>
      <w:proofErr w:type="spellEnd"/>
      <w:r w:rsidR="002159B6" w:rsidRPr="00C6284F">
        <w:rPr>
          <w:rFonts w:ascii="Calibri" w:hAnsi="Calibri" w:cs="Calibri"/>
          <w:i/>
        </w:rPr>
        <w:t xml:space="preserve"> </w:t>
      </w:r>
      <w:proofErr w:type="spellStart"/>
      <w:r w:rsidR="002159B6" w:rsidRPr="00C6284F">
        <w:rPr>
          <w:rFonts w:ascii="Calibri" w:hAnsi="Calibri" w:cs="Calibri"/>
          <w:i/>
        </w:rPr>
        <w:t>Number</w:t>
      </w:r>
      <w:proofErr w:type="spellEnd"/>
      <w:r w:rsidR="002159B6" w:rsidRPr="00C6284F">
        <w:rPr>
          <w:rFonts w:ascii="Calibri" w:hAnsi="Calibri" w:cs="Calibri"/>
        </w:rPr>
        <w:t>). Tai</w:t>
      </w:r>
      <w:r w:rsidR="00E03873">
        <w:rPr>
          <w:rFonts w:ascii="Calibri" w:hAnsi="Calibri" w:cs="Calibri"/>
        </w:rPr>
        <w:t xml:space="preserve">, anot GRA, </w:t>
      </w:r>
      <w:r w:rsidR="002159B6" w:rsidRPr="00C6284F">
        <w:rPr>
          <w:rFonts w:ascii="Calibri" w:hAnsi="Calibri" w:cs="Calibri"/>
        </w:rPr>
        <w:t xml:space="preserve">rodo, kad vienintelis gamintojas yra IDE INTRACOM DEFENSE, ir, atsižvelgiant į NATO NSN duomenų bazės informaciją, akivaizdu, kad nėra alternatyvių dalių, kurios galėtų pakeisti </w:t>
      </w:r>
      <w:r w:rsidR="002159B6" w:rsidRPr="00C6284F">
        <w:rPr>
          <w:rFonts w:ascii="Calibri" w:hAnsi="Calibri" w:cs="Calibri"/>
        </w:rPr>
        <w:lastRenderedPageBreak/>
        <w:t>WiSPR dalis, kadangi WiSPR vidinio ryšio sistema sukurta pagal modulinio tipo komponentų architektūrą</w:t>
      </w:r>
      <w:r w:rsidR="00213EF4">
        <w:rPr>
          <w:rFonts w:ascii="Calibri" w:hAnsi="Calibri" w:cs="Calibri"/>
        </w:rPr>
        <w:t xml:space="preserve">, </w:t>
      </w:r>
      <w:r w:rsidR="002159B6" w:rsidRPr="00C6284F">
        <w:rPr>
          <w:rFonts w:ascii="Calibri" w:hAnsi="Calibri" w:cs="Calibri"/>
        </w:rPr>
        <w:t xml:space="preserve">WiSPR vidinio ryšio įranga yra unikalios konstrukcijos, naudojamos specialiai suprojektuotos ir pagamintos WiSPR vidinio ryšio įrangos komplektuojančiosios dalys, kurios užtikrina specifines funkcijas. </w:t>
      </w:r>
      <w:r w:rsidR="004F59A5">
        <w:rPr>
          <w:rFonts w:ascii="Calibri" w:hAnsi="Calibri" w:cs="Calibri"/>
        </w:rPr>
        <w:t xml:space="preserve">Taip pat </w:t>
      </w:r>
      <w:r w:rsidR="00661ACA">
        <w:rPr>
          <w:rFonts w:ascii="Calibri" w:hAnsi="Calibri" w:cs="Calibri"/>
        </w:rPr>
        <w:t>gaminto</w:t>
      </w:r>
      <w:r w:rsidR="00E32B6F">
        <w:rPr>
          <w:rFonts w:ascii="Calibri" w:hAnsi="Calibri" w:cs="Calibri"/>
        </w:rPr>
        <w:t xml:space="preserve">jo pateiktoje informacijoje </w:t>
      </w:r>
      <w:r w:rsidR="004F59A5">
        <w:rPr>
          <w:rFonts w:ascii="Calibri" w:hAnsi="Calibri" w:cs="Calibri"/>
        </w:rPr>
        <w:t>nurodoma, jog</w:t>
      </w:r>
      <w:r w:rsidR="002159B6" w:rsidRPr="00C6284F">
        <w:rPr>
          <w:rFonts w:ascii="Calibri" w:hAnsi="Calibri" w:cs="Calibri"/>
        </w:rPr>
        <w:t xml:space="preserve"> nėra alternatyvų, kurias būtų galima prijungti prie WiSPR sistemos ir susieti kaip WiSPR tarpusavio ryšio sistemos dalis.</w:t>
      </w:r>
    </w:p>
    <w:p w14:paraId="5AA875C0" w14:textId="5A80380D" w:rsidR="009B3FF2" w:rsidRPr="00CB64CD" w:rsidRDefault="002F05F4" w:rsidP="00614780">
      <w:pPr>
        <w:spacing w:after="0"/>
        <w:ind w:firstLine="709"/>
        <w:rPr>
          <w:rFonts w:ascii="Calibri" w:hAnsi="Calibri" w:cs="Calibri"/>
        </w:rPr>
      </w:pPr>
      <w:r w:rsidRPr="00423F7B">
        <w:rPr>
          <w:rFonts w:ascii="Calibri" w:hAnsi="Calibri" w:cs="Calibri"/>
        </w:rPr>
        <w:t>Perkančioji organizacija akcentuoja,</w:t>
      </w:r>
      <w:r w:rsidR="00EC142E" w:rsidRPr="00423F7B">
        <w:rPr>
          <w:rFonts w:ascii="Calibri" w:hAnsi="Calibri" w:cs="Calibri"/>
        </w:rPr>
        <w:t xml:space="preserve"> jog  minėtos </w:t>
      </w:r>
      <w:r w:rsidR="00156F18" w:rsidRPr="00423F7B">
        <w:rPr>
          <w:rFonts w:ascii="Calibri" w:hAnsi="Calibri" w:cs="Calibri"/>
        </w:rPr>
        <w:t xml:space="preserve">įrangos priedų įsigijimas yra būtinas, kad būtų užtikrintas </w:t>
      </w:r>
      <w:r w:rsidR="00156F18" w:rsidRPr="00CB64CD">
        <w:rPr>
          <w:rFonts w:ascii="Calibri" w:hAnsi="Calibri" w:cs="Calibri"/>
        </w:rPr>
        <w:t>operatyvinės veiklos tęstinumas ir techninis patikimumas</w:t>
      </w:r>
      <w:r w:rsidR="00A8753F" w:rsidRPr="00CB64CD">
        <w:rPr>
          <w:rFonts w:ascii="Calibri" w:hAnsi="Calibri" w:cs="Calibri"/>
        </w:rPr>
        <w:t xml:space="preserve">, </w:t>
      </w:r>
      <w:r w:rsidR="00156F18" w:rsidRPr="00CB64CD">
        <w:rPr>
          <w:rFonts w:ascii="Calibri" w:hAnsi="Calibri" w:cs="Calibri"/>
        </w:rPr>
        <w:t>visišk</w:t>
      </w:r>
      <w:r w:rsidR="00A8753F" w:rsidRPr="00CB64CD">
        <w:rPr>
          <w:rFonts w:ascii="Calibri" w:hAnsi="Calibri" w:cs="Calibri"/>
        </w:rPr>
        <w:t>as</w:t>
      </w:r>
      <w:r w:rsidR="00156F18" w:rsidRPr="00CB64CD">
        <w:rPr>
          <w:rFonts w:ascii="Calibri" w:hAnsi="Calibri" w:cs="Calibri"/>
        </w:rPr>
        <w:t xml:space="preserve"> suderinamu</w:t>
      </w:r>
      <w:r w:rsidR="000F07BA" w:rsidRPr="00CB64CD">
        <w:rPr>
          <w:rFonts w:ascii="Calibri" w:hAnsi="Calibri" w:cs="Calibri"/>
        </w:rPr>
        <w:t>mas</w:t>
      </w:r>
      <w:r w:rsidR="00156F18" w:rsidRPr="00CB64CD">
        <w:rPr>
          <w:rFonts w:ascii="Calibri" w:hAnsi="Calibri" w:cs="Calibri"/>
        </w:rPr>
        <w:t xml:space="preserve"> su esama programine ir technine infrastruktūra. </w:t>
      </w:r>
      <w:r w:rsidR="001C645E" w:rsidRPr="00CB64CD">
        <w:rPr>
          <w:rFonts w:ascii="Calibri" w:hAnsi="Calibri" w:cs="Calibri"/>
        </w:rPr>
        <w:t>P</w:t>
      </w:r>
      <w:r w:rsidR="00BF38FB" w:rsidRPr="00CB64CD">
        <w:rPr>
          <w:rFonts w:ascii="Calibri" w:hAnsi="Calibri" w:cs="Calibri"/>
        </w:rPr>
        <w:t>ažymėta</w:t>
      </w:r>
      <w:r w:rsidR="002213C9" w:rsidRPr="00CB64CD">
        <w:rPr>
          <w:rFonts w:ascii="Calibri" w:hAnsi="Calibri" w:cs="Calibri"/>
        </w:rPr>
        <w:t xml:space="preserve">, jog </w:t>
      </w:r>
      <w:r w:rsidR="00BF38FB" w:rsidRPr="00CB64CD">
        <w:rPr>
          <w:rFonts w:ascii="Calibri" w:hAnsi="Calibri" w:cs="Calibri"/>
        </w:rPr>
        <w:t>a</w:t>
      </w:r>
      <w:r w:rsidR="002213C9" w:rsidRPr="00CB64CD">
        <w:rPr>
          <w:rFonts w:ascii="Calibri" w:hAnsi="Calibri" w:cs="Calibri"/>
        </w:rPr>
        <w:t>tsarginės dalys (pvz., keičiamieji moduliai, valdymo blokai ir kt.) turi būti suderintos technologiškai su esama WiSPR įranga</w:t>
      </w:r>
      <w:r w:rsidR="00CB64CD" w:rsidRPr="00CB64CD">
        <w:rPr>
          <w:rFonts w:ascii="Calibri" w:hAnsi="Calibri" w:cs="Calibri"/>
        </w:rPr>
        <w:t xml:space="preserve">, </w:t>
      </w:r>
      <w:r w:rsidR="00AC07C6">
        <w:rPr>
          <w:rFonts w:ascii="Calibri" w:hAnsi="Calibri" w:cs="Calibri"/>
        </w:rPr>
        <w:t xml:space="preserve">kadangi </w:t>
      </w:r>
      <w:r w:rsidR="00DD14D9" w:rsidRPr="00CB64CD">
        <w:rPr>
          <w:rFonts w:ascii="Calibri" w:hAnsi="Calibri" w:cs="Calibri"/>
        </w:rPr>
        <w:t xml:space="preserve">WiSPR įrangos komponentai tarpusavyje susiję per gamintojo vidinius ryšio protokolus, taigi atsarginės dalys turi būti autentiškos (originalaus gamintojo), kad būtų užtikrintas funkcionalumas, </w:t>
      </w:r>
      <w:r w:rsidR="00DD14D9" w:rsidRPr="007B3C89">
        <w:rPr>
          <w:rFonts w:ascii="Calibri" w:hAnsi="Calibri" w:cs="Calibri"/>
        </w:rPr>
        <w:t>konfigūracijų suderinamumas</w:t>
      </w:r>
      <w:r w:rsidR="00CB64CD" w:rsidRPr="007B3C89">
        <w:rPr>
          <w:rFonts w:ascii="Calibri" w:hAnsi="Calibri" w:cs="Calibri"/>
        </w:rPr>
        <w:t>.</w:t>
      </w:r>
      <w:r w:rsidR="007B3C89" w:rsidRPr="007B3C89">
        <w:rPr>
          <w:rFonts w:ascii="Calibri" w:hAnsi="Calibri" w:cs="Calibri"/>
        </w:rPr>
        <w:t xml:space="preserve"> Pateikdama papildomą informaciją, Perkančioji organizacija pabrėžė, jog </w:t>
      </w:r>
      <w:r w:rsidR="009B3FF2" w:rsidRPr="007B3C89">
        <w:rPr>
          <w:rFonts w:ascii="Calibri" w:hAnsi="Calibri" w:cs="Calibri"/>
        </w:rPr>
        <w:t xml:space="preserve">WiSPR priedai tiesiogiai priklauso nuo kitų WiSPR įrangos sudedamųjų dalių, t. y. valdymo įrenginių, siųstuvų, maitinimo blokų ir licencijuotos programinės įrangos, vadinasi, </w:t>
      </w:r>
      <w:r w:rsidR="009B3FF2" w:rsidRPr="007B3C89">
        <w:rPr>
          <w:rStyle w:val="Strong"/>
          <w:rFonts w:ascii="Calibri" w:hAnsi="Calibri" w:cs="Calibri"/>
          <w:b w:val="0"/>
          <w:bCs w:val="0"/>
        </w:rPr>
        <w:t>pakeisti komponentų kitų gamintojų įranga techniškai neįmanoma</w:t>
      </w:r>
      <w:r w:rsidR="009B3FF2" w:rsidRPr="007B3C89">
        <w:rPr>
          <w:rFonts w:ascii="Calibri" w:hAnsi="Calibri" w:cs="Calibri"/>
        </w:rPr>
        <w:t>, kadangi būtų pažeistas sistemos funkcinis vientisumas ir saugumo reikalavimai.</w:t>
      </w:r>
    </w:p>
    <w:p w14:paraId="78664E84" w14:textId="4F1FF663" w:rsidR="00ED5C3C" w:rsidRDefault="00ED5C3C" w:rsidP="00DB52F6">
      <w:pPr>
        <w:spacing w:after="0"/>
        <w:ind w:firstLine="720"/>
        <w:rPr>
          <w:rFonts w:ascii="Calibri" w:hAnsi="Calibri" w:cs="Calibri"/>
        </w:rPr>
      </w:pPr>
      <w:r w:rsidRPr="00CB192F">
        <w:rPr>
          <w:rFonts w:ascii="Calibri" w:hAnsi="Calibri" w:cs="Calibri"/>
        </w:rPr>
        <w:t>Atsižvelgdama į visas pirmiau nurodytas aplinkybes, Perkančioji organizacija priėmė sprendimą Pirkimą vykdyti neskelbiamų derybų būdu ir kreiptis į Tarnybą sutikimo dėl tokio Pirkimo būdo pasirinkimo.</w:t>
      </w:r>
    </w:p>
    <w:p w14:paraId="5389B0BE" w14:textId="5A0DCE73" w:rsidR="003D218E" w:rsidRPr="001A229D" w:rsidRDefault="00B73C53" w:rsidP="00DB52F6">
      <w:pPr>
        <w:spacing w:after="0"/>
        <w:ind w:firstLine="720"/>
        <w:rPr>
          <w:rFonts w:ascii="Calibri" w:hAnsi="Calibri" w:cs="Calibri"/>
        </w:rPr>
      </w:pPr>
      <w:r w:rsidRPr="00B73C53">
        <w:rPr>
          <w:rFonts w:ascii="Calibri" w:hAnsi="Calibri" w:cs="Calibri"/>
        </w:rPr>
        <w:t xml:space="preserve">Planuojama Pirkimo vertė – </w:t>
      </w:r>
      <w:r w:rsidR="00973A54">
        <w:rPr>
          <w:rFonts w:ascii="Calibri" w:hAnsi="Calibri" w:cs="Calibri"/>
        </w:rPr>
        <w:t xml:space="preserve">apie </w:t>
      </w:r>
      <w:r w:rsidRPr="00B73C53">
        <w:rPr>
          <w:rFonts w:ascii="Calibri" w:hAnsi="Calibri" w:cs="Calibri"/>
        </w:rPr>
        <w:t>1 mln. Eur su PVM</w:t>
      </w:r>
      <w:r w:rsidR="00973A54">
        <w:rPr>
          <w:rStyle w:val="FootnoteReference"/>
          <w:rFonts w:ascii="Calibri" w:hAnsi="Calibri" w:cs="Calibri"/>
        </w:rPr>
        <w:footnoteReference w:id="3"/>
      </w:r>
      <w:r w:rsidR="00973A54">
        <w:rPr>
          <w:rFonts w:ascii="Calibri" w:hAnsi="Calibri" w:cs="Calibri"/>
        </w:rPr>
        <w:t>.</w:t>
      </w:r>
    </w:p>
    <w:p w14:paraId="07DF1B16" w14:textId="77777777" w:rsidR="00ED5C3C" w:rsidRPr="00D4093E" w:rsidRDefault="00ED5C3C" w:rsidP="00B73C53">
      <w:pPr>
        <w:tabs>
          <w:tab w:val="left" w:pos="6240"/>
        </w:tabs>
        <w:spacing w:after="0"/>
        <w:ind w:firstLine="709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D4093E">
        <w:rPr>
          <w:rFonts w:ascii="Calibri" w:eastAsia="Times New Roman" w:hAnsi="Calibri" w:cs="Calibri"/>
          <w:kern w:val="0"/>
          <w:lang w:eastAsia="lt-LT"/>
          <w14:ligatures w14:val="none"/>
        </w:rPr>
        <w:t>Įstatymo 19 straipsnio 4 dalies 5 punkte nustatyta, kad: „Prekių, paslaugų ir darbų pirkimas neskelbiamų derybų būdu galimas, jeigu yra bent viena iš šių sąlygų &lt;...&gt; jeigu dėl techninių priežasčių arba dėl priežasčių, susijusių su išimtinių teisių apsauga, pirkimo sutartis gali būti sudaroma tik su konkrečiu tiekėju“.</w:t>
      </w:r>
    </w:p>
    <w:p w14:paraId="151EDBA9" w14:textId="77777777" w:rsidR="00ED5C3C" w:rsidRDefault="00ED5C3C" w:rsidP="00B73C53">
      <w:pPr>
        <w:tabs>
          <w:tab w:val="left" w:pos="6240"/>
        </w:tabs>
        <w:spacing w:after="0"/>
        <w:ind w:firstLine="709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FD21F3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2009 m. liepos 13 d. Europos parlamento ir Tarybos direktyvos 2009/81/EB „Dėl darbų, prekių ir paslaugų pirkimo tam tikrų sutarčių, kurias sudaro perkančiosios organizacijos ar subjektai gynybos ir saugumo srityse, sudarymo tvarkos derinimo ir iš dalies keičianti direktyvas 2004/17/EB ir 2004/18/EB“ preambulės (52) pastraipoje nurodyta, kad: „Gali būti, kad tam tikrais pirkimų atvejais, kurie reglamentuojamai pagal šią direktyvą, tik vienas ūkio subjektas gali įvykdyti sutartį &lt;...&gt; dėl techninių priežasčių. &lt;...&gt; techninės priežastys, kuriomis remiantis paaiškinama, kodėl tik vienas ūkio subjektas gali įvykdyti sutartį, turėtų būti griežtai apibrėžtos ir pagrindžiamos kiekvienu atskiru atveju. Minėtosios priežastys galėtų būti, pavyzdžiui, visiškas techninis </w:t>
      </w:r>
      <w:proofErr w:type="spellStart"/>
      <w:r w:rsidRPr="00FD21F3">
        <w:rPr>
          <w:rFonts w:ascii="Calibri" w:eastAsia="Times New Roman" w:hAnsi="Calibri" w:cs="Calibri"/>
          <w:kern w:val="0"/>
          <w:lang w:eastAsia="lt-LT"/>
          <w14:ligatures w14:val="none"/>
        </w:rPr>
        <w:t>neįvykdomumas</w:t>
      </w:r>
      <w:proofErr w:type="spellEnd"/>
      <w:r w:rsidRPr="00FD21F3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kitam kandidatui, išskyrus pasirinktą ūkio subjektą, norint pasiekti reikiamų rezultatų, arba būtinybė, kad būtų naudojamasi tam tikra praktine patirtimi, priemonėmis arba būdais, kuriais disponuoja tik vienas ūkio subjektas. &lt;...&gt; Techninės priežastys taip pat gali būti susijusios su sąveikumo ar saugos reikalavimais, kurie turi būti įvykdyti siekiant užtikrinti ginkluotųjų arba saugumo pajėgų veiklą“.</w:t>
      </w:r>
    </w:p>
    <w:p w14:paraId="59698522" w14:textId="3351AC9D" w:rsidR="00384B3C" w:rsidRDefault="00ED5C3C" w:rsidP="00B229C0">
      <w:pPr>
        <w:tabs>
          <w:tab w:val="left" w:pos="6240"/>
        </w:tabs>
        <w:spacing w:after="0"/>
        <w:ind w:firstLine="709"/>
        <w:rPr>
          <w:rFonts w:ascii="Calibri" w:hAnsi="Calibri" w:cs="Calibri"/>
        </w:rPr>
      </w:pPr>
      <w:r w:rsidRPr="00DD1143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Tarnyba, įvertinusi Perkančiosios organizacijos nurodytus argumentus ir pateiktus dokumentus, </w:t>
      </w:r>
      <w:r w:rsidR="00BE1810">
        <w:rPr>
          <w:rFonts w:ascii="Calibri" w:eastAsia="Times New Roman" w:hAnsi="Calibri" w:cs="Calibri"/>
          <w:kern w:val="0"/>
          <w:lang w:eastAsia="lt-LT"/>
          <w14:ligatures w14:val="none"/>
        </w:rPr>
        <w:t>be kita ko</w:t>
      </w:r>
      <w:r w:rsidR="00EF0E97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ir </w:t>
      </w:r>
      <w:r w:rsidR="00BF3DB6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gamintojo </w:t>
      </w:r>
      <w:r w:rsidR="00EF0E97" w:rsidRPr="00835784">
        <w:rPr>
          <w:rFonts w:ascii="Calibri" w:hAnsi="Calibri" w:cs="Calibri"/>
        </w:rPr>
        <w:t>IDE INTRACOM DEFENSE</w:t>
      </w:r>
      <w:r w:rsidR="00EF0E97" w:rsidRPr="00DD1143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BF3DB6">
        <w:rPr>
          <w:rFonts w:ascii="Calibri" w:eastAsia="Times New Roman" w:hAnsi="Calibri" w:cs="Calibri"/>
          <w:kern w:val="0"/>
          <w:lang w:eastAsia="lt-LT"/>
          <w14:ligatures w14:val="none"/>
        </w:rPr>
        <w:t>pateiktą informaciją</w:t>
      </w:r>
      <w:r w:rsidR="009A7A0E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, </w:t>
      </w:r>
      <w:r w:rsidRPr="00DD1143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nustatė, kad </w:t>
      </w:r>
      <w:r w:rsidR="00BF46A6" w:rsidRPr="002D09D1">
        <w:rPr>
          <w:rFonts w:ascii="Calibri" w:hAnsi="Calibri" w:cs="Calibri"/>
          <w:bCs/>
        </w:rPr>
        <w:t xml:space="preserve">Perkančiosios organizacijos priimtas sprendimas ir pasirinktas Pirkimo būdas atitinka Įstatymo 19 </w:t>
      </w:r>
      <w:r w:rsidR="00BF46A6" w:rsidRPr="002D09D1">
        <w:rPr>
          <w:rFonts w:ascii="Calibri" w:hAnsi="Calibri" w:cs="Calibri"/>
          <w:bCs/>
        </w:rPr>
        <w:lastRenderedPageBreak/>
        <w:t>straipsnio 4 dalies 5 punkto sąlygas,</w:t>
      </w:r>
      <w:r w:rsidR="00BF46A6">
        <w:rPr>
          <w:rFonts w:ascii="Calibri" w:hAnsi="Calibri" w:cs="Calibri"/>
          <w:bCs/>
        </w:rPr>
        <w:t xml:space="preserve"> t. y. </w:t>
      </w:r>
      <w:r w:rsidRPr="00DD1143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Pirkimu siekiamos įsigyti prekės – </w:t>
      </w:r>
      <w:r w:rsidR="008A371F" w:rsidRPr="00DD1143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AF242F" w:rsidRPr="00DD1143">
        <w:rPr>
          <w:rFonts w:ascii="Calibri" w:hAnsi="Calibri" w:cs="Calibri"/>
        </w:rPr>
        <w:t>vidinio ryšio įrang</w:t>
      </w:r>
      <w:r w:rsidR="00AF242F">
        <w:rPr>
          <w:rFonts w:ascii="Calibri" w:hAnsi="Calibri" w:cs="Calibri"/>
        </w:rPr>
        <w:t>os</w:t>
      </w:r>
      <w:r w:rsidR="00AF242F" w:rsidRPr="00DD1143">
        <w:rPr>
          <w:rFonts w:ascii="Calibri" w:hAnsi="Calibri" w:cs="Calibri"/>
        </w:rPr>
        <w:t xml:space="preserve"> WiSPR </w:t>
      </w:r>
      <w:r w:rsidR="00457A59" w:rsidRPr="00DD1143">
        <w:rPr>
          <w:rFonts w:ascii="Calibri" w:hAnsi="Calibri" w:cs="Calibri"/>
        </w:rPr>
        <w:t>priedai (atsarginės dalys)</w:t>
      </w:r>
      <w:r w:rsidR="002C72AF" w:rsidRPr="00DD1143">
        <w:rPr>
          <w:rFonts w:ascii="Calibri" w:hAnsi="Calibri" w:cs="Calibri"/>
        </w:rPr>
        <w:t xml:space="preserve"> turi būti technologiškai </w:t>
      </w:r>
      <w:r w:rsidR="003554C7" w:rsidRPr="00DD1143">
        <w:rPr>
          <w:rFonts w:ascii="Calibri" w:hAnsi="Calibri" w:cs="Calibri"/>
        </w:rPr>
        <w:t xml:space="preserve">suderintos </w:t>
      </w:r>
      <w:r w:rsidR="002C72AF" w:rsidRPr="00DD1143">
        <w:rPr>
          <w:rFonts w:ascii="Calibri" w:hAnsi="Calibri" w:cs="Calibri"/>
        </w:rPr>
        <w:t xml:space="preserve">su </w:t>
      </w:r>
      <w:r w:rsidR="0078228E" w:rsidRPr="00DD1143">
        <w:rPr>
          <w:rFonts w:ascii="Calibri" w:hAnsi="Calibri" w:cs="Calibri"/>
        </w:rPr>
        <w:t>naudojama</w:t>
      </w:r>
      <w:r w:rsidR="002C72AF" w:rsidRPr="00DD1143">
        <w:rPr>
          <w:rFonts w:ascii="Calibri" w:hAnsi="Calibri" w:cs="Calibri"/>
        </w:rPr>
        <w:t xml:space="preserve"> </w:t>
      </w:r>
      <w:r w:rsidR="003554C7" w:rsidRPr="00DD1143">
        <w:rPr>
          <w:rFonts w:ascii="Calibri" w:hAnsi="Calibri" w:cs="Calibri"/>
        </w:rPr>
        <w:t>vidinio ryšio įranga</w:t>
      </w:r>
      <w:r w:rsidR="00840BCD">
        <w:rPr>
          <w:rFonts w:ascii="Calibri" w:hAnsi="Calibri" w:cs="Calibri"/>
        </w:rPr>
        <w:t xml:space="preserve"> ir </w:t>
      </w:r>
      <w:r w:rsidR="00840BCD" w:rsidRPr="00DB6553">
        <w:rPr>
          <w:rFonts w:ascii="Calibri" w:hAnsi="Calibri" w:cs="Calibri"/>
        </w:rPr>
        <w:t xml:space="preserve">tokį </w:t>
      </w:r>
      <w:r w:rsidR="00840BCD" w:rsidRPr="00835784">
        <w:rPr>
          <w:rFonts w:ascii="Calibri" w:hAnsi="Calibri" w:cs="Calibri"/>
        </w:rPr>
        <w:t>suderinamumą gali</w:t>
      </w:r>
      <w:r w:rsidR="0079291B" w:rsidRPr="00835784">
        <w:rPr>
          <w:rFonts w:ascii="Calibri" w:hAnsi="Calibri" w:cs="Calibri"/>
        </w:rPr>
        <w:t xml:space="preserve"> užtikrinti tik </w:t>
      </w:r>
      <w:r w:rsidR="002D01A9" w:rsidRPr="00835784">
        <w:rPr>
          <w:rFonts w:ascii="Calibri" w:hAnsi="Calibri" w:cs="Calibri"/>
        </w:rPr>
        <w:t>to paties gamintojo</w:t>
      </w:r>
      <w:r w:rsidR="00AF2594" w:rsidRPr="00835784">
        <w:rPr>
          <w:rFonts w:ascii="Calibri" w:hAnsi="Calibri" w:cs="Calibri"/>
        </w:rPr>
        <w:t xml:space="preserve"> </w:t>
      </w:r>
      <w:r w:rsidR="009236A7" w:rsidRPr="00835784">
        <w:rPr>
          <w:rFonts w:ascii="Calibri" w:hAnsi="Calibri" w:cs="Calibri"/>
        </w:rPr>
        <w:t>IDE INTRACOM DEFENSE</w:t>
      </w:r>
      <w:r w:rsidR="00383BB6">
        <w:rPr>
          <w:rStyle w:val="FootnoteReference"/>
          <w:rFonts w:ascii="Calibri" w:hAnsi="Calibri" w:cs="Calibri"/>
        </w:rPr>
        <w:footnoteReference w:id="4"/>
      </w:r>
      <w:r w:rsidR="00DB6553" w:rsidRPr="00835784">
        <w:rPr>
          <w:rFonts w:ascii="Calibri" w:hAnsi="Calibri" w:cs="Calibri"/>
        </w:rPr>
        <w:t xml:space="preserve"> </w:t>
      </w:r>
      <w:r w:rsidR="00E0558C" w:rsidRPr="00835784">
        <w:rPr>
          <w:rFonts w:ascii="Calibri" w:hAnsi="Calibri" w:cs="Calibri"/>
        </w:rPr>
        <w:t xml:space="preserve">siūlomi </w:t>
      </w:r>
      <w:r w:rsidR="00AE330B" w:rsidRPr="00835784">
        <w:rPr>
          <w:rFonts w:ascii="Calibri" w:hAnsi="Calibri" w:cs="Calibri"/>
        </w:rPr>
        <w:t xml:space="preserve">vidinio ryšio įrangos WiSPR </w:t>
      </w:r>
      <w:r w:rsidR="00C209A3" w:rsidRPr="00835784">
        <w:rPr>
          <w:rFonts w:ascii="Calibri" w:hAnsi="Calibri" w:cs="Calibri"/>
        </w:rPr>
        <w:t>komponentai</w:t>
      </w:r>
      <w:r w:rsidR="00465D31" w:rsidRPr="00835784">
        <w:rPr>
          <w:rFonts w:ascii="Calibri" w:hAnsi="Calibri" w:cs="Calibri"/>
        </w:rPr>
        <w:t>.</w:t>
      </w:r>
      <w:r w:rsidR="004B4514" w:rsidRPr="00835784">
        <w:rPr>
          <w:rFonts w:ascii="Calibri" w:hAnsi="Calibri" w:cs="Calibri"/>
        </w:rPr>
        <w:t xml:space="preserve"> </w:t>
      </w:r>
      <w:r w:rsidR="00DD4F8C" w:rsidRPr="00835784">
        <w:rPr>
          <w:rFonts w:ascii="Calibri" w:eastAsia="Times New Roman" w:hAnsi="Calibri" w:cs="Calibri"/>
          <w:kern w:val="0"/>
          <w:lang w:eastAsia="lt-LT"/>
          <w14:ligatures w14:val="none"/>
        </w:rPr>
        <w:t>Iš pateiktos</w:t>
      </w:r>
      <w:r w:rsidR="00DD4F8C" w:rsidRPr="00DB6553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informacijos nustatyta, kad</w:t>
      </w:r>
      <w:r w:rsidR="00DD4F8C" w:rsidRPr="00DB6553">
        <w:rPr>
          <w:rFonts w:ascii="Calibri" w:hAnsi="Calibri" w:cs="Calibri"/>
        </w:rPr>
        <w:t xml:space="preserve"> </w:t>
      </w:r>
      <w:r w:rsidR="00595563" w:rsidRPr="00DB6553">
        <w:rPr>
          <w:rFonts w:ascii="Calibri" w:hAnsi="Calibri" w:cs="Calibri"/>
        </w:rPr>
        <w:t xml:space="preserve">vidinio ryšio įranga </w:t>
      </w:r>
      <w:r w:rsidR="00DD4F8C" w:rsidRPr="00DB6553">
        <w:rPr>
          <w:rFonts w:ascii="Calibri" w:hAnsi="Calibri" w:cs="Calibri"/>
        </w:rPr>
        <w:t xml:space="preserve">WiSPR </w:t>
      </w:r>
      <w:r w:rsidR="00595563" w:rsidRPr="00DB6553">
        <w:rPr>
          <w:rFonts w:ascii="Calibri" w:hAnsi="Calibri" w:cs="Calibri"/>
        </w:rPr>
        <w:t>yra unikalios</w:t>
      </w:r>
      <w:r w:rsidR="00595563" w:rsidRPr="00DD1143">
        <w:rPr>
          <w:rFonts w:ascii="Calibri" w:hAnsi="Calibri" w:cs="Calibri"/>
        </w:rPr>
        <w:t xml:space="preserve"> konstrukcijos, </w:t>
      </w:r>
      <w:r w:rsidR="00DD4F8C" w:rsidRPr="00DD1143">
        <w:rPr>
          <w:rFonts w:ascii="Calibri" w:hAnsi="Calibri" w:cs="Calibri"/>
        </w:rPr>
        <w:t xml:space="preserve">kuriai turi būti </w:t>
      </w:r>
      <w:r w:rsidR="00595563" w:rsidRPr="00DD1143">
        <w:rPr>
          <w:rFonts w:ascii="Calibri" w:hAnsi="Calibri" w:cs="Calibri"/>
        </w:rPr>
        <w:t>naudojamos specialiai suprojektuotos ir pagamintos WiSPR vidinio ryšio įrangos komplektuojančiosios dalys, užtikrin</w:t>
      </w:r>
      <w:r w:rsidR="00A66D48" w:rsidRPr="00DD1143">
        <w:rPr>
          <w:rFonts w:ascii="Calibri" w:hAnsi="Calibri" w:cs="Calibri"/>
        </w:rPr>
        <w:t>ančios</w:t>
      </w:r>
      <w:r w:rsidR="00595563" w:rsidRPr="00DD1143">
        <w:rPr>
          <w:rFonts w:ascii="Calibri" w:hAnsi="Calibri" w:cs="Calibri"/>
        </w:rPr>
        <w:t xml:space="preserve"> specifines funkcijas</w:t>
      </w:r>
      <w:r w:rsidR="00563129" w:rsidRPr="00DD1143">
        <w:rPr>
          <w:rFonts w:ascii="Calibri" w:hAnsi="Calibri" w:cs="Calibri"/>
        </w:rPr>
        <w:t xml:space="preserve">, </w:t>
      </w:r>
      <w:r w:rsidR="00F90372">
        <w:rPr>
          <w:rFonts w:ascii="Calibri" w:hAnsi="Calibri" w:cs="Calibri"/>
        </w:rPr>
        <w:t xml:space="preserve">intergraciją su naudojama įranga bei </w:t>
      </w:r>
      <w:r w:rsidR="00F2436B" w:rsidRPr="00DD1143">
        <w:rPr>
          <w:rFonts w:ascii="Calibri" w:hAnsi="Calibri" w:cs="Calibri"/>
        </w:rPr>
        <w:t>tinkamą įrangos veikimą</w:t>
      </w:r>
      <w:r w:rsidR="00F90372">
        <w:rPr>
          <w:rFonts w:ascii="Calibri" w:hAnsi="Calibri" w:cs="Calibri"/>
        </w:rPr>
        <w:t>.</w:t>
      </w:r>
    </w:p>
    <w:p w14:paraId="627427A1" w14:textId="0C9F5E58" w:rsidR="00ED5C3C" w:rsidRPr="002D09D1" w:rsidRDefault="00ED5C3C" w:rsidP="00DF2CD1">
      <w:pPr>
        <w:tabs>
          <w:tab w:val="left" w:pos="6240"/>
        </w:tabs>
        <w:spacing w:after="0"/>
        <w:ind w:firstLine="709"/>
        <w:rPr>
          <w:rFonts w:ascii="Calibri" w:hAnsi="Calibri" w:cs="Calibri"/>
          <w:bCs/>
        </w:rPr>
      </w:pPr>
      <w:r w:rsidRPr="002D09D1">
        <w:rPr>
          <w:rFonts w:ascii="Calibri" w:hAnsi="Calibri" w:cs="Calibri"/>
          <w:bCs/>
        </w:rPr>
        <w:t xml:space="preserve">Atsižvelgdama į nurodytą ir vadovaudamasi Įstatymo 9 straipsnio 2 dalies 6 punktu, </w:t>
      </w:r>
      <w:r w:rsidRPr="002D09D1">
        <w:rPr>
          <w:rFonts w:ascii="Calibri" w:hAnsi="Calibri" w:cs="Calibri"/>
          <w:b/>
          <w:bCs/>
        </w:rPr>
        <w:t>Tarnyba sutinka</w:t>
      </w:r>
      <w:r w:rsidRPr="002D09D1">
        <w:rPr>
          <w:rFonts w:ascii="Calibri" w:hAnsi="Calibri" w:cs="Calibri"/>
          <w:bCs/>
        </w:rPr>
        <w:t>, kad Perkančioji organizacija Pirkimą vykdytų neskelbiamų derybų būdu, vadovaujantis Įstatymo 19 straipsnio 4 dalies 5 punktu, į derybas kviečiant konkretų tiekėją</w:t>
      </w:r>
      <w:r w:rsidR="00C664E6">
        <w:rPr>
          <w:rFonts w:ascii="Calibri" w:hAnsi="Calibri" w:cs="Calibri"/>
          <w:bCs/>
        </w:rPr>
        <w:t xml:space="preserve"> - </w:t>
      </w:r>
      <w:r w:rsidR="00C664E6" w:rsidRPr="00FD7091">
        <w:rPr>
          <w:rFonts w:ascii="Calibri" w:hAnsi="Calibri" w:cs="Calibri"/>
        </w:rPr>
        <w:t>IDE INTRACOM DEFENSE</w:t>
      </w:r>
      <w:r w:rsidRPr="00FD7091">
        <w:rPr>
          <w:rFonts w:ascii="Calibri" w:hAnsi="Calibri" w:cs="Calibri"/>
          <w:bCs/>
        </w:rPr>
        <w:t>.</w:t>
      </w:r>
    </w:p>
    <w:p w14:paraId="1D21379D" w14:textId="77777777" w:rsidR="00ED5C3C" w:rsidRPr="007D4C62" w:rsidRDefault="00ED5C3C" w:rsidP="00DF2CD1">
      <w:pPr>
        <w:tabs>
          <w:tab w:val="left" w:pos="6240"/>
        </w:tabs>
        <w:spacing w:after="0"/>
        <w:ind w:firstLine="709"/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</w:pP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Perkančioji organizacija, nesutinkanti su šiuo sprendimu, gali jį apskųsti per 1 (vieną) mėnesį nuo jo gavimo dienos. Vadovaujantis Lietuvos Respublikos administracinių bylų teisenos įstatymu ir Lietuvos Respublikos ikiteisminio administracinių ginčų nagrinėjimo tvarkos įstatymu, skundai paduodami Lietuvos administracinių ginčų komisijai (A. Goštauto g.12-100, 01108 Vilnius) ar </w:t>
      </w:r>
      <w:r w:rsidRPr="007D4C62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Regionų administraciniam teismui (Žygimantų g. 2, 01102 Vilnius).</w:t>
      </w:r>
    </w:p>
    <w:p w14:paraId="1E5F39A2" w14:textId="77777777" w:rsidR="00ED5C3C" w:rsidRPr="007D4C62" w:rsidRDefault="00ED5C3C" w:rsidP="00ED5C3C">
      <w:pPr>
        <w:tabs>
          <w:tab w:val="left" w:pos="7176"/>
        </w:tabs>
        <w:spacing w:after="0"/>
        <w:ind w:firstLine="851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D5C3C" w:rsidRPr="007D4C62" w14:paraId="16CF1324" w14:textId="77777777" w:rsidTr="00E56CB5">
        <w:tc>
          <w:tcPr>
            <w:tcW w:w="4814" w:type="dxa"/>
            <w:hideMark/>
          </w:tcPr>
          <w:p w14:paraId="4632CD26" w14:textId="77777777" w:rsidR="00ED5C3C" w:rsidRPr="007D4C62" w:rsidRDefault="00ED5C3C" w:rsidP="00E56CB5">
            <w:pPr>
              <w:tabs>
                <w:tab w:val="left" w:pos="1176"/>
              </w:tabs>
              <w:spacing w:after="0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</w:p>
          <w:p w14:paraId="25F507B8" w14:textId="77777777" w:rsidR="00ED5C3C" w:rsidRPr="007D4C62" w:rsidRDefault="00ED5C3C" w:rsidP="00E56CB5">
            <w:pPr>
              <w:tabs>
                <w:tab w:val="left" w:pos="7176"/>
              </w:tabs>
              <w:spacing w:after="0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Direktorius </w:t>
            </w:r>
          </w:p>
        </w:tc>
        <w:tc>
          <w:tcPr>
            <w:tcW w:w="4815" w:type="dxa"/>
            <w:hideMark/>
          </w:tcPr>
          <w:p w14:paraId="4435DA50" w14:textId="77777777" w:rsidR="00ED5C3C" w:rsidRPr="007D4C62" w:rsidRDefault="00ED5C3C" w:rsidP="00E56CB5">
            <w:pPr>
              <w:tabs>
                <w:tab w:val="left" w:pos="7176"/>
              </w:tabs>
              <w:spacing w:after="0"/>
              <w:ind w:left="2593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</w:p>
          <w:p w14:paraId="6104F8F1" w14:textId="77777777" w:rsidR="00ED5C3C" w:rsidRPr="007D4C62" w:rsidRDefault="00ED5C3C" w:rsidP="00E56CB5">
            <w:pPr>
              <w:tabs>
                <w:tab w:val="left" w:pos="7176"/>
              </w:tabs>
              <w:spacing w:after="0"/>
              <w:ind w:left="2593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Darius Vedrickas</w:t>
            </w:r>
          </w:p>
        </w:tc>
      </w:tr>
      <w:bookmarkEnd w:id="0"/>
      <w:bookmarkEnd w:id="1"/>
      <w:bookmarkEnd w:id="2"/>
    </w:tbl>
    <w:p w14:paraId="40D50202" w14:textId="77777777" w:rsidR="00FB4091" w:rsidRDefault="00FB4091"/>
    <w:p w14:paraId="5C32221D" w14:textId="77777777" w:rsidR="00911071" w:rsidRPr="00911071" w:rsidRDefault="00911071" w:rsidP="00911071"/>
    <w:p w14:paraId="3F1CE8AC" w14:textId="77777777" w:rsidR="00911071" w:rsidRPr="00911071" w:rsidRDefault="00911071" w:rsidP="00911071"/>
    <w:p w14:paraId="32CFB353" w14:textId="77777777" w:rsidR="00911071" w:rsidRPr="00911071" w:rsidRDefault="00911071" w:rsidP="00911071"/>
    <w:p w14:paraId="79682080" w14:textId="77777777" w:rsidR="00911071" w:rsidRPr="00911071" w:rsidRDefault="00911071" w:rsidP="00911071"/>
    <w:p w14:paraId="4D1977A4" w14:textId="77777777" w:rsidR="00911071" w:rsidRPr="00911071" w:rsidRDefault="00911071" w:rsidP="00911071"/>
    <w:p w14:paraId="23F0CBBA" w14:textId="77777777" w:rsidR="00911071" w:rsidRPr="00911071" w:rsidRDefault="00911071" w:rsidP="00911071"/>
    <w:p w14:paraId="7515DF4A" w14:textId="77777777" w:rsidR="00911071" w:rsidRPr="00911071" w:rsidRDefault="00911071" w:rsidP="00911071"/>
    <w:p w14:paraId="7BE6E5B4" w14:textId="77777777" w:rsidR="00911071" w:rsidRPr="00911071" w:rsidRDefault="00911071" w:rsidP="00911071"/>
    <w:p w14:paraId="00590DCC" w14:textId="77777777" w:rsidR="00911071" w:rsidRPr="00911071" w:rsidRDefault="00911071" w:rsidP="00911071"/>
    <w:p w14:paraId="54169411" w14:textId="77777777" w:rsidR="00911071" w:rsidRDefault="00911071" w:rsidP="00911071"/>
    <w:p w14:paraId="5D6729A9" w14:textId="77777777" w:rsidR="00911071" w:rsidRDefault="00911071" w:rsidP="00911071">
      <w:pPr>
        <w:spacing w:after="0"/>
      </w:pPr>
    </w:p>
    <w:p w14:paraId="3A61C866" w14:textId="77777777" w:rsidR="00911071" w:rsidRDefault="00911071" w:rsidP="00911071">
      <w:pPr>
        <w:spacing w:after="0"/>
      </w:pPr>
    </w:p>
    <w:p w14:paraId="5FC7D189" w14:textId="77777777" w:rsidR="00911071" w:rsidRDefault="00911071" w:rsidP="00911071">
      <w:pPr>
        <w:spacing w:after="0"/>
      </w:pPr>
    </w:p>
    <w:p w14:paraId="51B14F88" w14:textId="11E86491" w:rsidR="00911071" w:rsidRPr="00911071" w:rsidRDefault="00911071" w:rsidP="00911071">
      <w:pPr>
        <w:spacing w:after="0"/>
        <w:rPr>
          <w:rFonts w:ascii="Calibri" w:eastAsia="Times New Roman" w:hAnsi="Calibri" w:cs="Calibri"/>
          <w:color w:val="000000"/>
          <w:kern w:val="0"/>
          <w:sz w:val="20"/>
          <w:szCs w:val="20"/>
          <w:lang w:eastAsia="lt-LT"/>
          <w14:ligatures w14:val="none"/>
        </w:rPr>
      </w:pPr>
    </w:p>
    <w:sectPr w:rsidR="00911071" w:rsidRPr="00911071" w:rsidSect="00ED5C3C">
      <w:headerReference w:type="defaul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5727" w14:textId="77777777" w:rsidR="00DD7F81" w:rsidRDefault="00DD7F81" w:rsidP="00ED5C3C">
      <w:pPr>
        <w:spacing w:after="0" w:line="240" w:lineRule="auto"/>
      </w:pPr>
      <w:r>
        <w:separator/>
      </w:r>
    </w:p>
  </w:endnote>
  <w:endnote w:type="continuationSeparator" w:id="0">
    <w:p w14:paraId="09FB6232" w14:textId="77777777" w:rsidR="00DD7F81" w:rsidRDefault="00DD7F81" w:rsidP="00ED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CC7C9" w14:textId="77777777" w:rsidR="00ED5C3C" w:rsidRPr="007D4C62" w:rsidRDefault="00ED5C3C" w:rsidP="0067449B">
    <w:pPr>
      <w:pBdr>
        <w:top w:val="single" w:sz="4" w:space="1" w:color="auto"/>
      </w:pBdr>
      <w:spacing w:after="0" w:line="240" w:lineRule="auto"/>
      <w:rPr>
        <w:rFonts w:ascii="Calibri" w:eastAsia="Times New Roman" w:hAnsi="Calibri" w:cs="Calibri"/>
        <w:kern w:val="0"/>
        <w:sz w:val="20"/>
        <w:szCs w:val="20"/>
        <w14:ligatures w14:val="none"/>
      </w:rPr>
    </w:pPr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>Biudžetinė įstaiga                                 Tel.  +370 603 89015                           Duomenys kaupiami ir saugomi </w:t>
    </w:r>
  </w:p>
  <w:p w14:paraId="36E947AE" w14:textId="77777777" w:rsidR="00ED5C3C" w:rsidRPr="007D4C62" w:rsidRDefault="00ED5C3C" w:rsidP="0067449B">
    <w:pPr>
      <w:pBdr>
        <w:top w:val="single" w:sz="4" w:space="1" w:color="auto"/>
      </w:pBdr>
      <w:spacing w:after="0" w:line="240" w:lineRule="auto"/>
      <w:jc w:val="both"/>
      <w:rPr>
        <w:rFonts w:ascii="Calibri" w:eastAsia="Times New Roman" w:hAnsi="Calibri" w:cs="Calibri"/>
        <w:kern w:val="0"/>
        <w:sz w:val="20"/>
        <w:szCs w:val="20"/>
        <w14:ligatures w14:val="none"/>
      </w:rPr>
    </w:pPr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 xml:space="preserve">Kareivių g. 1, LT-08221 Vilnius            </w:t>
    </w:r>
    <w:proofErr w:type="spellStart"/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>El.p</w:t>
    </w:r>
    <w:proofErr w:type="spellEnd"/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 xml:space="preserve">. </w:t>
    </w:r>
    <w:proofErr w:type="spellStart"/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>info@vpt.lt</w:t>
    </w:r>
    <w:proofErr w:type="spellEnd"/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 xml:space="preserve">                                  Juridinių asmenų registre </w:t>
    </w:r>
  </w:p>
  <w:p w14:paraId="2E6FBA00" w14:textId="77777777" w:rsidR="00ED5C3C" w:rsidRPr="007D4C62" w:rsidRDefault="00ED5C3C" w:rsidP="0067449B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kern w:val="0"/>
        <w:sz w:val="18"/>
        <w:szCs w:val="20"/>
        <w14:ligatures w14:val="none"/>
      </w:rPr>
    </w:pPr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>http://www.vpt.lt                                                                                                 Kodas 188656261</w:t>
    </w:r>
  </w:p>
  <w:p w14:paraId="0F3F5909" w14:textId="77777777" w:rsidR="00ED5C3C" w:rsidRPr="007D4C62" w:rsidRDefault="00ED5C3C" w:rsidP="00A47EC6">
    <w:pPr>
      <w:pStyle w:val="Footer"/>
    </w:pPr>
  </w:p>
  <w:p w14:paraId="0C47693E" w14:textId="77777777" w:rsidR="00ED5C3C" w:rsidRPr="007D4C62" w:rsidRDefault="00ED5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B05F" w14:textId="77777777" w:rsidR="00DD7F81" w:rsidRDefault="00DD7F81" w:rsidP="00ED5C3C">
      <w:pPr>
        <w:spacing w:after="0" w:line="240" w:lineRule="auto"/>
      </w:pPr>
      <w:r>
        <w:separator/>
      </w:r>
    </w:p>
  </w:footnote>
  <w:footnote w:type="continuationSeparator" w:id="0">
    <w:p w14:paraId="26F8606F" w14:textId="77777777" w:rsidR="00DD7F81" w:rsidRDefault="00DD7F81" w:rsidP="00ED5C3C">
      <w:pPr>
        <w:spacing w:after="0" w:line="240" w:lineRule="auto"/>
      </w:pPr>
      <w:r>
        <w:continuationSeparator/>
      </w:r>
    </w:p>
  </w:footnote>
  <w:footnote w:id="1">
    <w:p w14:paraId="7857A8A4" w14:textId="77777777" w:rsidR="00ED5C3C" w:rsidRPr="00F900F7" w:rsidRDefault="00ED5C3C" w:rsidP="00ED5C3C">
      <w:pPr>
        <w:pStyle w:val="FootnoteText"/>
        <w:rPr>
          <w:rFonts w:ascii="Calibri" w:hAnsi="Calibri" w:cs="Calibri"/>
        </w:rPr>
      </w:pPr>
      <w:r w:rsidRPr="004E5D1F">
        <w:rPr>
          <w:rStyle w:val="FootnoteReference"/>
        </w:rPr>
        <w:footnoteRef/>
      </w:r>
      <w:r w:rsidRPr="004E5D1F">
        <w:t xml:space="preserve"> </w:t>
      </w:r>
      <w:r w:rsidRPr="00F900F7">
        <w:rPr>
          <w:rFonts w:ascii="Calibri" w:hAnsi="Calibri" w:cs="Calibri"/>
        </w:rPr>
        <w:t>Patvirtintos Viešųjų pirkimų tarnybos direktoriaus 2017 m. birželio 29 d. įsakymu Nr. 1S-99 (2023 m. sausio 31 d. įsakymo Nr. 1S-13 redakcija).</w:t>
      </w:r>
    </w:p>
  </w:footnote>
  <w:footnote w:id="2">
    <w:p w14:paraId="2E1A7942" w14:textId="26E48C01" w:rsidR="00FB3F23" w:rsidRDefault="00FB3F23">
      <w:pPr>
        <w:pStyle w:val="FootnoteText"/>
      </w:pPr>
      <w:r>
        <w:rPr>
          <w:rStyle w:val="FootnoteReference"/>
        </w:rPr>
        <w:footnoteRef/>
      </w:r>
      <w:r>
        <w:t xml:space="preserve"> Pateiktas kartu su GRA </w:t>
      </w:r>
      <w:r w:rsidR="00136F7D">
        <w:t xml:space="preserve">2025-11-19 raštu Nr. </w:t>
      </w:r>
      <w:r w:rsidR="00136F7D" w:rsidRPr="00A6401A">
        <w:rPr>
          <w:rFonts w:ascii="Calibri" w:eastAsia="Times New Roman" w:hAnsi="Calibri" w:cs="Calibri"/>
        </w:rPr>
        <w:t>S-</w:t>
      </w:r>
      <w:r w:rsidR="00136F7D">
        <w:rPr>
          <w:rFonts w:ascii="Calibri" w:eastAsia="Times New Roman" w:hAnsi="Calibri" w:cs="Calibri"/>
        </w:rPr>
        <w:t>1855.</w:t>
      </w:r>
    </w:p>
  </w:footnote>
  <w:footnote w:id="3">
    <w:p w14:paraId="5EB5E792" w14:textId="33E733A1" w:rsidR="00973A54" w:rsidRDefault="00973A54">
      <w:pPr>
        <w:pStyle w:val="FootnoteText"/>
      </w:pPr>
      <w:r>
        <w:rPr>
          <w:rStyle w:val="FootnoteReference"/>
        </w:rPr>
        <w:footnoteRef/>
      </w:r>
      <w:r>
        <w:t xml:space="preserve"> Informacija, nurodyta </w:t>
      </w:r>
      <w:r w:rsidR="00BD069C">
        <w:t xml:space="preserve">GRA 2025-10-21 raštu Nr. </w:t>
      </w:r>
      <w:r w:rsidR="00BD069C" w:rsidRPr="00A6401A">
        <w:rPr>
          <w:rFonts w:ascii="Calibri" w:eastAsia="Times New Roman" w:hAnsi="Calibri" w:cs="Calibri"/>
        </w:rPr>
        <w:t>S-</w:t>
      </w:r>
      <w:r w:rsidR="00D24A5E">
        <w:rPr>
          <w:rFonts w:ascii="Calibri" w:eastAsia="Times New Roman" w:hAnsi="Calibri" w:cs="Calibri"/>
        </w:rPr>
        <w:t>1689.</w:t>
      </w:r>
    </w:p>
  </w:footnote>
  <w:footnote w:id="4">
    <w:p w14:paraId="0FF71B64" w14:textId="6DBD4573" w:rsidR="00383BB6" w:rsidRDefault="00383BB6">
      <w:pPr>
        <w:pStyle w:val="FootnoteText"/>
      </w:pPr>
      <w:r>
        <w:rPr>
          <w:rStyle w:val="FootnoteReference"/>
        </w:rPr>
        <w:footnoteRef/>
      </w:r>
      <w:r>
        <w:t xml:space="preserve"> Kartu su </w:t>
      </w:r>
      <w:r w:rsidR="00BB5F68">
        <w:t xml:space="preserve">GRA 2025-11-19 raštu Nr. </w:t>
      </w:r>
      <w:r w:rsidR="00BB5F68" w:rsidRPr="00A6401A">
        <w:rPr>
          <w:rFonts w:ascii="Calibri" w:eastAsia="Times New Roman" w:hAnsi="Calibri" w:cs="Calibri"/>
        </w:rPr>
        <w:t>S-</w:t>
      </w:r>
      <w:r w:rsidR="00BB5F68">
        <w:rPr>
          <w:rFonts w:ascii="Calibri" w:eastAsia="Times New Roman" w:hAnsi="Calibri" w:cs="Calibri"/>
        </w:rPr>
        <w:t xml:space="preserve">1855 pateiktas </w:t>
      </w:r>
      <w:r w:rsidR="00BB5F68" w:rsidRPr="00835784">
        <w:rPr>
          <w:rFonts w:ascii="Calibri" w:hAnsi="Calibri" w:cs="Calibri"/>
        </w:rPr>
        <w:t>IDE INTRACOM DEFENSE</w:t>
      </w:r>
      <w:r w:rsidR="00BB5F68">
        <w:rPr>
          <w:rFonts w:ascii="Calibri" w:hAnsi="Calibri" w:cs="Calibri"/>
        </w:rPr>
        <w:t xml:space="preserve"> </w:t>
      </w:r>
      <w:r w:rsidR="00CE66D4">
        <w:rPr>
          <w:rFonts w:ascii="Calibri" w:hAnsi="Calibri" w:cs="Calibri"/>
        </w:rPr>
        <w:t xml:space="preserve">2025-11-04 raštas, kuriame patvirtinama, kad </w:t>
      </w:r>
      <w:r w:rsidR="00CE66D4" w:rsidRPr="00835784">
        <w:rPr>
          <w:rFonts w:ascii="Calibri" w:hAnsi="Calibri" w:cs="Calibri"/>
        </w:rPr>
        <w:t>IDE INTRACOM DEFENSE</w:t>
      </w:r>
      <w:r w:rsidR="00E653CD">
        <w:rPr>
          <w:rFonts w:ascii="Calibri" w:hAnsi="Calibri" w:cs="Calibri"/>
        </w:rPr>
        <w:t xml:space="preserve"> </w:t>
      </w:r>
      <w:r w:rsidR="00E653CD" w:rsidRPr="00335826">
        <w:t>yra vienintelis WiSPR įrangos atsarginių dalių gamintojas ir gamybos teisės nėra suteiktos tretiesiems asmenims</w:t>
      </w:r>
      <w:r w:rsidR="00E848B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3624865"/>
      <w:docPartObj>
        <w:docPartGallery w:val="Page Numbers (Top of Page)"/>
        <w:docPartUnique/>
      </w:docPartObj>
    </w:sdtPr>
    <w:sdtContent>
      <w:p w14:paraId="4926F100" w14:textId="77777777" w:rsidR="00ED5C3C" w:rsidRPr="007D4C62" w:rsidRDefault="00ED5C3C">
        <w:pPr>
          <w:pStyle w:val="Header"/>
          <w:jc w:val="center"/>
        </w:pPr>
        <w:r w:rsidRPr="007D4C62">
          <w:fldChar w:fldCharType="begin"/>
        </w:r>
        <w:r w:rsidRPr="007D4C62">
          <w:instrText>PAGE   \* MERGEFORMAT</w:instrText>
        </w:r>
        <w:r w:rsidRPr="007D4C62">
          <w:fldChar w:fldCharType="separate"/>
        </w:r>
        <w:r w:rsidRPr="007D4C62">
          <w:t>2</w:t>
        </w:r>
        <w:r w:rsidRPr="007D4C62">
          <w:fldChar w:fldCharType="end"/>
        </w:r>
      </w:p>
    </w:sdtContent>
  </w:sdt>
  <w:p w14:paraId="75F87945" w14:textId="77777777" w:rsidR="00ED5C3C" w:rsidRPr="007D4C62" w:rsidRDefault="00ED5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D30B2"/>
    <w:multiLevelType w:val="hybridMultilevel"/>
    <w:tmpl w:val="1D686070"/>
    <w:lvl w:ilvl="0" w:tplc="17DCA0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3C"/>
    <w:rsid w:val="00013AC4"/>
    <w:rsid w:val="00021554"/>
    <w:rsid w:val="00061939"/>
    <w:rsid w:val="000807F9"/>
    <w:rsid w:val="00084E3E"/>
    <w:rsid w:val="00085CE9"/>
    <w:rsid w:val="000B0213"/>
    <w:rsid w:val="000F07BA"/>
    <w:rsid w:val="000F3FC5"/>
    <w:rsid w:val="00107D5A"/>
    <w:rsid w:val="00110BF4"/>
    <w:rsid w:val="00123AF7"/>
    <w:rsid w:val="00136F7D"/>
    <w:rsid w:val="00140B4E"/>
    <w:rsid w:val="00143343"/>
    <w:rsid w:val="00156F18"/>
    <w:rsid w:val="00175040"/>
    <w:rsid w:val="00182E75"/>
    <w:rsid w:val="0019335C"/>
    <w:rsid w:val="001A70BE"/>
    <w:rsid w:val="001B7AB7"/>
    <w:rsid w:val="001C645E"/>
    <w:rsid w:val="001E31C0"/>
    <w:rsid w:val="002033CB"/>
    <w:rsid w:val="00213EF4"/>
    <w:rsid w:val="002159B6"/>
    <w:rsid w:val="002213C9"/>
    <w:rsid w:val="0028053C"/>
    <w:rsid w:val="00281EB5"/>
    <w:rsid w:val="00293A29"/>
    <w:rsid w:val="002A3DB3"/>
    <w:rsid w:val="002C72AF"/>
    <w:rsid w:val="002D01A9"/>
    <w:rsid w:val="002F05F4"/>
    <w:rsid w:val="002F70C7"/>
    <w:rsid w:val="00344F46"/>
    <w:rsid w:val="00346A7C"/>
    <w:rsid w:val="003554C7"/>
    <w:rsid w:val="003607C2"/>
    <w:rsid w:val="00371453"/>
    <w:rsid w:val="00383BB6"/>
    <w:rsid w:val="00384B3C"/>
    <w:rsid w:val="00390DD8"/>
    <w:rsid w:val="00393622"/>
    <w:rsid w:val="003D218E"/>
    <w:rsid w:val="003E3E95"/>
    <w:rsid w:val="0042040C"/>
    <w:rsid w:val="00423F7B"/>
    <w:rsid w:val="00457A59"/>
    <w:rsid w:val="00465D31"/>
    <w:rsid w:val="004860B2"/>
    <w:rsid w:val="004A0C2F"/>
    <w:rsid w:val="004B4514"/>
    <w:rsid w:val="004B4A29"/>
    <w:rsid w:val="004B731A"/>
    <w:rsid w:val="004D6F45"/>
    <w:rsid w:val="004E4777"/>
    <w:rsid w:val="004F59A5"/>
    <w:rsid w:val="00515DFA"/>
    <w:rsid w:val="00520AA9"/>
    <w:rsid w:val="00527677"/>
    <w:rsid w:val="00544953"/>
    <w:rsid w:val="00546BEB"/>
    <w:rsid w:val="00563129"/>
    <w:rsid w:val="00595011"/>
    <w:rsid w:val="00595563"/>
    <w:rsid w:val="005E5F0F"/>
    <w:rsid w:val="005F0041"/>
    <w:rsid w:val="00614780"/>
    <w:rsid w:val="00637B1F"/>
    <w:rsid w:val="00641C72"/>
    <w:rsid w:val="0065458B"/>
    <w:rsid w:val="00661ACA"/>
    <w:rsid w:val="006D3D6D"/>
    <w:rsid w:val="006F70D3"/>
    <w:rsid w:val="00732E22"/>
    <w:rsid w:val="007435C0"/>
    <w:rsid w:val="00751DB0"/>
    <w:rsid w:val="007731C5"/>
    <w:rsid w:val="007808A9"/>
    <w:rsid w:val="0078228E"/>
    <w:rsid w:val="00784830"/>
    <w:rsid w:val="0079291B"/>
    <w:rsid w:val="007B3C89"/>
    <w:rsid w:val="007C18C7"/>
    <w:rsid w:val="007D78D1"/>
    <w:rsid w:val="00835784"/>
    <w:rsid w:val="0084033D"/>
    <w:rsid w:val="00840BCD"/>
    <w:rsid w:val="00842ACE"/>
    <w:rsid w:val="008671C1"/>
    <w:rsid w:val="008A371F"/>
    <w:rsid w:val="008C30E0"/>
    <w:rsid w:val="008C5078"/>
    <w:rsid w:val="00911071"/>
    <w:rsid w:val="00911D59"/>
    <w:rsid w:val="009236A7"/>
    <w:rsid w:val="00950598"/>
    <w:rsid w:val="0095716D"/>
    <w:rsid w:val="00957D15"/>
    <w:rsid w:val="009600EF"/>
    <w:rsid w:val="0097284F"/>
    <w:rsid w:val="00973A54"/>
    <w:rsid w:val="00973C6F"/>
    <w:rsid w:val="0097706B"/>
    <w:rsid w:val="009A69BE"/>
    <w:rsid w:val="009A77F1"/>
    <w:rsid w:val="009A7A0E"/>
    <w:rsid w:val="009B3FF2"/>
    <w:rsid w:val="009E08EE"/>
    <w:rsid w:val="00A12228"/>
    <w:rsid w:val="00A36D6E"/>
    <w:rsid w:val="00A41050"/>
    <w:rsid w:val="00A569B4"/>
    <w:rsid w:val="00A62B07"/>
    <w:rsid w:val="00A66D48"/>
    <w:rsid w:val="00A75AA6"/>
    <w:rsid w:val="00A8753F"/>
    <w:rsid w:val="00AB0DFA"/>
    <w:rsid w:val="00AC07C6"/>
    <w:rsid w:val="00AE330B"/>
    <w:rsid w:val="00AF236A"/>
    <w:rsid w:val="00AF242F"/>
    <w:rsid w:val="00AF2594"/>
    <w:rsid w:val="00B00D16"/>
    <w:rsid w:val="00B164BA"/>
    <w:rsid w:val="00B229C0"/>
    <w:rsid w:val="00B34CCA"/>
    <w:rsid w:val="00B66D5C"/>
    <w:rsid w:val="00B73C53"/>
    <w:rsid w:val="00BA731F"/>
    <w:rsid w:val="00BB5F68"/>
    <w:rsid w:val="00BD069C"/>
    <w:rsid w:val="00BD66A8"/>
    <w:rsid w:val="00BE1810"/>
    <w:rsid w:val="00BE39A9"/>
    <w:rsid w:val="00BF38FB"/>
    <w:rsid w:val="00BF3DB6"/>
    <w:rsid w:val="00BF46A6"/>
    <w:rsid w:val="00C209A3"/>
    <w:rsid w:val="00C42AEE"/>
    <w:rsid w:val="00C46C84"/>
    <w:rsid w:val="00C62127"/>
    <w:rsid w:val="00C6284F"/>
    <w:rsid w:val="00C641F5"/>
    <w:rsid w:val="00C664E6"/>
    <w:rsid w:val="00CB64CD"/>
    <w:rsid w:val="00CE66D4"/>
    <w:rsid w:val="00D06578"/>
    <w:rsid w:val="00D06B6D"/>
    <w:rsid w:val="00D24A5E"/>
    <w:rsid w:val="00D2685E"/>
    <w:rsid w:val="00D40EAF"/>
    <w:rsid w:val="00D40FC6"/>
    <w:rsid w:val="00D63B02"/>
    <w:rsid w:val="00DB52F6"/>
    <w:rsid w:val="00DB6553"/>
    <w:rsid w:val="00DD1143"/>
    <w:rsid w:val="00DD14D9"/>
    <w:rsid w:val="00DD4F8C"/>
    <w:rsid w:val="00DD7F81"/>
    <w:rsid w:val="00DF2CD1"/>
    <w:rsid w:val="00E03873"/>
    <w:rsid w:val="00E0558C"/>
    <w:rsid w:val="00E26092"/>
    <w:rsid w:val="00E32B6F"/>
    <w:rsid w:val="00E449E3"/>
    <w:rsid w:val="00E54E79"/>
    <w:rsid w:val="00E6315E"/>
    <w:rsid w:val="00E653CD"/>
    <w:rsid w:val="00E848BE"/>
    <w:rsid w:val="00E97E90"/>
    <w:rsid w:val="00EB710F"/>
    <w:rsid w:val="00EC142E"/>
    <w:rsid w:val="00ED5C3C"/>
    <w:rsid w:val="00EE41A2"/>
    <w:rsid w:val="00EF0E97"/>
    <w:rsid w:val="00F04742"/>
    <w:rsid w:val="00F2436B"/>
    <w:rsid w:val="00F5289B"/>
    <w:rsid w:val="00F7045B"/>
    <w:rsid w:val="00F80EDC"/>
    <w:rsid w:val="00F90372"/>
    <w:rsid w:val="00FA0E93"/>
    <w:rsid w:val="00FB3F23"/>
    <w:rsid w:val="00FB4091"/>
    <w:rsid w:val="00FB5B52"/>
    <w:rsid w:val="00FD7091"/>
    <w:rsid w:val="00FF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86CE1"/>
  <w15:chartTrackingRefBased/>
  <w15:docId w15:val="{2F060A33-C1BE-4C35-9715-7EE681A4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C3C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C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C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ED5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ED5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C3C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ED5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C3C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ED5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C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Specialioji žyma"/>
    <w:basedOn w:val="Normal"/>
    <w:link w:val="HeaderChar"/>
    <w:uiPriority w:val="99"/>
    <w:unhideWhenUsed/>
    <w:rsid w:val="00ED5C3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ED5C3C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5C3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D5C3C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5C3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5C3C"/>
    <w:rPr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ED5C3C"/>
    <w:rPr>
      <w:vertAlign w:val="superscript"/>
    </w:rPr>
  </w:style>
  <w:style w:type="character" w:styleId="Strong">
    <w:name w:val="Strong"/>
    <w:basedOn w:val="DefaultParagraphFont"/>
    <w:uiPriority w:val="22"/>
    <w:qFormat/>
    <w:rsid w:val="00457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@ka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C18C7-DCA1-440B-875B-CEB8C427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Korkutė</dc:creator>
  <cp:lastModifiedBy>Eglė Korkutė</cp:lastModifiedBy>
  <cp:revision>178</cp:revision>
  <dcterms:created xsi:type="dcterms:W3CDTF">2025-12-02T13:30:00Z</dcterms:created>
  <dcterms:modified xsi:type="dcterms:W3CDTF">2025-12-04T12:33:00Z</dcterms:modified>
</cp:coreProperties>
</file>