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70B5" w14:textId="77777777" w:rsidR="00BE6EA1" w:rsidRPr="007D4C62" w:rsidRDefault="00BE6EA1" w:rsidP="00BE6EA1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  <w:bookmarkStart w:id="0" w:name="_Hlk85535517"/>
      <w:bookmarkStart w:id="1" w:name="_Hlk131499300"/>
      <w:bookmarkStart w:id="2" w:name="_Hlk153353472"/>
      <w:r w:rsidRPr="007D4C62">
        <w:rPr>
          <w:rFonts w:ascii="Calibri" w:eastAsia="Times New Roman" w:hAnsi="Calibri" w:cs="Calibri"/>
          <w:noProof/>
          <w:kern w:val="0"/>
          <w:lang w:eastAsia="lt-LT"/>
          <w14:ligatures w14:val="none"/>
        </w:rPr>
        <w:drawing>
          <wp:inline distT="0" distB="0" distL="0" distR="0" wp14:anchorId="55AA1CC9" wp14:editId="7A1F2F0C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AF70" w14:textId="77777777" w:rsidR="00BE6EA1" w:rsidRPr="007D4C62" w:rsidRDefault="00BE6EA1" w:rsidP="00BE6EA1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2D4533CE" w14:textId="77777777" w:rsidR="00BE6EA1" w:rsidRPr="007D4C62" w:rsidRDefault="00BE6EA1" w:rsidP="00BE6EA1">
      <w:pPr>
        <w:keepNext/>
        <w:tabs>
          <w:tab w:val="left" w:pos="900"/>
        </w:tabs>
        <w:spacing w:after="0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4C62">
        <w:rPr>
          <w:rFonts w:ascii="Calibri" w:eastAsia="Calibri" w:hAnsi="Calibri" w:cs="Calibri"/>
          <w:b/>
          <w:bCs/>
          <w:kern w:val="0"/>
          <w14:ligatures w14:val="none"/>
        </w:rPr>
        <w:t>VIEŠŲJŲ PIRKIMŲ TARNYBA</w:t>
      </w:r>
    </w:p>
    <w:p w14:paraId="52E130B0" w14:textId="77777777" w:rsidR="00BE6EA1" w:rsidRPr="007D4C62" w:rsidRDefault="00BE6EA1" w:rsidP="00BE6EA1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415BB63" w14:textId="77777777" w:rsidR="00BE6EA1" w:rsidRPr="007D4C62" w:rsidRDefault="00BE6EA1" w:rsidP="00BE6EA1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117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551"/>
        <w:gridCol w:w="2268"/>
        <w:gridCol w:w="2409"/>
      </w:tblGrid>
      <w:tr w:rsidR="00ED04E8" w:rsidRPr="007D4C62" w14:paraId="3961D343" w14:textId="77777777" w:rsidTr="00ED04E8">
        <w:trPr>
          <w:cantSplit/>
          <w:trHeight w:val="80"/>
        </w:trPr>
        <w:tc>
          <w:tcPr>
            <w:tcW w:w="4537" w:type="dxa"/>
            <w:hideMark/>
          </w:tcPr>
          <w:p w14:paraId="44D7F6E1" w14:textId="5545EFA3" w:rsidR="00ED04E8" w:rsidRDefault="00ED04E8" w:rsidP="00ED04E8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66FF8">
              <w:rPr>
                <w:rFonts w:ascii="Calibri" w:eastAsia="Times New Roman" w:hAnsi="Calibri" w:cs="Calibri"/>
                <w:kern w:val="0"/>
                <w14:ligatures w14:val="none"/>
              </w:rPr>
              <w:t>Nacionalini</w:t>
            </w:r>
            <w:r w:rsidR="00145001">
              <w:rPr>
                <w:rFonts w:ascii="Calibri" w:eastAsia="Times New Roman" w:hAnsi="Calibri" w:cs="Calibri"/>
                <w:kern w:val="0"/>
                <w14:ligatures w14:val="none"/>
              </w:rPr>
              <w:t>am</w:t>
            </w:r>
            <w:r w:rsidRPr="00666FF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kibernetinio saugumo centr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ui</w:t>
            </w:r>
            <w:r w:rsidRPr="00666FF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prie Krašto apsaugos ministerijos </w:t>
            </w:r>
          </w:p>
          <w:p w14:paraId="2C26DD4C" w14:textId="77777777" w:rsidR="00ED04E8" w:rsidRPr="005A2AFA" w:rsidRDefault="00ED04E8" w:rsidP="00ED04E8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A2AF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El. p.: </w:t>
            </w:r>
            <w:r w:rsidRPr="00B22436">
              <w:rPr>
                <w:rFonts w:ascii="Calibri" w:eastAsia="Times New Roman" w:hAnsi="Calibri" w:cs="Calibri"/>
                <w:kern w:val="0"/>
                <w14:ligatures w14:val="none"/>
              </w:rPr>
              <w:t>info@nksc.lt</w:t>
            </w:r>
          </w:p>
          <w:p w14:paraId="2758AEF4" w14:textId="77777777" w:rsidR="00ED04E8" w:rsidRPr="007D4C62" w:rsidRDefault="00ED04E8" w:rsidP="00ED04E8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551" w:type="dxa"/>
            <w:hideMark/>
          </w:tcPr>
          <w:p w14:paraId="578FF675" w14:textId="77777777" w:rsidR="00ED04E8" w:rsidRPr="007D4C62" w:rsidRDefault="00ED04E8" w:rsidP="00ED04E8">
            <w:pPr>
              <w:spacing w:after="0"/>
              <w:ind w:left="-10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2025-1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</w:p>
          <w:p w14:paraId="126CEF94" w14:textId="1E74CB90" w:rsidR="00DE34A1" w:rsidRDefault="00ED04E8" w:rsidP="00ED04E8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Į </w:t>
            </w:r>
            <w:r w:rsidR="00DE34A1">
              <w:rPr>
                <w:rFonts w:ascii="Calibri" w:eastAsia="Times New Roman" w:hAnsi="Calibri" w:cs="Calibri"/>
                <w:kern w:val="0"/>
                <w14:ligatures w14:val="none"/>
              </w:rPr>
              <w:t>2025</w:t>
            </w:r>
            <w:r w:rsidR="00C557C0">
              <w:rPr>
                <w:rFonts w:ascii="Calibri" w:eastAsia="Times New Roman" w:hAnsi="Calibri" w:cs="Calibri"/>
                <w:kern w:val="0"/>
                <w14:ligatures w14:val="none"/>
              </w:rPr>
              <w:t>-10-17</w:t>
            </w:r>
          </w:p>
          <w:p w14:paraId="48EEC596" w14:textId="54BDDA4F" w:rsidR="00ED04E8" w:rsidRPr="007D4C62" w:rsidRDefault="00ED04E8" w:rsidP="00DE34A1">
            <w:pPr>
              <w:tabs>
                <w:tab w:val="left" w:pos="462"/>
              </w:tabs>
              <w:spacing w:after="0"/>
              <w:ind w:left="29" w:firstLine="100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2025-1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06</w:t>
            </w:r>
          </w:p>
          <w:p w14:paraId="0B1EF897" w14:textId="77777777" w:rsidR="00ED04E8" w:rsidRPr="007D4C62" w:rsidRDefault="00ED04E8" w:rsidP="00ED04E8">
            <w:pPr>
              <w:tabs>
                <w:tab w:val="left" w:pos="462"/>
              </w:tabs>
              <w:spacing w:after="0"/>
              <w:ind w:left="887" w:right="-130" w:firstLine="142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2025-11-19</w:t>
            </w:r>
          </w:p>
          <w:p w14:paraId="2C4B90DD" w14:textId="3E337E50" w:rsidR="00ED04E8" w:rsidRPr="00A9792A" w:rsidRDefault="00ED04E8" w:rsidP="00ED04E8">
            <w:pPr>
              <w:rPr>
                <w:rFonts w:ascii="Calibri" w:eastAsia="Times New Roman" w:hAnsi="Calibri" w:cs="Calibri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2268" w:type="dxa"/>
            <w:hideMark/>
          </w:tcPr>
          <w:p w14:paraId="606A1B9B" w14:textId="77777777" w:rsidR="00C557C0" w:rsidRDefault="00ED04E8" w:rsidP="00C557C0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Nr. 4S-</w:t>
            </w:r>
          </w:p>
          <w:p w14:paraId="5B644633" w14:textId="61B1E744" w:rsidR="00DE34A1" w:rsidRDefault="00C557C0" w:rsidP="00C557C0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Nr. </w:t>
            </w:r>
            <w:r w:rsidRPr="00C557C0">
              <w:rPr>
                <w:rFonts w:ascii="Calibri" w:eastAsia="Times New Roman" w:hAnsi="Calibri" w:cs="Calibri"/>
                <w:kern w:val="0"/>
                <w14:ligatures w14:val="none"/>
              </w:rPr>
              <w:t>(3.71 E) 6K-793</w:t>
            </w:r>
          </w:p>
          <w:p w14:paraId="176AF1ED" w14:textId="782FC34D" w:rsidR="00ED04E8" w:rsidRPr="007D4C62" w:rsidRDefault="00ED04E8" w:rsidP="00ED04E8">
            <w:pPr>
              <w:spacing w:after="0"/>
              <w:ind w:left="-86" w:right="-2379" w:hanging="1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Nr.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(</w:t>
            </w:r>
            <w:r w:rsidRPr="00A9792A">
              <w:rPr>
                <w:rFonts w:ascii="Calibri" w:eastAsia="Times New Roman" w:hAnsi="Calibri" w:cs="Calibri"/>
                <w:kern w:val="0"/>
                <w14:ligatures w14:val="none"/>
              </w:rPr>
              <w:t>3.71 E) 6K-867</w:t>
            </w:r>
          </w:p>
          <w:p w14:paraId="7CCFDBA6" w14:textId="77777777" w:rsidR="00ED04E8" w:rsidRPr="00503D57" w:rsidRDefault="00ED04E8" w:rsidP="00ED04E8">
            <w:pPr>
              <w:spacing w:after="0"/>
              <w:ind w:left="-86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Nr</w:t>
            </w:r>
            <w:r w:rsidRPr="00601E9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. </w:t>
            </w:r>
            <w:r w:rsidRPr="00601E9E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(3.71 E) 6K-899</w:t>
            </w:r>
          </w:p>
          <w:p w14:paraId="400D470E" w14:textId="5881AB83" w:rsidR="00ED04E8" w:rsidRPr="007D4C62" w:rsidRDefault="00ED04E8" w:rsidP="00ED04E8">
            <w:pPr>
              <w:ind w:left="-86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586BC498" w14:textId="77777777" w:rsidR="00ED04E8" w:rsidRPr="007D4C62" w:rsidRDefault="00ED04E8" w:rsidP="00ED04E8">
            <w:pPr>
              <w:tabs>
                <w:tab w:val="left" w:pos="1071"/>
              </w:tabs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0887FB47" w14:textId="77777777" w:rsidR="00BE6EA1" w:rsidRPr="007D4C62" w:rsidRDefault="00BE6EA1" w:rsidP="00BE6EA1">
      <w:pPr>
        <w:tabs>
          <w:tab w:val="left" w:pos="7176"/>
        </w:tabs>
        <w:spacing w:after="0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bookmarkStart w:id="3" w:name="_Hlk85523927"/>
      <w:bookmarkStart w:id="4" w:name="_Hlk156483607"/>
      <w:r w:rsidRPr="007D4C62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SPRENDIMAS DĖL SUTIKIMO VYKDYTI PIRKIMĄ NESKELBIAMŲ DERYBŲ BŪDU</w:t>
      </w:r>
    </w:p>
    <w:p w14:paraId="63BF981A" w14:textId="77777777" w:rsidR="00BE6EA1" w:rsidRPr="007D4C62" w:rsidRDefault="00BE6EA1" w:rsidP="00BE6EA1">
      <w:pPr>
        <w:tabs>
          <w:tab w:val="left" w:pos="7176"/>
        </w:tabs>
        <w:spacing w:after="0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bookmarkEnd w:id="3"/>
    <w:bookmarkEnd w:id="4"/>
    <w:p w14:paraId="483AF7F5" w14:textId="47288660" w:rsidR="00BE6EA1" w:rsidRPr="00A9792A" w:rsidRDefault="00BE6EA1" w:rsidP="004A6A33">
      <w:pPr>
        <w:tabs>
          <w:tab w:val="left" w:pos="7176"/>
        </w:tabs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A6401A">
        <w:rPr>
          <w:rFonts w:ascii="Calibri" w:hAnsi="Calibri" w:cs="Calibri"/>
        </w:rPr>
        <w:t xml:space="preserve">Viešųjų pirkimų tarnyba (toliau – Tarnyba), vadovaudamasi Lietuvos Respublikos </w:t>
      </w:r>
      <w:r w:rsidR="00A9792A"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viešųjų pirkimų įstatymo (toliau – Įstatymas) 95 straipsnio 2 dalies 7 punktu </w:t>
      </w:r>
      <w:r w:rsidRPr="00A6401A">
        <w:rPr>
          <w:rFonts w:ascii="Calibri" w:hAnsi="Calibri" w:cs="Calibri"/>
        </w:rPr>
        <w:t>ir Perkančiųjų organizacijų prašymų dėl Viešųjų pirkimų tarnybos sutikimų pateikimo ir nagrinėjimo taisyklėmis</w:t>
      </w:r>
      <w:r w:rsidRPr="00A6401A">
        <w:rPr>
          <w:rStyle w:val="FootnoteReference"/>
          <w:rFonts w:ascii="Calibri" w:hAnsi="Calibri" w:cs="Calibri"/>
        </w:rPr>
        <w:footnoteReference w:id="1"/>
      </w:r>
      <w:r w:rsidRPr="00A6401A">
        <w:rPr>
          <w:rFonts w:ascii="Calibri" w:hAnsi="Calibri" w:cs="Calibri"/>
        </w:rPr>
        <w:t xml:space="preserve"> (toliau – Taisyklės), išnagrinėjo </w:t>
      </w:r>
      <w:r w:rsidR="00A9792A" w:rsidRPr="00666FF8">
        <w:rPr>
          <w:rFonts w:ascii="Calibri" w:eastAsia="Times New Roman" w:hAnsi="Calibri" w:cs="Calibri"/>
          <w:kern w:val="0"/>
          <w14:ligatures w14:val="none"/>
        </w:rPr>
        <w:t>Nacionalini</w:t>
      </w:r>
      <w:r w:rsidR="00A9792A">
        <w:rPr>
          <w:rFonts w:ascii="Calibri" w:eastAsia="Times New Roman" w:hAnsi="Calibri" w:cs="Calibri"/>
          <w:kern w:val="0"/>
          <w14:ligatures w14:val="none"/>
        </w:rPr>
        <w:t>o</w:t>
      </w:r>
      <w:r w:rsidR="00A9792A" w:rsidRPr="00666FF8">
        <w:rPr>
          <w:rFonts w:ascii="Calibri" w:eastAsia="Times New Roman" w:hAnsi="Calibri" w:cs="Calibri"/>
          <w:kern w:val="0"/>
          <w14:ligatures w14:val="none"/>
        </w:rPr>
        <w:t xml:space="preserve"> kibernetinio saugumo centr</w:t>
      </w:r>
      <w:r w:rsidR="00A9792A">
        <w:rPr>
          <w:rFonts w:ascii="Calibri" w:eastAsia="Times New Roman" w:hAnsi="Calibri" w:cs="Calibri"/>
          <w:kern w:val="0"/>
          <w14:ligatures w14:val="none"/>
        </w:rPr>
        <w:t>o</w:t>
      </w:r>
      <w:r w:rsidR="00A9792A" w:rsidRPr="00666FF8">
        <w:rPr>
          <w:rFonts w:ascii="Calibri" w:eastAsia="Times New Roman" w:hAnsi="Calibri" w:cs="Calibri"/>
          <w:kern w:val="0"/>
          <w14:ligatures w14:val="none"/>
        </w:rPr>
        <w:t xml:space="preserve"> prie Krašto apsaugos ministerijos</w:t>
      </w:r>
      <w:r w:rsidRPr="00A6401A">
        <w:rPr>
          <w:rFonts w:ascii="Calibri" w:hAnsi="Calibri" w:cs="Calibri"/>
        </w:rPr>
        <w:t xml:space="preserve"> (toliau – Perkančioji organizacija) prašymą sutikti </w:t>
      </w:r>
      <w:r w:rsidR="00A9792A" w:rsidRPr="00A9792A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TEMPEST laboratorijos matavimo ir automatizavimo programinės įrangos pirkimą</w:t>
      </w:r>
      <w:r w:rsidR="00A9792A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(toliau – Pirkimas) vykdyti neskelbiamų derybų būdu vadovaujantis Lietuvos Respublikos viešųjų pirkimų įstatymo (toliau – Įstatymas) 71 straipsnio 1 dalies 2 punkto b papunkčiu</w:t>
      </w:r>
      <w:r w:rsidR="00A9792A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A9792A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(toliau – </w:t>
      </w:r>
      <w:r w:rsidR="00A9792A">
        <w:rPr>
          <w:rFonts w:ascii="Calibri" w:eastAsia="Times New Roman" w:hAnsi="Calibri" w:cs="Calibri"/>
          <w:kern w:val="0"/>
          <w:lang w:eastAsia="lt-LT"/>
          <w14:ligatures w14:val="none"/>
        </w:rPr>
        <w:t>Prašymas</w:t>
      </w:r>
      <w:r w:rsidR="00A9792A"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). </w:t>
      </w:r>
    </w:p>
    <w:p w14:paraId="65FCB653" w14:textId="2F9BD38B" w:rsidR="00566148" w:rsidRDefault="00566148" w:rsidP="004A6A33">
      <w:pPr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B5169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Perkančioji  organizacija 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>nurodo, jog</w:t>
      </w:r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naudoja specifinę </w:t>
      </w:r>
      <w:proofErr w:type="spellStart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Rohde</w:t>
      </w:r>
      <w:proofErr w:type="spellEnd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Schwarz</w:t>
      </w:r>
      <w:proofErr w:type="spellEnd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GmbH</w:t>
      </w:r>
      <w:proofErr w:type="spellEnd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Co</w:t>
      </w:r>
      <w:proofErr w:type="spellEnd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įrangą, kuri yra būtina užtikrinti Lietuvos Respublikos įslaptintos informacijos, užsienio valstybių, Europos Sąjungos ir tarptautinių organizacijų Lietuvos Respublikai perduotos įslaptintos informacijos, apdorojamos ar perduodamos ĮIRIS, apsaugos nuo elektromagnetinės spinduliuotės (toliau – TEMPEST) tarnybos funkcijas. Siekiant užtikrinti turimos įrangos sklandų, saugų ir pilnai funkcinį veikimą, būtina naudoti tik šio gamintojo sukurtą programinę įrangą. 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>Perkančiosios organizacijos teigimu, k</w:t>
      </w:r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itos programinės įrangos nėra suderinamos su turima TEMPEST įranga</w:t>
      </w:r>
      <w:r>
        <w:rPr>
          <w:rStyle w:val="FootnoteReference"/>
          <w:rFonts w:ascii="Calibri" w:eastAsia="Times New Roman" w:hAnsi="Calibri" w:cs="Calibri"/>
          <w:kern w:val="0"/>
          <w:lang w:eastAsia="lt-LT"/>
          <w14:ligatures w14:val="none"/>
        </w:rPr>
        <w:footnoteReference w:id="2"/>
      </w:r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77B0A2E6" w14:textId="36F5E60C" w:rsidR="006E10F1" w:rsidRDefault="006E10F1" w:rsidP="004A6A33">
      <w:pPr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Perkančioji organizacija pažymėjo, jog </w:t>
      </w:r>
      <w:r w:rsidRPr="006E10F1">
        <w:rPr>
          <w:rFonts w:ascii="Calibri" w:eastAsia="Times New Roman" w:hAnsi="Calibri" w:cs="Calibri"/>
          <w:kern w:val="0"/>
          <w:lang w:eastAsia="lt-LT"/>
          <w14:ligatures w14:val="none"/>
        </w:rPr>
        <w:t>turima TEMPEST įranga veikia tik su gamintojo sukurta ir sertifikuota programine įranga, užtikrinančia visų funkcijų prieinamumą bei techninį stabilumą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>, n</w:t>
      </w:r>
      <w:r w:rsidRPr="006E10F1">
        <w:rPr>
          <w:rFonts w:ascii="Calibri" w:eastAsia="Times New Roman" w:hAnsi="Calibri" w:cs="Calibri"/>
          <w:kern w:val="0"/>
          <w:lang w:eastAsia="lt-LT"/>
          <w14:ligatures w14:val="none"/>
        </w:rPr>
        <w:t>audojant kitų gamintojų programinę įrangą kyla rizika dėl neteisingo įrangos veikimo, klaidų, funkcijų praradimo ar duomenų pažeidimo.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Taip pat akcentuojama, jog į</w:t>
      </w:r>
      <w:r w:rsidRPr="006E10F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rangos gamintojas teikia garantiją ir techninę priežiūrą tik tuo atveju, jei naudojama jo paties programinė įranga. Naudojant neoriginalią programinę įrangą, garantija būtų prarasta, o įranga nebeturėtų oficialaus techninio palaikymo. 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>Taip pat g</w:t>
      </w:r>
      <w:r w:rsidRPr="006E10F1">
        <w:rPr>
          <w:rFonts w:ascii="Calibri" w:eastAsia="Times New Roman" w:hAnsi="Calibri" w:cs="Calibri"/>
          <w:kern w:val="0"/>
          <w:lang w:eastAsia="lt-LT"/>
          <w14:ligatures w14:val="none"/>
        </w:rPr>
        <w:t>amintojo atnaujinimai (</w:t>
      </w:r>
      <w:proofErr w:type="spellStart"/>
      <w:r w:rsidRPr="006E10F1">
        <w:rPr>
          <w:rFonts w:ascii="Calibri" w:eastAsia="Times New Roman" w:hAnsi="Calibri" w:cs="Calibri"/>
          <w:kern w:val="0"/>
          <w:lang w:eastAsia="lt-LT"/>
          <w14:ligatures w14:val="none"/>
        </w:rPr>
        <w:t>firmware</w:t>
      </w:r>
      <w:proofErr w:type="spellEnd"/>
      <w:r w:rsidRPr="006E10F1">
        <w:rPr>
          <w:rFonts w:ascii="Calibri" w:eastAsia="Times New Roman" w:hAnsi="Calibri" w:cs="Calibri"/>
          <w:kern w:val="0"/>
          <w:lang w:eastAsia="lt-LT"/>
          <w14:ligatures w14:val="none"/>
        </w:rPr>
        <w:t>, saugumo pataisos, veikimo optimizacijos) prieinami tik naudojant originalią programinę įrangą.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Perkančiosios organizacijos 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lastRenderedPageBreak/>
        <w:t>teigimu, į</w:t>
      </w:r>
      <w:r w:rsidRPr="006E10F1">
        <w:rPr>
          <w:rFonts w:ascii="Calibri" w:eastAsia="Times New Roman" w:hAnsi="Calibri" w:cs="Calibri"/>
          <w:kern w:val="0"/>
          <w:lang w:eastAsia="lt-LT"/>
          <w14:ligatures w14:val="none"/>
        </w:rPr>
        <w:t>sigyjama programinė įranga leidžia išnaudoti visą turimos įrangos potencialą (papildomas funkcijas, našumo ir saugumo patobulinimus)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>, b</w:t>
      </w:r>
      <w:r w:rsidRPr="006E10F1">
        <w:rPr>
          <w:rFonts w:ascii="Calibri" w:eastAsia="Times New Roman" w:hAnsi="Calibri" w:cs="Calibri"/>
          <w:kern w:val="0"/>
          <w:lang w:eastAsia="lt-LT"/>
          <w14:ligatures w14:val="none"/>
        </w:rPr>
        <w:t>e šios programinės įrangos įranga veiktų ribotu režimu, dėl ko įstaiga negalėtų pilnai vykdyti jai pavestų funkcijų ar teikti paslaugų kokybiškai.</w:t>
      </w:r>
      <w:r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Taip pat pažymima, jog </w:t>
      </w:r>
      <w:r w:rsidR="001A0925">
        <w:rPr>
          <w:rFonts w:ascii="Calibri" w:eastAsia="Times New Roman" w:hAnsi="Calibri" w:cs="Calibri"/>
          <w:kern w:val="0"/>
          <w:lang w:eastAsia="lt-LT"/>
          <w14:ligatures w14:val="none"/>
        </w:rPr>
        <w:t>g</w:t>
      </w:r>
      <w:r w:rsidR="001A0925" w:rsidRPr="001A0925">
        <w:rPr>
          <w:rFonts w:ascii="Calibri" w:eastAsia="Times New Roman" w:hAnsi="Calibri" w:cs="Calibri"/>
          <w:kern w:val="0"/>
          <w:lang w:eastAsia="lt-LT"/>
          <w14:ligatures w14:val="none"/>
        </w:rPr>
        <w:t>amintojo programinė įranga užtikrina sertifikuotą duomenų apsaugą, atitinka gamintojo nustatytus saugumo standartus ir tarptautinius reikalavimus</w:t>
      </w:r>
      <w:r w:rsidR="001A0925">
        <w:rPr>
          <w:rFonts w:ascii="Calibri" w:eastAsia="Times New Roman" w:hAnsi="Calibri" w:cs="Calibri"/>
          <w:kern w:val="0"/>
          <w:lang w:eastAsia="lt-LT"/>
          <w14:ligatures w14:val="none"/>
        </w:rPr>
        <w:t>, t</w:t>
      </w:r>
      <w:r w:rsidR="001A0925" w:rsidRPr="001A0925">
        <w:rPr>
          <w:rFonts w:ascii="Calibri" w:eastAsia="Times New Roman" w:hAnsi="Calibri" w:cs="Calibri"/>
          <w:kern w:val="0"/>
          <w:lang w:eastAsia="lt-LT"/>
          <w14:ligatures w14:val="none"/>
        </w:rPr>
        <w:t>rečiųjų šalių programos gali kelti kibernetinio saugumo riziką ar neatitikti duomenų apsaugos reglamentų</w:t>
      </w:r>
      <w:r w:rsidR="001A0925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7477B65C" w14:textId="6A43BAC0" w:rsidR="00566148" w:rsidRDefault="00822E27" w:rsidP="004A6A33">
      <w:pPr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>
        <w:rPr>
          <w:rFonts w:ascii="Calibri" w:hAnsi="Calibri" w:cs="Calibri"/>
        </w:rPr>
        <w:t xml:space="preserve">Perkančioji organizacija kartu su Prašymu pateikė gamintojo </w:t>
      </w:r>
      <w:proofErr w:type="spellStart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Rohde</w:t>
      </w:r>
      <w:proofErr w:type="spellEnd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Schwarz</w:t>
      </w:r>
      <w:proofErr w:type="spellEnd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GmbH</w:t>
      </w:r>
      <w:proofErr w:type="spellEnd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Pr="00DB74DD">
        <w:rPr>
          <w:rFonts w:ascii="Calibri" w:eastAsia="Times New Roman" w:hAnsi="Calibri" w:cs="Calibri"/>
          <w:kern w:val="0"/>
          <w:lang w:eastAsia="lt-LT"/>
          <w14:ligatures w14:val="none"/>
        </w:rPr>
        <w:t>Co</w:t>
      </w:r>
      <w:proofErr w:type="spellEnd"/>
      <w:r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įgalioto atstovo </w:t>
      </w:r>
      <w:proofErr w:type="spellStart"/>
      <w:r w:rsidR="00954012" w:rsidRPr="00954012">
        <w:rPr>
          <w:rFonts w:ascii="Calibri" w:eastAsia="Times New Roman" w:hAnsi="Calibri" w:cs="Calibri"/>
          <w:kern w:val="0"/>
          <w:lang w:eastAsia="lt-LT"/>
          <w14:ligatures w14:val="none"/>
        </w:rPr>
        <w:t>Rohde</w:t>
      </w:r>
      <w:proofErr w:type="spellEnd"/>
      <w:r w:rsidR="00954012" w:rsidRPr="0095401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="00954012" w:rsidRPr="00954012">
        <w:rPr>
          <w:rFonts w:ascii="Calibri" w:eastAsia="Times New Roman" w:hAnsi="Calibri" w:cs="Calibri"/>
          <w:kern w:val="0"/>
          <w:lang w:eastAsia="lt-LT"/>
          <w14:ligatures w14:val="none"/>
        </w:rPr>
        <w:t>Schwarz</w:t>
      </w:r>
      <w:proofErr w:type="spellEnd"/>
      <w:r w:rsidR="00954012" w:rsidRPr="0095401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954012" w:rsidRPr="00954012">
        <w:rPr>
          <w:rFonts w:ascii="Calibri" w:eastAsia="Times New Roman" w:hAnsi="Calibri" w:cs="Calibri"/>
          <w:kern w:val="0"/>
          <w:lang w:eastAsia="lt-LT"/>
          <w14:ligatures w14:val="none"/>
        </w:rPr>
        <w:t>Danmark</w:t>
      </w:r>
      <w:proofErr w:type="spellEnd"/>
      <w:r w:rsidR="00954012" w:rsidRPr="0095401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A/S </w:t>
      </w:r>
      <w:r w:rsid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2025 m. spalio 13 d. raštą, kuriame nurodoma, jog </w:t>
      </w:r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gamintojo </w:t>
      </w:r>
      <w:proofErr w:type="spellStart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>Rohde</w:t>
      </w:r>
      <w:proofErr w:type="spellEnd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>Schwarz</w:t>
      </w:r>
      <w:proofErr w:type="spellEnd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>GmbH</w:t>
      </w:r>
      <w:proofErr w:type="spellEnd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>Co</w:t>
      </w:r>
      <w:proofErr w:type="spellEnd"/>
      <w:r w:rsid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testavimo imtuvą matavimams laboratorijoje pilnai ir tinkamai valdyti gali tik to paties gamintojo testavimo programinė įranga, kurios programinis priedas leidžia atlikti TEMPEST matavimus. </w:t>
      </w:r>
      <w:r w:rsid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Taip pat nurodoma, jog </w:t>
      </w:r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TEMPEST matavimų sistemoje panaudojus ir kitą R&amp;S gaminamą įrangą kaip signalų generatorius, </w:t>
      </w:r>
      <w:proofErr w:type="spellStart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>osciloskopas</w:t>
      </w:r>
      <w:proofErr w:type="spellEnd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antenų </w:t>
      </w:r>
      <w:proofErr w:type="spellStart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>perjungėjas</w:t>
      </w:r>
      <w:proofErr w:type="spellEnd"/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ir pan. </w:t>
      </w:r>
      <w:r w:rsidR="0076435B">
        <w:rPr>
          <w:rFonts w:ascii="Calibri" w:eastAsia="Times New Roman" w:hAnsi="Calibri" w:cs="Calibri"/>
          <w:kern w:val="0"/>
          <w:lang w:eastAsia="lt-LT"/>
          <w14:ligatures w14:val="none"/>
        </w:rPr>
        <w:t>minėtas programinis priedas</w:t>
      </w:r>
      <w:r w:rsidR="0076435B" w:rsidRPr="0076435B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leidžia automatizuoti sistemą, ko negali atlikti kitų gamintojų programinė įranga.</w:t>
      </w:r>
    </w:p>
    <w:p w14:paraId="7225F192" w14:textId="22C5CDD3" w:rsidR="00BE6EA1" w:rsidRDefault="00BE6EA1" w:rsidP="00BE6EA1">
      <w:pPr>
        <w:spacing w:after="0"/>
        <w:ind w:firstLine="720"/>
        <w:rPr>
          <w:rFonts w:ascii="Calibri" w:hAnsi="Calibri" w:cs="Calibri"/>
        </w:rPr>
      </w:pPr>
      <w:r w:rsidRPr="00CB192F">
        <w:rPr>
          <w:rFonts w:ascii="Calibri" w:hAnsi="Calibri" w:cs="Calibri"/>
        </w:rPr>
        <w:t>Atsižvelgdama į visas pirmiau nurodytas aplinkybes, Perkančioji organizacija priėmė sprendimą kreiptis į Tarnybą sutikimo dėl tokio Pirkimo būdo pasirinkimo.</w:t>
      </w:r>
    </w:p>
    <w:p w14:paraId="2E12266F" w14:textId="0D0A6987" w:rsidR="0031505E" w:rsidRPr="001A229D" w:rsidRDefault="004A6A33" w:rsidP="00BE6EA1">
      <w:pPr>
        <w:spacing w:after="0"/>
        <w:ind w:firstLine="720"/>
        <w:rPr>
          <w:rFonts w:ascii="Calibri" w:hAnsi="Calibri" w:cs="Calibri"/>
        </w:rPr>
      </w:pPr>
      <w:r w:rsidRPr="004A6A33">
        <w:rPr>
          <w:rFonts w:ascii="Calibri" w:hAnsi="Calibri" w:cs="Calibri"/>
        </w:rPr>
        <w:t xml:space="preserve">Planuojama Pirkimo vertė – </w:t>
      </w:r>
      <w:r w:rsidR="000C6F7E" w:rsidRPr="000C6F7E">
        <w:rPr>
          <w:rFonts w:ascii="Calibri" w:hAnsi="Calibri" w:cs="Calibri"/>
        </w:rPr>
        <w:t>48 000</w:t>
      </w:r>
      <w:r w:rsidRPr="004A6A33">
        <w:rPr>
          <w:rFonts w:ascii="Calibri" w:hAnsi="Calibri" w:cs="Calibri"/>
        </w:rPr>
        <w:t xml:space="preserve">,00 Eur </w:t>
      </w:r>
      <w:r w:rsidR="000C6F7E">
        <w:rPr>
          <w:rFonts w:ascii="Calibri" w:hAnsi="Calibri" w:cs="Calibri"/>
        </w:rPr>
        <w:t>su</w:t>
      </w:r>
      <w:r w:rsidRPr="004A6A33">
        <w:rPr>
          <w:rFonts w:ascii="Calibri" w:hAnsi="Calibri" w:cs="Calibri"/>
        </w:rPr>
        <w:t xml:space="preserve"> PVM.</w:t>
      </w:r>
    </w:p>
    <w:p w14:paraId="43723D4C" w14:textId="77777777" w:rsidR="0031505E" w:rsidRPr="0031505E" w:rsidRDefault="0031505E" w:rsidP="004A6A33">
      <w:pPr>
        <w:tabs>
          <w:tab w:val="left" w:pos="6240"/>
        </w:tabs>
        <w:spacing w:after="0" w:line="276" w:lineRule="auto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>Įstatymo 71 straipsnio 1 dalies 2 punkto b papunktyje nustatyta, kad paslaugos neskelbiamų derybų būdu gali būti perkamos: „jeigu &lt;...&gt; paslaugas teikti &lt;...&gt; gali tik konkretus tiekėjas dėl vienos iš šių priežasčių: &lt;...&gt; b) konkurencijos nėra dėl techninių priežasčių“.</w:t>
      </w:r>
    </w:p>
    <w:p w14:paraId="10A66A0C" w14:textId="617239B3" w:rsidR="0031505E" w:rsidRPr="0031505E" w:rsidRDefault="0031505E" w:rsidP="004A6A33">
      <w:pPr>
        <w:tabs>
          <w:tab w:val="left" w:pos="6240"/>
        </w:tabs>
        <w:spacing w:after="0" w:line="276" w:lineRule="auto"/>
        <w:ind w:firstLine="709"/>
        <w:rPr>
          <w:rFonts w:ascii="Calibri" w:eastAsia="Times New Roman" w:hAnsi="Calibri" w:cs="Calibri"/>
          <w:kern w:val="0"/>
          <w:lang w:val="en-GB" w:eastAsia="lt-LT"/>
          <w14:ligatures w14:val="none"/>
        </w:rPr>
      </w:pP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Tarnyba, įvertinusi nurodytus argumentus bei </w:t>
      </w:r>
      <w:r w:rsidR="00983FC3">
        <w:rPr>
          <w:rFonts w:ascii="Calibri" w:eastAsia="Times New Roman" w:hAnsi="Calibri" w:cs="Calibri"/>
          <w:kern w:val="0"/>
          <w:lang w:eastAsia="lt-LT"/>
          <w14:ligatures w14:val="none"/>
        </w:rPr>
        <w:t>pateiktus dokumentus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>, nustatė, kad Perkančiosios organizacijos pasirinktas pirkimo būdas atitinka Įstatymo 71 straipsnio 1 dalies 2 punkto b papunkčio sąlygas, t. y. šiuo Pirkimu siekiam</w:t>
      </w:r>
      <w:r w:rsidR="00983FC3">
        <w:rPr>
          <w:rFonts w:ascii="Calibri" w:eastAsia="Times New Roman" w:hAnsi="Calibri" w:cs="Calibri"/>
          <w:kern w:val="0"/>
          <w:lang w:eastAsia="lt-LT"/>
          <w14:ligatures w14:val="none"/>
        </w:rPr>
        <w:t>ą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įsigyti </w:t>
      </w:r>
      <w:r w:rsidR="00983FC3" w:rsidRPr="00983FC3">
        <w:rPr>
          <w:rFonts w:ascii="Calibri" w:eastAsia="Times New Roman" w:hAnsi="Calibri" w:cs="Calibri"/>
          <w:kern w:val="0"/>
          <w:lang w:eastAsia="lt-LT"/>
          <w14:ligatures w14:val="none"/>
        </w:rPr>
        <w:t>TEMPEST laboratorijos matavimo ir automatizavimo programin</w:t>
      </w:r>
      <w:r w:rsidR="00983FC3">
        <w:rPr>
          <w:rFonts w:ascii="Calibri" w:eastAsia="Times New Roman" w:hAnsi="Calibri" w:cs="Calibri"/>
          <w:kern w:val="0"/>
          <w:lang w:eastAsia="lt-LT"/>
          <w14:ligatures w14:val="none"/>
        </w:rPr>
        <w:t>ę</w:t>
      </w:r>
      <w:r w:rsidR="00983FC3" w:rsidRPr="00983FC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įrang</w:t>
      </w:r>
      <w:r w:rsidR="00E1695E">
        <w:rPr>
          <w:rFonts w:ascii="Calibri" w:eastAsia="Times New Roman" w:hAnsi="Calibri" w:cs="Calibri"/>
          <w:kern w:val="0"/>
          <w:lang w:eastAsia="lt-LT"/>
          <w14:ligatures w14:val="none"/>
        </w:rPr>
        <w:t>ą</w:t>
      </w:r>
      <w:r w:rsidR="00983FC3" w:rsidRPr="00983FC3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1F5022">
        <w:rPr>
          <w:rFonts w:ascii="Calibri" w:eastAsia="Times New Roman" w:hAnsi="Calibri" w:cs="Calibri"/>
          <w:kern w:val="0"/>
          <w:lang w:eastAsia="lt-LT"/>
          <w14:ligatures w14:val="none"/>
        </w:rPr>
        <w:t>dėl techninio</w:t>
      </w:r>
      <w:r w:rsidR="00E4164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ir funkcinio suderinamumo</w:t>
      </w:r>
      <w:r w:rsidR="00082B54">
        <w:rPr>
          <w:rStyle w:val="FootnoteReference"/>
          <w:rFonts w:ascii="Calibri" w:eastAsia="Times New Roman" w:hAnsi="Calibri" w:cs="Calibri"/>
          <w:kern w:val="0"/>
          <w:lang w:eastAsia="lt-LT"/>
          <w14:ligatures w14:val="none"/>
        </w:rPr>
        <w:footnoteReference w:id="3"/>
      </w:r>
      <w:r w:rsidR="00082B54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gali </w:t>
      </w:r>
      <w:r w:rsidR="00332598">
        <w:rPr>
          <w:rFonts w:ascii="Calibri" w:eastAsia="Times New Roman" w:hAnsi="Calibri" w:cs="Calibri"/>
          <w:kern w:val="0"/>
          <w:lang w:eastAsia="lt-LT"/>
          <w14:ligatures w14:val="none"/>
        </w:rPr>
        <w:t>pateikti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tik konkret</w:t>
      </w:r>
      <w:r w:rsidR="00332598">
        <w:rPr>
          <w:rFonts w:ascii="Calibri" w:eastAsia="Times New Roman" w:hAnsi="Calibri" w:cs="Calibri"/>
          <w:kern w:val="0"/>
          <w:lang w:eastAsia="lt-LT"/>
          <w14:ligatures w14:val="none"/>
        </w:rPr>
        <w:t>u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>s tiekėja</w:t>
      </w:r>
      <w:r w:rsidR="006254F0">
        <w:rPr>
          <w:rFonts w:ascii="Calibri" w:eastAsia="Times New Roman" w:hAnsi="Calibri" w:cs="Calibri"/>
          <w:kern w:val="0"/>
          <w:lang w:eastAsia="lt-LT"/>
          <w14:ligatures w14:val="none"/>
        </w:rPr>
        <w:t>s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– </w:t>
      </w:r>
      <w:proofErr w:type="spellStart"/>
      <w:r w:rsidR="00E72C35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>Rohde</w:t>
      </w:r>
      <w:proofErr w:type="spellEnd"/>
      <w:r w:rsidR="00E72C35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="00E72C35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>Schwarz</w:t>
      </w:r>
      <w:proofErr w:type="spellEnd"/>
      <w:r w:rsidR="00E72C35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E72C35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>Danmark</w:t>
      </w:r>
      <w:proofErr w:type="spellEnd"/>
      <w:r w:rsidR="00E72C35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A/S</w:t>
      </w:r>
      <w:r w:rsidR="00E72C3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kuris yra Perkančiosios organizacijos turimos </w:t>
      </w:r>
      <w:r w:rsidR="00E614AA" w:rsidRPr="00E614AA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TEMPEST laboratorijos matavimo įrangos </w:t>
      </w:r>
      <w:r w:rsidR="00E614AA">
        <w:rPr>
          <w:rFonts w:ascii="Calibri" w:eastAsia="Times New Roman" w:hAnsi="Calibri" w:cs="Calibri"/>
          <w:kern w:val="0"/>
          <w:lang w:eastAsia="lt-LT"/>
          <w14:ligatures w14:val="none"/>
        </w:rPr>
        <w:t>gamintojo įgaliotas atstovas Lietuvoje</w:t>
      </w:r>
      <w:r w:rsidR="00E614AA">
        <w:rPr>
          <w:rStyle w:val="FootnoteReference"/>
          <w:rFonts w:ascii="Calibri" w:eastAsia="Times New Roman" w:hAnsi="Calibri" w:cs="Calibri"/>
          <w:kern w:val="0"/>
          <w:lang w:eastAsia="lt-LT"/>
          <w14:ligatures w14:val="none"/>
        </w:rPr>
        <w:footnoteReference w:id="4"/>
      </w:r>
      <w:r w:rsidR="00E72C35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5B3F153D" w14:textId="5C824113" w:rsidR="0031505E" w:rsidRPr="0031505E" w:rsidRDefault="0031505E" w:rsidP="004A6A33">
      <w:pPr>
        <w:tabs>
          <w:tab w:val="left" w:pos="6240"/>
        </w:tabs>
        <w:spacing w:after="0" w:line="276" w:lineRule="auto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Atsižvelgdama į tai kas išdėstyta ir vadovaudamasi Įstatymo 95 straipsnio 2 dalies 7 punktu ir Taisyklėmis, Tarnyba </w:t>
      </w:r>
      <w:r w:rsidRPr="0031505E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sutinka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>, kad Pirkimas būtų vykdomas neskelbiamų derybų būdu, vadovaujantis Įstatymo 71 straipsnio 1 dalies 2 punkto b papunkčiu, į derybas kviečiant konkre</w:t>
      </w:r>
      <w:r w:rsidR="00F35F45">
        <w:rPr>
          <w:rFonts w:ascii="Calibri" w:eastAsia="Times New Roman" w:hAnsi="Calibri" w:cs="Calibri"/>
          <w:kern w:val="0"/>
          <w:lang w:eastAsia="lt-LT"/>
          <w14:ligatures w14:val="none"/>
        </w:rPr>
        <w:t>tų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 tiekėj</w:t>
      </w:r>
      <w:r w:rsidR="005A5818">
        <w:rPr>
          <w:rFonts w:ascii="Calibri" w:eastAsia="Times New Roman" w:hAnsi="Calibri" w:cs="Calibri"/>
          <w:kern w:val="0"/>
          <w:lang w:eastAsia="lt-LT"/>
          <w14:ligatures w14:val="none"/>
        </w:rPr>
        <w:t>ą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–</w:t>
      </w:r>
      <w:r w:rsidR="005A5818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5A5818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>Rohde</w:t>
      </w:r>
      <w:proofErr w:type="spellEnd"/>
      <w:r w:rsidR="005A5818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&amp; </w:t>
      </w:r>
      <w:proofErr w:type="spellStart"/>
      <w:r w:rsidR="005A5818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>Schwarz</w:t>
      </w:r>
      <w:proofErr w:type="spellEnd"/>
      <w:r w:rsidR="005A5818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5A5818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>Danmark</w:t>
      </w:r>
      <w:proofErr w:type="spellEnd"/>
      <w:r w:rsidR="005A5818" w:rsidRPr="00E72C35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A/S</w:t>
      </w:r>
      <w:r w:rsidRPr="0031505E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3F48D0A0" w14:textId="1028DD6B" w:rsidR="00BE6EA1" w:rsidRPr="00ED04E8" w:rsidRDefault="00BE6EA1" w:rsidP="00ED04E8">
      <w:pPr>
        <w:tabs>
          <w:tab w:val="left" w:pos="6240"/>
        </w:tabs>
        <w:spacing w:after="0" w:line="276" w:lineRule="auto"/>
        <w:ind w:firstLine="851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g.12-100, 01108 Vilnius) ar 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Regionų administraciniam teismui (Žygimantų g. 2, 01102 Vilnius).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E6EA1" w:rsidRPr="007D4C62" w14:paraId="605B707F" w14:textId="77777777" w:rsidTr="004F5A22">
        <w:tc>
          <w:tcPr>
            <w:tcW w:w="4814" w:type="dxa"/>
            <w:hideMark/>
          </w:tcPr>
          <w:p w14:paraId="7BAB9DA7" w14:textId="77777777" w:rsidR="001A2E42" w:rsidRDefault="001A2E42" w:rsidP="004F5A22">
            <w:pPr>
              <w:tabs>
                <w:tab w:val="left" w:pos="7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0F695A5F" w14:textId="4DE595AB" w:rsidR="00BE6EA1" w:rsidRPr="007D4C62" w:rsidRDefault="00BE6EA1" w:rsidP="001A2E42">
            <w:pPr>
              <w:tabs>
                <w:tab w:val="left" w:pos="7176"/>
              </w:tabs>
              <w:spacing w:after="0"/>
              <w:ind w:left="-108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Direktorius </w:t>
            </w:r>
          </w:p>
        </w:tc>
        <w:tc>
          <w:tcPr>
            <w:tcW w:w="4815" w:type="dxa"/>
            <w:hideMark/>
          </w:tcPr>
          <w:p w14:paraId="57BCB89D" w14:textId="77777777" w:rsidR="00BE6EA1" w:rsidRPr="007D4C62" w:rsidRDefault="00BE6EA1" w:rsidP="004F5A22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7E035186" w14:textId="77777777" w:rsidR="00BE6EA1" w:rsidRPr="007D4C62" w:rsidRDefault="00BE6EA1" w:rsidP="004F5A22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Darius Vedrickas</w:t>
            </w:r>
          </w:p>
        </w:tc>
      </w:tr>
      <w:bookmarkEnd w:id="0"/>
      <w:bookmarkEnd w:id="1"/>
      <w:bookmarkEnd w:id="2"/>
    </w:tbl>
    <w:p w14:paraId="58DDA417" w14:textId="77777777" w:rsidR="00ED04E8" w:rsidRDefault="00ED04E8" w:rsidP="003000F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7702D898" w14:textId="77777777" w:rsidR="00C91F1B" w:rsidRDefault="00C91F1B" w:rsidP="003000F5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C2F931A" w14:textId="3C0E5E9E" w:rsidR="007A066F" w:rsidRPr="001A2E42" w:rsidRDefault="007A066F" w:rsidP="003000F5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lt-LT"/>
          <w14:ligatures w14:val="none"/>
        </w:rPr>
      </w:pPr>
    </w:p>
    <w:sectPr w:rsidR="007A066F" w:rsidRPr="001A2E42" w:rsidSect="00BE6EA1">
      <w:head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2470" w14:textId="77777777" w:rsidR="00797BC1" w:rsidRDefault="00797BC1" w:rsidP="00BE6EA1">
      <w:pPr>
        <w:spacing w:after="0" w:line="240" w:lineRule="auto"/>
      </w:pPr>
      <w:r>
        <w:separator/>
      </w:r>
    </w:p>
  </w:endnote>
  <w:endnote w:type="continuationSeparator" w:id="0">
    <w:p w14:paraId="1F315E64" w14:textId="77777777" w:rsidR="00797BC1" w:rsidRDefault="00797BC1" w:rsidP="00BE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4766" w14:textId="77777777" w:rsidR="00BE6EA1" w:rsidRPr="007D4C62" w:rsidRDefault="00BE6EA1" w:rsidP="0067449B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Biudžetinė įstaiga                                 Tel.  +370 603 89015                           Duomenys kaupiami ir saugomi </w:t>
    </w:r>
  </w:p>
  <w:p w14:paraId="7E370A5D" w14:textId="77777777" w:rsidR="00BE6EA1" w:rsidRPr="007D4C62" w:rsidRDefault="00BE6EA1" w:rsidP="0067449B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Kareivių g. 1, LT-08221 Vilnius           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El.p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.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info@vpt.lt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                                  Juridinių asmenų registre </w:t>
    </w:r>
  </w:p>
  <w:p w14:paraId="20958AB9" w14:textId="77777777" w:rsidR="00BE6EA1" w:rsidRPr="007D4C62" w:rsidRDefault="00BE6EA1" w:rsidP="0067449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kern w:val="0"/>
        <w:sz w:val="18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http://www.vpt.lt                                                                                                 Kodas 188656261</w:t>
    </w:r>
  </w:p>
  <w:p w14:paraId="23F79547" w14:textId="77777777" w:rsidR="00BE6EA1" w:rsidRPr="007D4C62" w:rsidRDefault="00BE6EA1" w:rsidP="00A47EC6">
    <w:pPr>
      <w:pStyle w:val="Footer"/>
    </w:pPr>
  </w:p>
  <w:p w14:paraId="6C2695DD" w14:textId="77777777" w:rsidR="00BE6EA1" w:rsidRPr="007D4C62" w:rsidRDefault="00BE6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C6FA" w14:textId="77777777" w:rsidR="00797BC1" w:rsidRDefault="00797BC1" w:rsidP="00BE6EA1">
      <w:pPr>
        <w:spacing w:after="0" w:line="240" w:lineRule="auto"/>
      </w:pPr>
      <w:r>
        <w:separator/>
      </w:r>
    </w:p>
  </w:footnote>
  <w:footnote w:type="continuationSeparator" w:id="0">
    <w:p w14:paraId="643383D3" w14:textId="77777777" w:rsidR="00797BC1" w:rsidRDefault="00797BC1" w:rsidP="00BE6EA1">
      <w:pPr>
        <w:spacing w:after="0" w:line="240" w:lineRule="auto"/>
      </w:pPr>
      <w:r>
        <w:continuationSeparator/>
      </w:r>
    </w:p>
  </w:footnote>
  <w:footnote w:id="1">
    <w:p w14:paraId="195CCC02" w14:textId="77777777" w:rsidR="00BE6EA1" w:rsidRPr="00566148" w:rsidRDefault="00BE6EA1" w:rsidP="00BE6EA1">
      <w:pPr>
        <w:pStyle w:val="FootnoteText"/>
        <w:rPr>
          <w:rFonts w:ascii="Calibri" w:hAnsi="Calibri" w:cs="Calibri"/>
        </w:rPr>
      </w:pPr>
      <w:r w:rsidRPr="004E5D1F">
        <w:rPr>
          <w:rStyle w:val="FootnoteReference"/>
        </w:rPr>
        <w:footnoteRef/>
      </w:r>
      <w:r w:rsidRPr="004E5D1F">
        <w:t xml:space="preserve"> </w:t>
      </w:r>
      <w:r w:rsidRPr="00566148">
        <w:rPr>
          <w:rFonts w:ascii="Calibri" w:hAnsi="Calibri" w:cs="Calibri"/>
        </w:rPr>
        <w:t>Patvirtintos Viešųjų pirkimų tarnybos direktoriaus 2017 m. birželio 29 d. įsakymu Nr. 1S-99 (2023 m. sausio 31 d. įsakymo Nr. 1S-13 redakcija).</w:t>
      </w:r>
    </w:p>
  </w:footnote>
  <w:footnote w:id="2">
    <w:p w14:paraId="080F5989" w14:textId="26CC4EB5" w:rsidR="00566148" w:rsidRPr="00566148" w:rsidRDefault="00566148">
      <w:pPr>
        <w:pStyle w:val="FootnoteText"/>
        <w:rPr>
          <w:rFonts w:ascii="Calibri" w:hAnsi="Calibri" w:cs="Calibri"/>
        </w:rPr>
      </w:pPr>
      <w:r w:rsidRPr="00566148">
        <w:rPr>
          <w:rStyle w:val="FootnoteReference"/>
          <w:rFonts w:ascii="Calibri" w:hAnsi="Calibri" w:cs="Calibri"/>
        </w:rPr>
        <w:footnoteRef/>
      </w:r>
      <w:r w:rsidRPr="00566148">
        <w:rPr>
          <w:rFonts w:ascii="Calibri" w:hAnsi="Calibri" w:cs="Calibri"/>
        </w:rPr>
        <w:t xml:space="preserve"> </w:t>
      </w:r>
      <w:r w:rsidRPr="00566148">
        <w:rPr>
          <w:rFonts w:ascii="Calibri" w:hAnsi="Calibri" w:cs="Calibri"/>
        </w:rPr>
        <w:t xml:space="preserve">Perkančiosios organizacijos 2025 m. lapkričio 6 d. raštas Nr. </w:t>
      </w:r>
      <w:r w:rsidRPr="00566148">
        <w:rPr>
          <w:rFonts w:ascii="Calibri" w:eastAsia="Times New Roman" w:hAnsi="Calibri" w:cs="Calibri"/>
        </w:rPr>
        <w:t>(3.71 E) 6K-867</w:t>
      </w:r>
      <w:r w:rsidR="00502F1A">
        <w:rPr>
          <w:rFonts w:ascii="Calibri" w:eastAsia="Times New Roman" w:hAnsi="Calibri" w:cs="Calibri"/>
        </w:rPr>
        <w:t>.</w:t>
      </w:r>
    </w:p>
  </w:footnote>
  <w:footnote w:id="3">
    <w:p w14:paraId="3E3B1392" w14:textId="726EEEFF" w:rsidR="00082B54" w:rsidRDefault="00082B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54012">
        <w:t xml:space="preserve">Pagal </w:t>
      </w:r>
      <w:r w:rsidR="00954012">
        <w:rPr>
          <w:rFonts w:ascii="Calibri" w:hAnsi="Calibri" w:cs="Calibri"/>
        </w:rPr>
        <w:t xml:space="preserve">gamintojo </w:t>
      </w:r>
      <w:proofErr w:type="spellStart"/>
      <w:r w:rsidR="00954012" w:rsidRPr="00DB74DD">
        <w:rPr>
          <w:rFonts w:ascii="Calibri" w:eastAsia="Times New Roman" w:hAnsi="Calibri" w:cs="Calibri"/>
          <w:lang w:eastAsia="lt-LT"/>
        </w:rPr>
        <w:t>Rohde</w:t>
      </w:r>
      <w:proofErr w:type="spellEnd"/>
      <w:r w:rsidR="00954012" w:rsidRPr="00DB74DD">
        <w:rPr>
          <w:rFonts w:ascii="Calibri" w:eastAsia="Times New Roman" w:hAnsi="Calibri" w:cs="Calibri"/>
          <w:lang w:eastAsia="lt-LT"/>
        </w:rPr>
        <w:t xml:space="preserve"> &amp; </w:t>
      </w:r>
      <w:proofErr w:type="spellStart"/>
      <w:r w:rsidR="00954012" w:rsidRPr="00DB74DD">
        <w:rPr>
          <w:rFonts w:ascii="Calibri" w:eastAsia="Times New Roman" w:hAnsi="Calibri" w:cs="Calibri"/>
          <w:lang w:eastAsia="lt-LT"/>
        </w:rPr>
        <w:t>Schwarz</w:t>
      </w:r>
      <w:proofErr w:type="spellEnd"/>
      <w:r w:rsidR="00954012" w:rsidRPr="00DB74DD">
        <w:rPr>
          <w:rFonts w:ascii="Calibri" w:eastAsia="Times New Roman" w:hAnsi="Calibri" w:cs="Calibri"/>
          <w:lang w:eastAsia="lt-LT"/>
        </w:rPr>
        <w:t xml:space="preserve"> </w:t>
      </w:r>
      <w:proofErr w:type="spellStart"/>
      <w:r w:rsidR="00954012" w:rsidRPr="00DB74DD">
        <w:rPr>
          <w:rFonts w:ascii="Calibri" w:eastAsia="Times New Roman" w:hAnsi="Calibri" w:cs="Calibri"/>
          <w:lang w:eastAsia="lt-LT"/>
        </w:rPr>
        <w:t>GmbH</w:t>
      </w:r>
      <w:proofErr w:type="spellEnd"/>
      <w:r w:rsidR="00954012" w:rsidRPr="00DB74DD">
        <w:rPr>
          <w:rFonts w:ascii="Calibri" w:eastAsia="Times New Roman" w:hAnsi="Calibri" w:cs="Calibri"/>
          <w:lang w:eastAsia="lt-LT"/>
        </w:rPr>
        <w:t xml:space="preserve"> &amp; </w:t>
      </w:r>
      <w:proofErr w:type="spellStart"/>
      <w:r w:rsidR="00954012" w:rsidRPr="00DB74DD">
        <w:rPr>
          <w:rFonts w:ascii="Calibri" w:eastAsia="Times New Roman" w:hAnsi="Calibri" w:cs="Calibri"/>
          <w:lang w:eastAsia="lt-LT"/>
        </w:rPr>
        <w:t>Co</w:t>
      </w:r>
      <w:proofErr w:type="spellEnd"/>
      <w:r w:rsidR="00954012">
        <w:rPr>
          <w:rFonts w:ascii="Calibri" w:eastAsia="Times New Roman" w:hAnsi="Calibri" w:cs="Calibri"/>
          <w:lang w:eastAsia="lt-LT"/>
        </w:rPr>
        <w:t xml:space="preserve"> įgalioto atstovo </w:t>
      </w:r>
      <w:proofErr w:type="spellStart"/>
      <w:r w:rsidR="00954012" w:rsidRPr="00954012">
        <w:rPr>
          <w:rFonts w:ascii="Calibri" w:eastAsia="Times New Roman" w:hAnsi="Calibri" w:cs="Calibri"/>
          <w:lang w:eastAsia="lt-LT"/>
        </w:rPr>
        <w:t>Rohde</w:t>
      </w:r>
      <w:proofErr w:type="spellEnd"/>
      <w:r w:rsidR="00954012" w:rsidRPr="00954012">
        <w:rPr>
          <w:rFonts w:ascii="Calibri" w:eastAsia="Times New Roman" w:hAnsi="Calibri" w:cs="Calibri"/>
          <w:lang w:eastAsia="lt-LT"/>
        </w:rPr>
        <w:t xml:space="preserve"> &amp; </w:t>
      </w:r>
      <w:proofErr w:type="spellStart"/>
      <w:r w:rsidR="00954012" w:rsidRPr="00954012">
        <w:rPr>
          <w:rFonts w:ascii="Calibri" w:eastAsia="Times New Roman" w:hAnsi="Calibri" w:cs="Calibri"/>
          <w:lang w:eastAsia="lt-LT"/>
        </w:rPr>
        <w:t>Schwarz</w:t>
      </w:r>
      <w:proofErr w:type="spellEnd"/>
      <w:r w:rsidR="00954012" w:rsidRPr="00954012">
        <w:rPr>
          <w:rFonts w:ascii="Calibri" w:eastAsia="Times New Roman" w:hAnsi="Calibri" w:cs="Calibri"/>
          <w:lang w:eastAsia="lt-LT"/>
        </w:rPr>
        <w:t xml:space="preserve"> </w:t>
      </w:r>
      <w:proofErr w:type="spellStart"/>
      <w:r w:rsidR="00954012" w:rsidRPr="00954012">
        <w:rPr>
          <w:rFonts w:ascii="Calibri" w:eastAsia="Times New Roman" w:hAnsi="Calibri" w:cs="Calibri"/>
          <w:lang w:eastAsia="lt-LT"/>
        </w:rPr>
        <w:t>Danmark</w:t>
      </w:r>
      <w:proofErr w:type="spellEnd"/>
      <w:r w:rsidR="00954012" w:rsidRPr="00954012">
        <w:rPr>
          <w:rFonts w:ascii="Calibri" w:eastAsia="Times New Roman" w:hAnsi="Calibri" w:cs="Calibri"/>
          <w:lang w:eastAsia="lt-LT"/>
        </w:rPr>
        <w:t xml:space="preserve"> A/S </w:t>
      </w:r>
      <w:r w:rsidR="00954012">
        <w:rPr>
          <w:rFonts w:ascii="Calibri" w:eastAsia="Times New Roman" w:hAnsi="Calibri" w:cs="Calibri"/>
          <w:lang w:eastAsia="lt-LT"/>
        </w:rPr>
        <w:t>2025 m. spalio 13 d. raštą.</w:t>
      </w:r>
    </w:p>
  </w:footnote>
  <w:footnote w:id="4">
    <w:p w14:paraId="45287135" w14:textId="5DB1BFB8" w:rsidR="00E614AA" w:rsidRDefault="00E614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9D5348" w:rsidRPr="00DB74DD">
        <w:rPr>
          <w:rFonts w:ascii="Calibri" w:eastAsia="Times New Roman" w:hAnsi="Calibri" w:cs="Calibri"/>
          <w:lang w:eastAsia="lt-LT"/>
        </w:rPr>
        <w:t>Rohde</w:t>
      </w:r>
      <w:proofErr w:type="spellEnd"/>
      <w:r w:rsidR="009D5348" w:rsidRPr="00DB74DD">
        <w:rPr>
          <w:rFonts w:ascii="Calibri" w:eastAsia="Times New Roman" w:hAnsi="Calibri" w:cs="Calibri"/>
          <w:lang w:eastAsia="lt-LT"/>
        </w:rPr>
        <w:t xml:space="preserve"> &amp; </w:t>
      </w:r>
      <w:proofErr w:type="spellStart"/>
      <w:r w:rsidR="009D5348" w:rsidRPr="00DB74DD">
        <w:rPr>
          <w:rFonts w:ascii="Calibri" w:eastAsia="Times New Roman" w:hAnsi="Calibri" w:cs="Calibri"/>
          <w:lang w:eastAsia="lt-LT"/>
        </w:rPr>
        <w:t>Schwarz</w:t>
      </w:r>
      <w:proofErr w:type="spellEnd"/>
      <w:r w:rsidR="009D5348" w:rsidRPr="00DB74DD">
        <w:rPr>
          <w:rFonts w:ascii="Calibri" w:eastAsia="Times New Roman" w:hAnsi="Calibri" w:cs="Calibri"/>
          <w:lang w:eastAsia="lt-LT"/>
        </w:rPr>
        <w:t xml:space="preserve"> </w:t>
      </w:r>
      <w:proofErr w:type="spellStart"/>
      <w:r w:rsidR="009D5348" w:rsidRPr="00DB74DD">
        <w:rPr>
          <w:rFonts w:ascii="Calibri" w:eastAsia="Times New Roman" w:hAnsi="Calibri" w:cs="Calibri"/>
          <w:lang w:eastAsia="lt-LT"/>
        </w:rPr>
        <w:t>GmbH</w:t>
      </w:r>
      <w:proofErr w:type="spellEnd"/>
      <w:r w:rsidR="009D5348" w:rsidRPr="00DB74DD">
        <w:rPr>
          <w:rFonts w:ascii="Calibri" w:eastAsia="Times New Roman" w:hAnsi="Calibri" w:cs="Calibri"/>
          <w:lang w:eastAsia="lt-LT"/>
        </w:rPr>
        <w:t xml:space="preserve"> &amp; </w:t>
      </w:r>
      <w:proofErr w:type="spellStart"/>
      <w:r w:rsidR="009D5348" w:rsidRPr="00DB74DD">
        <w:rPr>
          <w:rFonts w:ascii="Calibri" w:eastAsia="Times New Roman" w:hAnsi="Calibri" w:cs="Calibri"/>
          <w:lang w:eastAsia="lt-LT"/>
        </w:rPr>
        <w:t>Co</w:t>
      </w:r>
      <w:proofErr w:type="spellEnd"/>
      <w:r w:rsidR="009D5348">
        <w:rPr>
          <w:rFonts w:ascii="Calibri" w:eastAsia="Times New Roman" w:hAnsi="Calibri" w:cs="Calibri"/>
          <w:lang w:eastAsia="lt-LT"/>
        </w:rPr>
        <w:t xml:space="preserve"> 2024 m. spalio 29 d. raštas, pateiktas kartu su Prašymu.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24865"/>
      <w:docPartObj>
        <w:docPartGallery w:val="Page Numbers (Top of Page)"/>
        <w:docPartUnique/>
      </w:docPartObj>
    </w:sdtPr>
    <w:sdtContent>
      <w:p w14:paraId="620677CC" w14:textId="77777777" w:rsidR="00BE6EA1" w:rsidRPr="007D4C62" w:rsidRDefault="00BE6EA1">
        <w:pPr>
          <w:pStyle w:val="Header"/>
          <w:jc w:val="center"/>
        </w:pPr>
        <w:r w:rsidRPr="007D4C62">
          <w:fldChar w:fldCharType="begin"/>
        </w:r>
        <w:r w:rsidRPr="007D4C62">
          <w:instrText>PAGE   \* MERGEFORMAT</w:instrText>
        </w:r>
        <w:r w:rsidRPr="007D4C62">
          <w:fldChar w:fldCharType="separate"/>
        </w:r>
        <w:r w:rsidRPr="007D4C62">
          <w:t>2</w:t>
        </w:r>
        <w:r w:rsidRPr="007D4C62">
          <w:fldChar w:fldCharType="end"/>
        </w:r>
      </w:p>
    </w:sdtContent>
  </w:sdt>
  <w:p w14:paraId="2D2EC5F8" w14:textId="77777777" w:rsidR="00BE6EA1" w:rsidRPr="007D4C62" w:rsidRDefault="00BE6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A1"/>
    <w:rsid w:val="00035D19"/>
    <w:rsid w:val="00082B54"/>
    <w:rsid w:val="000C6F7E"/>
    <w:rsid w:val="00135867"/>
    <w:rsid w:val="00145001"/>
    <w:rsid w:val="001621D9"/>
    <w:rsid w:val="001A0925"/>
    <w:rsid w:val="001A2E42"/>
    <w:rsid w:val="001F5022"/>
    <w:rsid w:val="003000F5"/>
    <w:rsid w:val="0031505E"/>
    <w:rsid w:val="00332598"/>
    <w:rsid w:val="00404C15"/>
    <w:rsid w:val="004A6A33"/>
    <w:rsid w:val="00502F1A"/>
    <w:rsid w:val="00503D57"/>
    <w:rsid w:val="00515DFA"/>
    <w:rsid w:val="00566148"/>
    <w:rsid w:val="00594B50"/>
    <w:rsid w:val="005A5818"/>
    <w:rsid w:val="006254F0"/>
    <w:rsid w:val="006631C5"/>
    <w:rsid w:val="00665B2B"/>
    <w:rsid w:val="006E10F1"/>
    <w:rsid w:val="0076435B"/>
    <w:rsid w:val="00764FB6"/>
    <w:rsid w:val="00797BC1"/>
    <w:rsid w:val="007A066F"/>
    <w:rsid w:val="007D78D1"/>
    <w:rsid w:val="00822E27"/>
    <w:rsid w:val="008D364B"/>
    <w:rsid w:val="00936A7B"/>
    <w:rsid w:val="00954012"/>
    <w:rsid w:val="00983FC3"/>
    <w:rsid w:val="009A0FE4"/>
    <w:rsid w:val="009D5348"/>
    <w:rsid w:val="00A9792A"/>
    <w:rsid w:val="00AF66D4"/>
    <w:rsid w:val="00B24750"/>
    <w:rsid w:val="00BE6EA1"/>
    <w:rsid w:val="00C557C0"/>
    <w:rsid w:val="00C82C6E"/>
    <w:rsid w:val="00C82D68"/>
    <w:rsid w:val="00C91F1B"/>
    <w:rsid w:val="00D13745"/>
    <w:rsid w:val="00D40FC6"/>
    <w:rsid w:val="00DE34A1"/>
    <w:rsid w:val="00E1695E"/>
    <w:rsid w:val="00E41641"/>
    <w:rsid w:val="00E57635"/>
    <w:rsid w:val="00E614AA"/>
    <w:rsid w:val="00E72C35"/>
    <w:rsid w:val="00ED04E8"/>
    <w:rsid w:val="00F35F45"/>
    <w:rsid w:val="00FA20E1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ACB2"/>
  <w15:chartTrackingRefBased/>
  <w15:docId w15:val="{29F3A95E-C833-46F2-9F8F-DE08B196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EA1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E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Specialioji žyma"/>
    <w:basedOn w:val="Normal"/>
    <w:link w:val="HeaderChar"/>
    <w:uiPriority w:val="99"/>
    <w:unhideWhenUsed/>
    <w:rsid w:val="00BE6EA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BE6EA1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6EA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E6EA1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6EA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EA1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BE6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28FC-345F-4540-937F-9077AB69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41</cp:revision>
  <dcterms:created xsi:type="dcterms:W3CDTF">2025-11-27T06:47:00Z</dcterms:created>
  <dcterms:modified xsi:type="dcterms:W3CDTF">2025-12-03T15:10:00Z</dcterms:modified>
</cp:coreProperties>
</file>