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B36B" w14:textId="77777777" w:rsidR="00FB09FA" w:rsidRPr="00B829C4" w:rsidRDefault="00A83ED9" w:rsidP="00FB09FA">
      <w:pPr>
        <w:spacing w:line="240" w:lineRule="auto"/>
        <w:rPr>
          <w:rFonts w:ascii="Calibri" w:hAnsi="Calibri" w:cs="Calibri"/>
          <w:sz w:val="24"/>
          <w:szCs w:val="24"/>
        </w:rPr>
      </w:pPr>
      <w:bookmarkStart w:id="0" w:name="_Hlk512592556"/>
      <w:r>
        <w:rPr>
          <w:rFonts w:ascii="Calibri" w:hAnsi="Calibri" w:cs="Calibri"/>
          <w:sz w:val="24"/>
          <w:szCs w:val="24"/>
        </w:rPr>
        <w:object w:dxaOrig="1440" w:dyaOrig="1440" w14:anchorId="30C15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Word.Picture.8" ShapeID="_x0000_s1026" DrawAspect="Content" ObjectID="_1823143845" r:id="rId7"/>
        </w:object>
      </w:r>
    </w:p>
    <w:p w14:paraId="7FA9C345" w14:textId="77777777" w:rsidR="00FB09FA" w:rsidRPr="00B829C4" w:rsidRDefault="00FB09FA" w:rsidP="00FB09FA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EB51F22" w14:textId="77777777" w:rsidR="00FB09FA" w:rsidRPr="00B829C4" w:rsidRDefault="00FB09FA" w:rsidP="00FB09FA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757838EF" w14:textId="77777777" w:rsidR="00FB09FA" w:rsidRPr="00B829C4" w:rsidRDefault="00FB09FA" w:rsidP="00FB09FA">
      <w:pPr>
        <w:keepNext/>
        <w:spacing w:after="0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B829C4">
        <w:rPr>
          <w:rFonts w:ascii="Calibri" w:eastAsia="Times New Roman" w:hAnsi="Calibri" w:cs="Calibri"/>
          <w:b/>
          <w:bCs/>
          <w:sz w:val="24"/>
          <w:szCs w:val="24"/>
        </w:rPr>
        <w:t>VIEŠŲJŲ PIRKIMŲ TARNYBA</w:t>
      </w:r>
    </w:p>
    <w:p w14:paraId="202D2402" w14:textId="77777777" w:rsidR="00FB09FA" w:rsidRPr="00B829C4" w:rsidRDefault="00FB09FA" w:rsidP="00FB09FA">
      <w:pPr>
        <w:keepNext/>
        <w:spacing w:after="0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ECB2BE0" w14:textId="77777777" w:rsidR="00FB09FA" w:rsidRPr="00B829C4" w:rsidRDefault="00FB09FA" w:rsidP="00FB09FA">
      <w:pPr>
        <w:keepNext/>
        <w:spacing w:after="0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</w:p>
    <w:tbl>
      <w:tblPr>
        <w:tblW w:w="9788" w:type="dxa"/>
        <w:jc w:val="center"/>
        <w:tblLayout w:type="fixed"/>
        <w:tblLook w:val="0000" w:firstRow="0" w:lastRow="0" w:firstColumn="0" w:lastColumn="0" w:noHBand="0" w:noVBand="0"/>
      </w:tblPr>
      <w:tblGrid>
        <w:gridCol w:w="5819"/>
        <w:gridCol w:w="1559"/>
        <w:gridCol w:w="540"/>
        <w:gridCol w:w="1870"/>
      </w:tblGrid>
      <w:tr w:rsidR="00FB09FA" w:rsidRPr="00B829C4" w14:paraId="1DF791E3" w14:textId="77777777" w:rsidTr="00383C15">
        <w:trPr>
          <w:cantSplit/>
          <w:tblHeader/>
          <w:jc w:val="center"/>
        </w:trPr>
        <w:tc>
          <w:tcPr>
            <w:tcW w:w="5819" w:type="dxa"/>
          </w:tcPr>
          <w:p w14:paraId="1397EA2E" w14:textId="77777777" w:rsidR="00094594" w:rsidRPr="001954AD" w:rsidRDefault="00094594" w:rsidP="00094594">
            <w:pPr>
              <w:tabs>
                <w:tab w:val="left" w:pos="567"/>
              </w:tabs>
              <w:spacing w:after="0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Akmenės rajono savivaldybės administracijai</w:t>
            </w:r>
          </w:p>
          <w:p w14:paraId="51023426" w14:textId="7B37C489" w:rsidR="00094594" w:rsidRPr="00E6510C" w:rsidRDefault="00094594" w:rsidP="00094594">
            <w:pPr>
              <w:tabs>
                <w:tab w:val="left" w:pos="567"/>
              </w:tabs>
              <w:spacing w:after="0" w:line="36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E6510C">
              <w:rPr>
                <w:rFonts w:ascii="Calibri" w:eastAsia="Times New Roman" w:hAnsi="Calibri" w:cs="Calibri"/>
                <w:sz w:val="24"/>
                <w:szCs w:val="24"/>
              </w:rPr>
              <w:t xml:space="preserve">El. p. </w:t>
            </w:r>
            <w:r w:rsidRPr="00094594">
              <w:rPr>
                <w:rFonts w:ascii="Calibri" w:eastAsia="Times New Roman" w:hAnsi="Calibri" w:cs="Calibri"/>
                <w:sz w:val="24"/>
                <w:szCs w:val="24"/>
              </w:rPr>
              <w:t>info@akmene.lt</w:t>
            </w:r>
            <w:r w:rsidRPr="00E6510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2102006F" w14:textId="6E1AC22B" w:rsidR="00FB09FA" w:rsidRPr="00B829C4" w:rsidRDefault="00FB09FA" w:rsidP="00383C1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D76588" w14:textId="77777777" w:rsidR="00FB09FA" w:rsidRPr="00B829C4" w:rsidRDefault="00FB09FA" w:rsidP="00383C15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 xml:space="preserve">  2025-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</w:p>
          <w:p w14:paraId="365F0FFD" w14:textId="2E68D2E4" w:rsidR="00FB09FA" w:rsidRPr="00B829C4" w:rsidRDefault="00FB09FA" w:rsidP="00383C15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Į 2025-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  <w:r w:rsidR="000D4DE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14:paraId="77F520DE" w14:textId="77777777" w:rsidR="00FB09FA" w:rsidRPr="00B829C4" w:rsidRDefault="00FB09FA" w:rsidP="00383C15">
            <w:pPr>
              <w:tabs>
                <w:tab w:val="left" w:pos="900"/>
              </w:tabs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Nr.Nr</w:t>
            </w:r>
            <w:proofErr w:type="spellEnd"/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14:paraId="11FADB30" w14:textId="77777777" w:rsidR="00FB09FA" w:rsidRPr="00B829C4" w:rsidRDefault="00FB09FA" w:rsidP="00383C15">
            <w:pPr>
              <w:tabs>
                <w:tab w:val="right" w:pos="1764"/>
              </w:tabs>
              <w:spacing w:after="0"/>
              <w:ind w:right="176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4S-</w:t>
            </w:r>
          </w:p>
          <w:p w14:paraId="5FB781B3" w14:textId="391EF8C6" w:rsidR="00FB09FA" w:rsidRPr="00B829C4" w:rsidRDefault="00FB09FA" w:rsidP="00383C15">
            <w:pPr>
              <w:spacing w:after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829C4">
              <w:rPr>
                <w:rFonts w:ascii="Calibri" w:eastAsia="Times New Roman" w:hAnsi="Calibri" w:cs="Calibri"/>
                <w:sz w:val="24"/>
                <w:szCs w:val="24"/>
              </w:rPr>
              <w:t>S-</w:t>
            </w:r>
            <w:r w:rsidR="00ED3A61">
              <w:rPr>
                <w:rFonts w:ascii="Calibri" w:eastAsia="Times New Roman" w:hAnsi="Calibri" w:cs="Calibri"/>
                <w:sz w:val="24"/>
                <w:szCs w:val="24"/>
              </w:rPr>
              <w:t>2152</w:t>
            </w:r>
          </w:p>
        </w:tc>
      </w:tr>
    </w:tbl>
    <w:p w14:paraId="3DA46D7C" w14:textId="77777777" w:rsidR="00FB09FA" w:rsidRPr="00B829C4" w:rsidRDefault="00FB09FA" w:rsidP="00FB09FA">
      <w:pPr>
        <w:tabs>
          <w:tab w:val="left" w:pos="1134"/>
        </w:tabs>
        <w:spacing w:after="0" w:line="240" w:lineRule="auto"/>
        <w:ind w:left="-284"/>
        <w:rPr>
          <w:rFonts w:ascii="Calibri" w:eastAsia="Times New Roman" w:hAnsi="Calibri" w:cs="Calibri"/>
          <w:b/>
          <w:bCs/>
          <w:caps/>
          <w:sz w:val="24"/>
          <w:szCs w:val="24"/>
        </w:rPr>
      </w:pPr>
    </w:p>
    <w:p w14:paraId="6808F47A" w14:textId="77777777" w:rsidR="00FB09FA" w:rsidRPr="00B829C4" w:rsidRDefault="00FB09FA" w:rsidP="00FB09FA">
      <w:pPr>
        <w:tabs>
          <w:tab w:val="left" w:pos="1134"/>
        </w:tabs>
        <w:spacing w:after="0" w:line="240" w:lineRule="auto"/>
        <w:ind w:left="-284"/>
        <w:rPr>
          <w:rFonts w:ascii="Calibri" w:eastAsia="Times New Roman" w:hAnsi="Calibri" w:cs="Calibri"/>
          <w:b/>
          <w:bCs/>
          <w:caps/>
          <w:sz w:val="24"/>
          <w:szCs w:val="24"/>
        </w:rPr>
      </w:pPr>
    </w:p>
    <w:p w14:paraId="3A97E2A2" w14:textId="77777777" w:rsidR="00FB09FA" w:rsidRPr="00B829C4" w:rsidRDefault="00FB09FA" w:rsidP="00FB09FA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B829C4">
        <w:rPr>
          <w:rFonts w:ascii="Calibri" w:eastAsia="Times New Roman" w:hAnsi="Calibri" w:cs="Calibri"/>
          <w:b/>
          <w:bCs/>
          <w:caps/>
          <w:sz w:val="24"/>
          <w:szCs w:val="24"/>
        </w:rPr>
        <w:t>SPRENDIMAS dėl sutikimo VYKDYTI PIRKIMĄ NESKELBIAMŲ DERYBŲ BŪDU</w:t>
      </w:r>
    </w:p>
    <w:p w14:paraId="6FDE336C" w14:textId="77777777" w:rsidR="00FB09FA" w:rsidRPr="00B829C4" w:rsidRDefault="00FB09FA" w:rsidP="00FB09FA">
      <w:pPr>
        <w:tabs>
          <w:tab w:val="left" w:pos="1276"/>
        </w:tabs>
        <w:spacing w:after="0" w:line="240" w:lineRule="auto"/>
        <w:ind w:right="141" w:firstLine="567"/>
        <w:rPr>
          <w:rFonts w:ascii="Calibri" w:eastAsia="Times New Roman" w:hAnsi="Calibri" w:cs="Calibri"/>
          <w:sz w:val="24"/>
          <w:szCs w:val="24"/>
        </w:rPr>
      </w:pPr>
    </w:p>
    <w:p w14:paraId="168EF10B" w14:textId="78556426" w:rsidR="007A7FE3" w:rsidRPr="007A7FE3" w:rsidRDefault="007A7FE3" w:rsidP="007A7FE3">
      <w:pPr>
        <w:tabs>
          <w:tab w:val="left" w:pos="6240"/>
        </w:tabs>
        <w:spacing w:after="0" w:line="278" w:lineRule="auto"/>
        <w:ind w:firstLine="851"/>
        <w:rPr>
          <w:rFonts w:ascii="Calibri" w:hAnsi="Calibri" w:cs="Calibri"/>
          <w:sz w:val="24"/>
          <w:szCs w:val="24"/>
        </w:rPr>
      </w:pPr>
      <w:r w:rsidRPr="007A7FE3">
        <w:rPr>
          <w:rFonts w:ascii="Calibri" w:hAnsi="Calibri" w:cs="Calibri"/>
          <w:sz w:val="24"/>
          <w:szCs w:val="24"/>
        </w:rPr>
        <w:t>Viešųjų pirkimų tarnyba (toliau – Tarnyba), vadovaudamasi Lietuvos Respublikos viešųjų pirkimų įstatymo (toliau – Įstatymas) 95 straipsnio 2 dalies 7 punktu ir Perkančiųjų organizacijų prašymų dėl Viešųjų pirkimų tarnybos sutikimų pateikimo ir nagrinėjimo taisyklėmis</w:t>
      </w:r>
      <w:r w:rsidRPr="007A7FE3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Pr="007A7FE3">
        <w:rPr>
          <w:rFonts w:ascii="Calibri" w:hAnsi="Calibri" w:cs="Calibri"/>
          <w:sz w:val="24"/>
          <w:szCs w:val="24"/>
        </w:rPr>
        <w:t xml:space="preserve"> (toliau – Taisyklės), išnagrinėjo Akmenės rajono savivaldybės administracijos (toliau – Perkančioji organizacija) prašymą sutikti </w:t>
      </w:r>
      <w:r w:rsidR="007C02CB">
        <w:rPr>
          <w:rFonts w:ascii="Calibri" w:hAnsi="Calibri" w:cs="Calibri"/>
          <w:sz w:val="24"/>
          <w:szCs w:val="24"/>
        </w:rPr>
        <w:t>centralizuot</w:t>
      </w:r>
      <w:r w:rsidR="00A25627">
        <w:rPr>
          <w:rFonts w:ascii="Calibri" w:hAnsi="Calibri" w:cs="Calibri"/>
          <w:sz w:val="24"/>
          <w:szCs w:val="24"/>
        </w:rPr>
        <w:t>os</w:t>
      </w:r>
      <w:r w:rsidR="007C02CB">
        <w:rPr>
          <w:rFonts w:ascii="Calibri" w:hAnsi="Calibri" w:cs="Calibri"/>
          <w:sz w:val="24"/>
          <w:szCs w:val="24"/>
        </w:rPr>
        <w:t xml:space="preserve"> </w:t>
      </w:r>
      <w:r w:rsidRPr="007A7FE3">
        <w:rPr>
          <w:rFonts w:ascii="Calibri" w:hAnsi="Calibri" w:cs="Calibri"/>
          <w:sz w:val="24"/>
          <w:szCs w:val="24"/>
        </w:rPr>
        <w:t>šilum</w:t>
      </w:r>
      <w:r w:rsidR="00A25627">
        <w:rPr>
          <w:rFonts w:ascii="Calibri" w:hAnsi="Calibri" w:cs="Calibri"/>
          <w:sz w:val="24"/>
          <w:szCs w:val="24"/>
        </w:rPr>
        <w:t>inės</w:t>
      </w:r>
      <w:r w:rsidRPr="007A7FE3">
        <w:rPr>
          <w:rFonts w:ascii="Calibri" w:hAnsi="Calibri" w:cs="Calibri"/>
          <w:sz w:val="24"/>
          <w:szCs w:val="24"/>
        </w:rPr>
        <w:t xml:space="preserve"> energijos pirkimą (toliau – Pirkimas) vykdyti neskelbiamų derybų būdu, vadovaujantis Įstatymo 71 straipsnio 1 dalies 2 punkto b papunkčiu</w:t>
      </w:r>
      <w:r w:rsidR="008C4E9E">
        <w:rPr>
          <w:rFonts w:ascii="Calibri" w:hAnsi="Calibri" w:cs="Calibri"/>
          <w:sz w:val="24"/>
          <w:szCs w:val="24"/>
        </w:rPr>
        <w:t xml:space="preserve"> (toliau – Prašymas)</w:t>
      </w:r>
      <w:r w:rsidRPr="007A7FE3">
        <w:rPr>
          <w:rFonts w:ascii="Calibri" w:hAnsi="Calibri" w:cs="Calibri"/>
          <w:sz w:val="24"/>
          <w:szCs w:val="24"/>
        </w:rPr>
        <w:t>.</w:t>
      </w:r>
    </w:p>
    <w:p w14:paraId="5638BC0D" w14:textId="723359A0" w:rsidR="00FC4820" w:rsidRDefault="007A7FE3" w:rsidP="007A7FE3">
      <w:pPr>
        <w:tabs>
          <w:tab w:val="left" w:pos="6240"/>
        </w:tabs>
        <w:spacing w:after="0" w:line="278" w:lineRule="auto"/>
        <w:ind w:firstLine="851"/>
        <w:rPr>
          <w:rFonts w:ascii="Calibri" w:hAnsi="Calibri" w:cs="Calibri"/>
          <w:sz w:val="24"/>
          <w:szCs w:val="24"/>
        </w:rPr>
      </w:pPr>
      <w:r w:rsidRPr="007A7FE3">
        <w:rPr>
          <w:rFonts w:ascii="Calibri" w:hAnsi="Calibri" w:cs="Calibri"/>
          <w:sz w:val="24"/>
          <w:szCs w:val="24"/>
        </w:rPr>
        <w:t xml:space="preserve">Perkančioji organizacija </w:t>
      </w:r>
      <w:r w:rsidR="003F63F5">
        <w:rPr>
          <w:rFonts w:ascii="Calibri" w:hAnsi="Calibri" w:cs="Calibri"/>
          <w:sz w:val="24"/>
          <w:szCs w:val="24"/>
        </w:rPr>
        <w:t xml:space="preserve">Prašyme </w:t>
      </w:r>
      <w:r w:rsidRPr="007A7FE3">
        <w:rPr>
          <w:rFonts w:ascii="Calibri" w:hAnsi="Calibri" w:cs="Calibri"/>
          <w:sz w:val="24"/>
          <w:szCs w:val="24"/>
        </w:rPr>
        <w:t xml:space="preserve">nurodė, kad šio Pirkimo objektas – </w:t>
      </w:r>
      <w:r w:rsidR="005D47D1">
        <w:rPr>
          <w:rFonts w:ascii="Calibri" w:hAnsi="Calibri" w:cs="Calibri"/>
          <w:sz w:val="24"/>
          <w:szCs w:val="24"/>
        </w:rPr>
        <w:t>centralizuot</w:t>
      </w:r>
      <w:r w:rsidR="00AB1016">
        <w:rPr>
          <w:rFonts w:ascii="Calibri" w:hAnsi="Calibri" w:cs="Calibri"/>
          <w:sz w:val="24"/>
          <w:szCs w:val="24"/>
        </w:rPr>
        <w:t>a</w:t>
      </w:r>
      <w:r w:rsidR="005D47D1">
        <w:rPr>
          <w:rFonts w:ascii="Calibri" w:hAnsi="Calibri" w:cs="Calibri"/>
          <w:sz w:val="24"/>
          <w:szCs w:val="24"/>
        </w:rPr>
        <w:t xml:space="preserve"> </w:t>
      </w:r>
      <w:r w:rsidRPr="007A7FE3">
        <w:rPr>
          <w:rFonts w:ascii="Calibri" w:hAnsi="Calibri" w:cs="Calibri"/>
          <w:sz w:val="24"/>
          <w:szCs w:val="24"/>
        </w:rPr>
        <w:t>šilum</w:t>
      </w:r>
      <w:r w:rsidR="005D47D1">
        <w:rPr>
          <w:rFonts w:ascii="Calibri" w:hAnsi="Calibri" w:cs="Calibri"/>
          <w:sz w:val="24"/>
          <w:szCs w:val="24"/>
        </w:rPr>
        <w:t>inė</w:t>
      </w:r>
      <w:r w:rsidRPr="007A7FE3">
        <w:rPr>
          <w:rFonts w:ascii="Calibri" w:hAnsi="Calibri" w:cs="Calibri"/>
          <w:sz w:val="24"/>
          <w:szCs w:val="24"/>
        </w:rPr>
        <w:t xml:space="preserve"> energij</w:t>
      </w:r>
      <w:r w:rsidR="00AB1016">
        <w:rPr>
          <w:rFonts w:ascii="Calibri" w:hAnsi="Calibri" w:cs="Calibri"/>
          <w:sz w:val="24"/>
          <w:szCs w:val="24"/>
        </w:rPr>
        <w:t>a</w:t>
      </w:r>
      <w:r w:rsidRPr="007A7FE3">
        <w:rPr>
          <w:rFonts w:ascii="Calibri" w:hAnsi="Calibri" w:cs="Calibri"/>
          <w:sz w:val="24"/>
          <w:szCs w:val="24"/>
        </w:rPr>
        <w:t xml:space="preserve">, perkama Akmenės rajono </w:t>
      </w:r>
      <w:r w:rsidR="00B16CA6">
        <w:rPr>
          <w:rFonts w:ascii="Calibri" w:hAnsi="Calibri" w:cs="Calibri"/>
          <w:sz w:val="24"/>
          <w:szCs w:val="24"/>
        </w:rPr>
        <w:t>savivaldybės administracijai</w:t>
      </w:r>
      <w:r w:rsidRPr="007A7FE3">
        <w:rPr>
          <w:rFonts w:ascii="Calibri" w:hAnsi="Calibri" w:cs="Calibri"/>
          <w:sz w:val="24"/>
          <w:szCs w:val="24"/>
        </w:rPr>
        <w:t xml:space="preserve">. Taip pat nurodė, jog Pirkimo objektą gali tiekti vienintelis tiekėjas – UAB </w:t>
      </w:r>
      <w:r w:rsidR="002464F0">
        <w:rPr>
          <w:rFonts w:ascii="Calibri" w:hAnsi="Calibri" w:cs="Calibri"/>
          <w:sz w:val="24"/>
          <w:szCs w:val="24"/>
        </w:rPr>
        <w:t>„</w:t>
      </w:r>
      <w:proofErr w:type="spellStart"/>
      <w:r w:rsidRPr="007A7FE3">
        <w:rPr>
          <w:rFonts w:ascii="Calibri" w:hAnsi="Calibri" w:cs="Calibri"/>
          <w:sz w:val="24"/>
          <w:szCs w:val="24"/>
        </w:rPr>
        <w:t>Gren</w:t>
      </w:r>
      <w:proofErr w:type="spellEnd"/>
      <w:r w:rsidRPr="007A7FE3">
        <w:rPr>
          <w:rFonts w:ascii="Calibri" w:hAnsi="Calibri" w:cs="Calibri"/>
          <w:sz w:val="24"/>
          <w:szCs w:val="24"/>
        </w:rPr>
        <w:t xml:space="preserve"> Akmenė</w:t>
      </w:r>
      <w:r w:rsidR="002464F0">
        <w:rPr>
          <w:rFonts w:ascii="Calibri" w:hAnsi="Calibri" w:cs="Calibri"/>
          <w:sz w:val="24"/>
          <w:szCs w:val="24"/>
        </w:rPr>
        <w:t>“</w:t>
      </w:r>
      <w:r w:rsidRPr="007A7FE3">
        <w:rPr>
          <w:rFonts w:ascii="Calibri" w:hAnsi="Calibri" w:cs="Calibri"/>
          <w:sz w:val="24"/>
          <w:szCs w:val="24"/>
        </w:rPr>
        <w:t xml:space="preserve">, </w:t>
      </w:r>
      <w:r w:rsidR="002D3C83" w:rsidRPr="002D3C83">
        <w:rPr>
          <w:rFonts w:ascii="Calibri" w:hAnsi="Calibri" w:cs="Calibri"/>
          <w:sz w:val="24"/>
          <w:szCs w:val="24"/>
        </w:rPr>
        <w:t>kuris yra vienintelis subjektas Akmenės rajone, turintis šilumos tiekimo licenciją</w:t>
      </w:r>
      <w:r w:rsidR="00FC4820">
        <w:rPr>
          <w:rFonts w:ascii="Calibri" w:hAnsi="Calibri" w:cs="Calibri"/>
          <w:sz w:val="24"/>
          <w:szCs w:val="24"/>
        </w:rPr>
        <w:t>.</w:t>
      </w:r>
    </w:p>
    <w:p w14:paraId="1DF87E87" w14:textId="4050E15E" w:rsidR="007A7FE3" w:rsidRPr="007A7FE3" w:rsidRDefault="007A7FE3" w:rsidP="007A7FE3">
      <w:pPr>
        <w:tabs>
          <w:tab w:val="left" w:pos="6240"/>
        </w:tabs>
        <w:spacing w:after="0" w:line="278" w:lineRule="auto"/>
        <w:ind w:firstLine="851"/>
        <w:rPr>
          <w:rFonts w:ascii="Calibri" w:hAnsi="Calibri" w:cs="Calibri"/>
          <w:sz w:val="24"/>
          <w:szCs w:val="24"/>
        </w:rPr>
      </w:pPr>
      <w:r w:rsidRPr="007A7FE3">
        <w:rPr>
          <w:rFonts w:ascii="Calibri" w:hAnsi="Calibri" w:cs="Calibri"/>
          <w:sz w:val="24"/>
          <w:szCs w:val="24"/>
        </w:rPr>
        <w:t>Atsižvelgdama į išdėstytą, bei įvertinusi tai, kad šiuo atveju tiekėjų konkurencija negalima dėl egzistuojančių techninių priežasčių, Pirkimo komisija priėmė sprendimą</w:t>
      </w:r>
      <w:r w:rsidRPr="007A7FE3">
        <w:rPr>
          <w:rFonts w:ascii="Calibri" w:hAnsi="Calibri" w:cs="Calibri"/>
          <w:sz w:val="24"/>
          <w:szCs w:val="24"/>
          <w:vertAlign w:val="superscript"/>
        </w:rPr>
        <w:footnoteReference w:id="2"/>
      </w:r>
      <w:r w:rsidRPr="007A7FE3">
        <w:rPr>
          <w:rFonts w:ascii="Calibri" w:hAnsi="Calibri" w:cs="Calibri"/>
          <w:sz w:val="24"/>
          <w:szCs w:val="24"/>
        </w:rPr>
        <w:t xml:space="preserve"> Pirkimą vykdyti neskelbiamų derybų būdu, kreipiantis į konkretų tiekėją UAB </w:t>
      </w:r>
      <w:r w:rsidR="0057671D">
        <w:rPr>
          <w:rFonts w:ascii="Calibri" w:hAnsi="Calibri" w:cs="Calibri"/>
          <w:sz w:val="24"/>
          <w:szCs w:val="24"/>
        </w:rPr>
        <w:t>„</w:t>
      </w:r>
      <w:proofErr w:type="spellStart"/>
      <w:r w:rsidRPr="007A7FE3">
        <w:rPr>
          <w:rFonts w:ascii="Calibri" w:hAnsi="Calibri" w:cs="Calibri"/>
          <w:sz w:val="24"/>
          <w:szCs w:val="24"/>
        </w:rPr>
        <w:t>Gren</w:t>
      </w:r>
      <w:proofErr w:type="spellEnd"/>
      <w:r w:rsidRPr="007A7FE3">
        <w:rPr>
          <w:rFonts w:ascii="Calibri" w:hAnsi="Calibri" w:cs="Calibri"/>
          <w:sz w:val="24"/>
          <w:szCs w:val="24"/>
        </w:rPr>
        <w:t xml:space="preserve"> Akmenė</w:t>
      </w:r>
      <w:r w:rsidR="0057671D">
        <w:rPr>
          <w:rFonts w:ascii="Calibri" w:hAnsi="Calibri" w:cs="Calibri"/>
          <w:sz w:val="24"/>
          <w:szCs w:val="24"/>
        </w:rPr>
        <w:t>“</w:t>
      </w:r>
      <w:r w:rsidRPr="007A7FE3">
        <w:rPr>
          <w:rFonts w:ascii="Calibri" w:hAnsi="Calibri" w:cs="Calibri"/>
          <w:sz w:val="24"/>
          <w:szCs w:val="24"/>
        </w:rPr>
        <w:t>.</w:t>
      </w:r>
    </w:p>
    <w:p w14:paraId="611AC441" w14:textId="258F211F" w:rsidR="007A7FE3" w:rsidRPr="007A7FE3" w:rsidRDefault="007A7FE3" w:rsidP="007A7FE3">
      <w:pPr>
        <w:tabs>
          <w:tab w:val="left" w:pos="6240"/>
        </w:tabs>
        <w:spacing w:after="0" w:line="278" w:lineRule="auto"/>
        <w:ind w:firstLine="851"/>
        <w:rPr>
          <w:rFonts w:ascii="Calibri" w:hAnsi="Calibri" w:cs="Calibri"/>
          <w:sz w:val="24"/>
          <w:szCs w:val="24"/>
        </w:rPr>
      </w:pPr>
      <w:r w:rsidRPr="007A7FE3">
        <w:rPr>
          <w:rFonts w:ascii="Calibri" w:hAnsi="Calibri" w:cs="Calibri"/>
          <w:sz w:val="24"/>
          <w:szCs w:val="24"/>
        </w:rPr>
        <w:t xml:space="preserve">Planuojama Pirkimo vertė – </w:t>
      </w:r>
      <w:r w:rsidR="00B80996">
        <w:rPr>
          <w:rFonts w:ascii="Calibri" w:hAnsi="Calibri" w:cs="Calibri"/>
          <w:sz w:val="24"/>
          <w:szCs w:val="24"/>
        </w:rPr>
        <w:t>185</w:t>
      </w:r>
      <w:r w:rsidRPr="007A7FE3">
        <w:rPr>
          <w:rFonts w:ascii="Calibri" w:hAnsi="Calibri" w:cs="Calibri"/>
          <w:sz w:val="24"/>
          <w:szCs w:val="24"/>
        </w:rPr>
        <w:t xml:space="preserve"> </w:t>
      </w:r>
      <w:r w:rsidR="00B80996">
        <w:rPr>
          <w:rFonts w:ascii="Calibri" w:hAnsi="Calibri" w:cs="Calibri"/>
          <w:sz w:val="24"/>
          <w:szCs w:val="24"/>
        </w:rPr>
        <w:t>950</w:t>
      </w:r>
      <w:r w:rsidRPr="007A7FE3">
        <w:rPr>
          <w:rFonts w:ascii="Calibri" w:hAnsi="Calibri" w:cs="Calibri"/>
          <w:sz w:val="24"/>
          <w:szCs w:val="24"/>
        </w:rPr>
        <w:t>,</w:t>
      </w:r>
      <w:r w:rsidR="00FD5468">
        <w:rPr>
          <w:rFonts w:ascii="Calibri" w:hAnsi="Calibri" w:cs="Calibri"/>
          <w:sz w:val="24"/>
          <w:szCs w:val="24"/>
        </w:rPr>
        <w:t>41</w:t>
      </w:r>
      <w:r w:rsidRPr="007A7FE3">
        <w:rPr>
          <w:rFonts w:ascii="Calibri" w:hAnsi="Calibri" w:cs="Calibri"/>
          <w:sz w:val="24"/>
          <w:szCs w:val="24"/>
        </w:rPr>
        <w:t xml:space="preserve"> Eur be PVM. Pirkimo sutarties galiojimo terminas – 60 mėn.</w:t>
      </w:r>
    </w:p>
    <w:p w14:paraId="5AE7C8D4" w14:textId="77777777" w:rsidR="007A7FE3" w:rsidRPr="007A7FE3" w:rsidRDefault="007A7FE3" w:rsidP="007A7FE3">
      <w:pPr>
        <w:tabs>
          <w:tab w:val="left" w:pos="6240"/>
        </w:tabs>
        <w:spacing w:after="0" w:line="278" w:lineRule="auto"/>
        <w:ind w:firstLine="851"/>
        <w:rPr>
          <w:rFonts w:ascii="Calibri" w:hAnsi="Calibri" w:cs="Calibri"/>
          <w:sz w:val="24"/>
          <w:szCs w:val="24"/>
        </w:rPr>
      </w:pPr>
      <w:r w:rsidRPr="007A7FE3">
        <w:rPr>
          <w:rFonts w:ascii="Calibri" w:hAnsi="Calibri" w:cs="Calibri"/>
          <w:sz w:val="24"/>
          <w:szCs w:val="24"/>
        </w:rPr>
        <w:t>Įstatymo 71 straipsnio 1 dalies 2 punkte įtvirtinta, kad prekės, paslaugos ar darbai neskelbiamų derybų būdu gali būti perkami, jeigu prekes patiekti, paslaugas teikti ar darbus atlikti gali tik konkretus tiekėjas dėl vienos iš šių priežasčių: &lt;...&gt; b) konkurencijos nėra dėl techninių priežasčių &lt;...&gt;.“</w:t>
      </w:r>
    </w:p>
    <w:p w14:paraId="77195ADB" w14:textId="77777777" w:rsidR="006A462F" w:rsidRDefault="007A7FE3" w:rsidP="007A7FE3">
      <w:pPr>
        <w:tabs>
          <w:tab w:val="left" w:pos="6240"/>
        </w:tabs>
        <w:spacing w:after="0" w:line="278" w:lineRule="auto"/>
        <w:ind w:firstLine="851"/>
        <w:rPr>
          <w:rFonts w:ascii="Calibri" w:hAnsi="Calibri" w:cs="Calibri"/>
          <w:sz w:val="24"/>
          <w:szCs w:val="24"/>
        </w:rPr>
      </w:pPr>
      <w:r w:rsidRPr="007A7FE3">
        <w:rPr>
          <w:rFonts w:ascii="Calibri" w:hAnsi="Calibri" w:cs="Calibri"/>
          <w:sz w:val="24"/>
          <w:szCs w:val="24"/>
        </w:rPr>
        <w:t xml:space="preserve">Tarnyba, įvertinusi Perkančiosios organizacijos </w:t>
      </w:r>
      <w:r w:rsidR="0057671D">
        <w:rPr>
          <w:rFonts w:ascii="Calibri" w:hAnsi="Calibri" w:cs="Calibri"/>
          <w:sz w:val="24"/>
          <w:szCs w:val="24"/>
        </w:rPr>
        <w:t>P</w:t>
      </w:r>
      <w:r w:rsidRPr="007A7FE3">
        <w:rPr>
          <w:rFonts w:ascii="Calibri" w:hAnsi="Calibri" w:cs="Calibri"/>
          <w:sz w:val="24"/>
          <w:szCs w:val="24"/>
        </w:rPr>
        <w:t xml:space="preserve">rašyme nurodytas aplinkybes ir pateiktus dokumentus bei </w:t>
      </w:r>
      <w:hyperlink r:id="rId8" w:history="1">
        <w:r w:rsidRPr="007A7FE3">
          <w:rPr>
            <w:rStyle w:val="Hyperlink"/>
            <w:rFonts w:ascii="Calibri" w:hAnsi="Calibri" w:cs="Calibri"/>
            <w:sz w:val="24"/>
            <w:szCs w:val="24"/>
          </w:rPr>
          <w:t>Valstybinės energetikos reguliavimo tarnybos tinklalapyje viešai skelbiamą informaciją apie licencijų turėtojus</w:t>
        </w:r>
      </w:hyperlink>
      <w:r w:rsidRPr="007A7FE3">
        <w:rPr>
          <w:rFonts w:ascii="Calibri" w:hAnsi="Calibri" w:cs="Calibri"/>
          <w:sz w:val="24"/>
          <w:szCs w:val="24"/>
          <w:vertAlign w:val="superscript"/>
        </w:rPr>
        <w:footnoteReference w:id="3"/>
      </w:r>
      <w:r w:rsidRPr="007A7FE3">
        <w:rPr>
          <w:rFonts w:ascii="Calibri" w:hAnsi="Calibri" w:cs="Calibri"/>
          <w:sz w:val="24"/>
          <w:szCs w:val="24"/>
        </w:rPr>
        <w:t xml:space="preserve">, nustatė, kad Pirkimu siekiamą įsigyti šilumos energiją </w:t>
      </w:r>
      <w:r w:rsidRPr="007A7FE3">
        <w:rPr>
          <w:rFonts w:ascii="Calibri" w:hAnsi="Calibri" w:cs="Calibri"/>
          <w:sz w:val="24"/>
          <w:szCs w:val="24"/>
        </w:rPr>
        <w:lastRenderedPageBreak/>
        <w:t xml:space="preserve">Akmenės rajono </w:t>
      </w:r>
      <w:r w:rsidR="004F3C54">
        <w:rPr>
          <w:rFonts w:ascii="Calibri" w:hAnsi="Calibri" w:cs="Calibri"/>
          <w:sz w:val="24"/>
          <w:szCs w:val="24"/>
        </w:rPr>
        <w:t>savivaldybės administracijai</w:t>
      </w:r>
      <w:r w:rsidR="00D37948">
        <w:rPr>
          <w:rFonts w:ascii="Calibri" w:hAnsi="Calibri" w:cs="Calibri"/>
          <w:sz w:val="24"/>
          <w:szCs w:val="24"/>
        </w:rPr>
        <w:t xml:space="preserve">, </w:t>
      </w:r>
      <w:r w:rsidR="00207F54">
        <w:rPr>
          <w:rFonts w:ascii="Calibri" w:hAnsi="Calibri" w:cs="Calibri"/>
          <w:sz w:val="24"/>
          <w:szCs w:val="24"/>
        </w:rPr>
        <w:t xml:space="preserve">esančiai </w:t>
      </w:r>
      <w:r w:rsidR="00D37948">
        <w:rPr>
          <w:rFonts w:ascii="Calibri" w:hAnsi="Calibri" w:cs="Calibri"/>
          <w:sz w:val="24"/>
          <w:szCs w:val="24"/>
        </w:rPr>
        <w:t>adres</w:t>
      </w:r>
      <w:r w:rsidR="00207F54">
        <w:rPr>
          <w:rFonts w:ascii="Calibri" w:hAnsi="Calibri" w:cs="Calibri"/>
          <w:sz w:val="24"/>
          <w:szCs w:val="24"/>
        </w:rPr>
        <w:t>u</w:t>
      </w:r>
      <w:r w:rsidR="006A39C4" w:rsidRPr="006A39C4">
        <w:rPr>
          <w:rFonts w:ascii="Calibri" w:hAnsi="Calibri" w:cs="Calibri"/>
          <w:sz w:val="24"/>
          <w:szCs w:val="24"/>
        </w:rPr>
        <w:t xml:space="preserve"> L. Petravičiaus a. 2, Naujoji Akmenė</w:t>
      </w:r>
      <w:r w:rsidR="006C2D45">
        <w:rPr>
          <w:rFonts w:ascii="Calibri" w:hAnsi="Calibri" w:cs="Calibri"/>
          <w:sz w:val="24"/>
          <w:szCs w:val="24"/>
        </w:rPr>
        <w:t>,</w:t>
      </w:r>
      <w:r w:rsidRPr="007A7FE3">
        <w:rPr>
          <w:rFonts w:ascii="Calibri" w:hAnsi="Calibri" w:cs="Calibri"/>
          <w:sz w:val="24"/>
          <w:szCs w:val="24"/>
        </w:rPr>
        <w:t xml:space="preserve"> gali tiekti tik konkretus tiekėjas –UAB </w:t>
      </w:r>
      <w:r w:rsidR="006A462F">
        <w:rPr>
          <w:rFonts w:ascii="Calibri" w:hAnsi="Calibri" w:cs="Calibri"/>
          <w:sz w:val="24"/>
          <w:szCs w:val="24"/>
        </w:rPr>
        <w:t>„</w:t>
      </w:r>
      <w:proofErr w:type="spellStart"/>
      <w:r w:rsidRPr="007A7FE3">
        <w:rPr>
          <w:rFonts w:ascii="Calibri" w:hAnsi="Calibri" w:cs="Calibri"/>
          <w:sz w:val="24"/>
          <w:szCs w:val="24"/>
        </w:rPr>
        <w:t>Gren</w:t>
      </w:r>
      <w:proofErr w:type="spellEnd"/>
      <w:r w:rsidRPr="007A7FE3">
        <w:rPr>
          <w:rFonts w:ascii="Calibri" w:hAnsi="Calibri" w:cs="Calibri"/>
          <w:sz w:val="24"/>
          <w:szCs w:val="24"/>
        </w:rPr>
        <w:t xml:space="preserve"> Akmenė</w:t>
      </w:r>
      <w:r w:rsidR="006A462F">
        <w:rPr>
          <w:rFonts w:ascii="Calibri" w:hAnsi="Calibri" w:cs="Calibri"/>
          <w:sz w:val="24"/>
          <w:szCs w:val="24"/>
        </w:rPr>
        <w:t>“</w:t>
      </w:r>
      <w:r w:rsidRPr="007A7FE3">
        <w:rPr>
          <w:rFonts w:ascii="Calibri" w:hAnsi="Calibri" w:cs="Calibri"/>
          <w:sz w:val="24"/>
          <w:szCs w:val="24"/>
        </w:rPr>
        <w:t xml:space="preserve">, t. y., šiuo atveju, Perkančiosios organizacijos priimtas sprendimas ir pasirinktas Pirkimo būdas atitinka neskelbiamų derybų vykdymo sąlygas. </w:t>
      </w:r>
    </w:p>
    <w:p w14:paraId="09105758" w14:textId="094D309E" w:rsidR="007A7FE3" w:rsidRPr="007A7FE3" w:rsidRDefault="007A7FE3" w:rsidP="007A7FE3">
      <w:pPr>
        <w:tabs>
          <w:tab w:val="left" w:pos="6240"/>
        </w:tabs>
        <w:spacing w:after="0" w:line="278" w:lineRule="auto"/>
        <w:ind w:firstLine="851"/>
        <w:rPr>
          <w:rFonts w:ascii="Calibri" w:hAnsi="Calibri" w:cs="Calibri"/>
          <w:sz w:val="24"/>
          <w:szCs w:val="24"/>
        </w:rPr>
      </w:pPr>
      <w:r w:rsidRPr="007A7FE3">
        <w:rPr>
          <w:rFonts w:ascii="Calibri" w:hAnsi="Calibri" w:cs="Calibri"/>
          <w:sz w:val="24"/>
          <w:szCs w:val="24"/>
        </w:rPr>
        <w:t xml:space="preserve">Atsižvelgdama į pirmiau nurodytas aplinkybes, bei vadovaudamasi Įstatymo 95 straipsnio 2 dalies 7 punktu ir Taisyklėmis, </w:t>
      </w:r>
      <w:r w:rsidRPr="007A7FE3">
        <w:rPr>
          <w:rFonts w:ascii="Calibri" w:hAnsi="Calibri" w:cs="Calibri"/>
          <w:b/>
          <w:bCs/>
          <w:sz w:val="24"/>
          <w:szCs w:val="24"/>
        </w:rPr>
        <w:t>Tarnyba sutinka</w:t>
      </w:r>
      <w:r w:rsidRPr="007A7FE3">
        <w:rPr>
          <w:rFonts w:ascii="Calibri" w:hAnsi="Calibri" w:cs="Calibri"/>
          <w:sz w:val="24"/>
          <w:szCs w:val="24"/>
        </w:rPr>
        <w:t xml:space="preserve">, kad Akmenės rajono savivaldybės administracija Pirkimą vykdytų neskelbiamų derybų būdu, vadovaujantis Įstatymo 71 straipsnio 1 dalies 2 punkto b papunkčiu, į derybas kviečiant konkretų tiekėją – UAB </w:t>
      </w:r>
      <w:r w:rsidR="002E6860">
        <w:rPr>
          <w:rFonts w:ascii="Calibri" w:hAnsi="Calibri" w:cs="Calibri"/>
          <w:sz w:val="24"/>
          <w:szCs w:val="24"/>
        </w:rPr>
        <w:t>„</w:t>
      </w:r>
      <w:proofErr w:type="spellStart"/>
      <w:r w:rsidRPr="007A7FE3">
        <w:rPr>
          <w:rFonts w:ascii="Calibri" w:hAnsi="Calibri" w:cs="Calibri"/>
          <w:sz w:val="24"/>
          <w:szCs w:val="24"/>
        </w:rPr>
        <w:t>Gren</w:t>
      </w:r>
      <w:proofErr w:type="spellEnd"/>
      <w:r w:rsidRPr="007A7FE3">
        <w:rPr>
          <w:rFonts w:ascii="Calibri" w:hAnsi="Calibri" w:cs="Calibri"/>
          <w:sz w:val="24"/>
          <w:szCs w:val="24"/>
        </w:rPr>
        <w:t xml:space="preserve"> Akmenė</w:t>
      </w:r>
      <w:r w:rsidR="002E6860">
        <w:rPr>
          <w:rFonts w:ascii="Calibri" w:hAnsi="Calibri" w:cs="Calibri"/>
          <w:sz w:val="24"/>
          <w:szCs w:val="24"/>
        </w:rPr>
        <w:t>“</w:t>
      </w:r>
      <w:r w:rsidRPr="007A7FE3">
        <w:rPr>
          <w:rFonts w:ascii="Calibri" w:hAnsi="Calibri" w:cs="Calibri"/>
          <w:sz w:val="24"/>
          <w:szCs w:val="24"/>
        </w:rPr>
        <w:t>.</w:t>
      </w:r>
    </w:p>
    <w:p w14:paraId="4E7F8CA3" w14:textId="77777777" w:rsidR="00FB09FA" w:rsidRPr="00B829C4" w:rsidRDefault="00FB09FA" w:rsidP="00FB09FA">
      <w:pPr>
        <w:tabs>
          <w:tab w:val="left" w:pos="6240"/>
        </w:tabs>
        <w:spacing w:after="0" w:line="278" w:lineRule="auto"/>
        <w:ind w:firstLine="851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B829C4">
        <w:rPr>
          <w:rFonts w:ascii="Calibri" w:eastAsia="Times New Roman" w:hAnsi="Calibri" w:cs="Calibri"/>
          <w:sz w:val="24"/>
          <w:szCs w:val="24"/>
          <w:lang w:eastAsia="lt-LT"/>
        </w:rPr>
        <w:t xml:space="preserve">Perkančioji organizacija, nesutinkanti su šiuo sprendimu, gali jį apskųsti per 1 (vieną) mėnesį nuo jo gavimo dienos. Vadovaujantis Lietuvos Respublikos administracinių bylų teisenos įstatymu ir Lietuvos Respublikos ikiteisminio administracinių ginčų nagrinėjimo tvarkos įstatymu, skundai paduodami Lietuvos administracinių ginčų komisijai (A. Goštauto g.12-100, 01108 Vilnius) ar </w:t>
      </w:r>
      <w:r w:rsidRPr="00B829C4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Regionų administraciniam teismui (Žygimantų g. 2, 01102 Vilnius).</w:t>
      </w:r>
    </w:p>
    <w:p w14:paraId="0E431EA3" w14:textId="77777777" w:rsidR="00FB09FA" w:rsidRPr="00B829C4" w:rsidRDefault="00FB09FA" w:rsidP="00FB09FA">
      <w:pPr>
        <w:tabs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</w:p>
    <w:p w14:paraId="3FFB0963" w14:textId="77777777" w:rsidR="00FB09FA" w:rsidRPr="00B829C4" w:rsidRDefault="00FB09FA" w:rsidP="00FB09FA">
      <w:pPr>
        <w:tabs>
          <w:tab w:val="left" w:pos="1134"/>
        </w:tabs>
        <w:spacing w:after="0"/>
        <w:ind w:firstLine="567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B09FA" w:rsidRPr="00B829C4" w14:paraId="79ECEC5B" w14:textId="77777777" w:rsidTr="00383C15">
        <w:tc>
          <w:tcPr>
            <w:tcW w:w="4814" w:type="dxa"/>
          </w:tcPr>
          <w:p w14:paraId="6E5C0B78" w14:textId="77777777" w:rsidR="00FB09FA" w:rsidRDefault="00FB09FA" w:rsidP="00383C15">
            <w:pPr>
              <w:tabs>
                <w:tab w:val="left" w:pos="1134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829C4">
              <w:rPr>
                <w:rFonts w:ascii="Calibri" w:hAnsi="Calibri" w:cs="Calibri"/>
                <w:sz w:val="24"/>
                <w:szCs w:val="24"/>
              </w:rPr>
              <w:t>Direktori</w:t>
            </w:r>
            <w:r w:rsidR="00612808">
              <w:rPr>
                <w:rFonts w:ascii="Calibri" w:hAnsi="Calibri" w:cs="Calibri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z w:val="24"/>
                <w:szCs w:val="24"/>
              </w:rPr>
              <w:t>us</w:t>
            </w:r>
            <w:r w:rsidR="00612808">
              <w:rPr>
                <w:rFonts w:ascii="Calibri" w:hAnsi="Calibri" w:cs="Calibri"/>
                <w:sz w:val="24"/>
                <w:szCs w:val="24"/>
              </w:rPr>
              <w:t xml:space="preserve"> pavaduotoja,</w:t>
            </w:r>
          </w:p>
          <w:p w14:paraId="1CA40152" w14:textId="1582CFD9" w:rsidR="00612808" w:rsidRPr="00B829C4" w:rsidRDefault="00612808" w:rsidP="00383C15">
            <w:pPr>
              <w:tabs>
                <w:tab w:val="left" w:pos="1134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laikinai atliekanti direktoriaus funkcijas</w:t>
            </w:r>
          </w:p>
        </w:tc>
        <w:tc>
          <w:tcPr>
            <w:tcW w:w="4815" w:type="dxa"/>
          </w:tcPr>
          <w:p w14:paraId="5AD35EE9" w14:textId="3D746277" w:rsidR="00FB09FA" w:rsidRPr="00B829C4" w:rsidRDefault="00612808" w:rsidP="00383C15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Viktorija Namavičienė</w:t>
            </w:r>
          </w:p>
        </w:tc>
      </w:tr>
    </w:tbl>
    <w:p w14:paraId="1134457D" w14:textId="77777777" w:rsidR="00FB09FA" w:rsidRPr="00B829C4" w:rsidRDefault="00FB09FA" w:rsidP="00FB09FA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bookmarkEnd w:id="0"/>
    <w:p w14:paraId="1D5A8B94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5A964F6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E93140C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B74F2AB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08E4996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DA9D390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7260D82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9E11808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B63C2A7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D2F28AF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53874E6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1E985A7" w14:textId="77777777" w:rsidR="00FB09FA" w:rsidRPr="00B829C4" w:rsidRDefault="00FB09FA" w:rsidP="00FB09FA">
      <w:pPr>
        <w:tabs>
          <w:tab w:val="left" w:pos="90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6B9394D" w14:textId="77777777" w:rsidR="00FB09FA" w:rsidRDefault="00FB09FA" w:rsidP="00FB09FA">
      <w:pPr>
        <w:rPr>
          <w:rFonts w:ascii="Calibri" w:hAnsi="Calibri" w:cs="Calibri"/>
          <w:color w:val="000000"/>
          <w:lang w:eastAsia="lt-LT"/>
        </w:rPr>
      </w:pPr>
    </w:p>
    <w:p w14:paraId="7AD80C72" w14:textId="77777777" w:rsidR="00FB09FA" w:rsidRDefault="00FB09FA" w:rsidP="00FB09FA">
      <w:pPr>
        <w:rPr>
          <w:rFonts w:ascii="Calibri" w:hAnsi="Calibri" w:cs="Calibri"/>
          <w:color w:val="000000"/>
          <w:lang w:eastAsia="lt-LT"/>
        </w:rPr>
      </w:pPr>
    </w:p>
    <w:p w14:paraId="4D626A93" w14:textId="77777777" w:rsidR="00FB09FA" w:rsidRDefault="00FB09FA" w:rsidP="00FB09FA">
      <w:pPr>
        <w:rPr>
          <w:rFonts w:ascii="Calibri" w:hAnsi="Calibri" w:cs="Calibri"/>
          <w:color w:val="000000"/>
          <w:lang w:eastAsia="lt-LT"/>
        </w:rPr>
      </w:pPr>
    </w:p>
    <w:p w14:paraId="539F584D" w14:textId="77777777" w:rsidR="00FB09FA" w:rsidRDefault="00FB09FA" w:rsidP="00FB09FA">
      <w:pPr>
        <w:rPr>
          <w:rFonts w:ascii="Calibri" w:hAnsi="Calibri" w:cs="Calibri"/>
          <w:color w:val="000000"/>
          <w:lang w:eastAsia="lt-LT"/>
        </w:rPr>
      </w:pPr>
    </w:p>
    <w:p w14:paraId="230B6614" w14:textId="77777777" w:rsidR="00FB09FA" w:rsidRDefault="00FB09FA" w:rsidP="00FB09FA">
      <w:pPr>
        <w:rPr>
          <w:rFonts w:ascii="Calibri" w:hAnsi="Calibri" w:cs="Calibri"/>
          <w:color w:val="000000"/>
          <w:lang w:eastAsia="lt-LT"/>
        </w:rPr>
      </w:pPr>
    </w:p>
    <w:p w14:paraId="0757DA85" w14:textId="77777777" w:rsidR="00FB09FA" w:rsidRDefault="00FB09FA" w:rsidP="00FB09FA">
      <w:pPr>
        <w:rPr>
          <w:rFonts w:ascii="Calibri" w:hAnsi="Calibri" w:cs="Calibri"/>
          <w:color w:val="000000"/>
          <w:lang w:eastAsia="lt-LT"/>
        </w:rPr>
      </w:pPr>
    </w:p>
    <w:p w14:paraId="6CB1522E" w14:textId="77777777" w:rsidR="003F7C05" w:rsidRDefault="003F7C05" w:rsidP="00FB09FA">
      <w:pPr>
        <w:rPr>
          <w:rFonts w:ascii="Calibri" w:hAnsi="Calibri" w:cs="Calibri"/>
          <w:color w:val="000000"/>
          <w:lang w:eastAsia="lt-LT"/>
        </w:rPr>
      </w:pPr>
    </w:p>
    <w:p w14:paraId="50FA1BBA" w14:textId="77777777" w:rsidR="003F7C05" w:rsidRDefault="003F7C05" w:rsidP="00FB09FA">
      <w:pPr>
        <w:rPr>
          <w:rFonts w:ascii="Calibri" w:hAnsi="Calibri" w:cs="Calibri"/>
          <w:color w:val="000000"/>
          <w:lang w:eastAsia="lt-LT"/>
        </w:rPr>
      </w:pPr>
    </w:p>
    <w:p w14:paraId="376B9C52" w14:textId="77777777" w:rsidR="00FB4091" w:rsidRDefault="00FB4091"/>
    <w:sectPr w:rsidR="00FB4091" w:rsidSect="00FB09FA">
      <w:headerReference w:type="even" r:id="rId9"/>
      <w:headerReference w:type="default" r:id="rId10"/>
      <w:footerReference w:type="first" r:id="rId11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96A7" w14:textId="77777777" w:rsidR="00FB09FA" w:rsidRDefault="00FB09FA" w:rsidP="00FB09FA">
      <w:pPr>
        <w:spacing w:after="0" w:line="240" w:lineRule="auto"/>
      </w:pPr>
      <w:r>
        <w:separator/>
      </w:r>
    </w:p>
  </w:endnote>
  <w:endnote w:type="continuationSeparator" w:id="0">
    <w:p w14:paraId="55BF8E42" w14:textId="77777777" w:rsidR="00FB09FA" w:rsidRDefault="00FB09FA" w:rsidP="00FB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7C8C" w14:textId="77777777" w:rsidR="00FB09FA" w:rsidRPr="009B62FC" w:rsidRDefault="00FB09FA" w:rsidP="008E5AFD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sz w:val="20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>Biudžetinė įstaiga                                 Tel.  +370 603 89015                           Duomenys kaupiami ir saugomi </w:t>
    </w:r>
  </w:p>
  <w:p w14:paraId="07D4D709" w14:textId="77777777" w:rsidR="00FB09FA" w:rsidRPr="009B62FC" w:rsidRDefault="00FB09FA" w:rsidP="008E5AFD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sz w:val="20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 xml:space="preserve">Kareivių g. 1, LT-08221 Vilnius            </w:t>
    </w:r>
    <w:proofErr w:type="spellStart"/>
    <w:r w:rsidRPr="009B62FC">
      <w:rPr>
        <w:rFonts w:ascii="Calibri" w:eastAsia="Times New Roman" w:hAnsi="Calibri" w:cs="Calibri"/>
        <w:sz w:val="20"/>
        <w:szCs w:val="20"/>
      </w:rPr>
      <w:t>El.p</w:t>
    </w:r>
    <w:proofErr w:type="spellEnd"/>
    <w:r w:rsidRPr="009B62FC">
      <w:rPr>
        <w:rFonts w:ascii="Calibri" w:eastAsia="Times New Roman" w:hAnsi="Calibri" w:cs="Calibri"/>
        <w:sz w:val="20"/>
        <w:szCs w:val="20"/>
      </w:rPr>
      <w:t xml:space="preserve">. </w:t>
    </w:r>
    <w:proofErr w:type="spellStart"/>
    <w:r w:rsidRPr="009B62FC">
      <w:rPr>
        <w:rFonts w:ascii="Calibri" w:eastAsia="Times New Roman" w:hAnsi="Calibri" w:cs="Calibri"/>
        <w:sz w:val="20"/>
        <w:szCs w:val="20"/>
      </w:rPr>
      <w:t>info@vpt.lt</w:t>
    </w:r>
    <w:proofErr w:type="spellEnd"/>
    <w:r w:rsidRPr="009B62FC">
      <w:rPr>
        <w:rFonts w:ascii="Calibri" w:eastAsia="Times New Roman" w:hAnsi="Calibri" w:cs="Calibri"/>
        <w:sz w:val="20"/>
        <w:szCs w:val="20"/>
      </w:rPr>
      <w:t xml:space="preserve">                                  Juridinių asmenų registre </w:t>
    </w:r>
  </w:p>
  <w:p w14:paraId="0B4A3563" w14:textId="77777777" w:rsidR="00FB09FA" w:rsidRPr="009B62FC" w:rsidRDefault="00FB09FA" w:rsidP="008E5AFD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9B62FC">
      <w:rPr>
        <w:rFonts w:ascii="Calibri" w:eastAsia="Times New Roman" w:hAnsi="Calibri" w:cs="Calibri"/>
        <w:sz w:val="20"/>
        <w:szCs w:val="20"/>
      </w:rPr>
      <w:t>http://www.vpt.lt                                                                                                 Kodas 188656261</w:t>
    </w:r>
  </w:p>
  <w:p w14:paraId="38EEC486" w14:textId="77777777" w:rsidR="00FB09FA" w:rsidRPr="00380BA0" w:rsidRDefault="00FB09FA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E585" w14:textId="77777777" w:rsidR="00FB09FA" w:rsidRDefault="00FB09FA" w:rsidP="00FB09FA">
      <w:pPr>
        <w:spacing w:after="0" w:line="240" w:lineRule="auto"/>
      </w:pPr>
      <w:r>
        <w:separator/>
      </w:r>
    </w:p>
  </w:footnote>
  <w:footnote w:type="continuationSeparator" w:id="0">
    <w:p w14:paraId="06D4DB8F" w14:textId="77777777" w:rsidR="00FB09FA" w:rsidRDefault="00FB09FA" w:rsidP="00FB09FA">
      <w:pPr>
        <w:spacing w:after="0" w:line="240" w:lineRule="auto"/>
      </w:pPr>
      <w:r>
        <w:continuationSeparator/>
      </w:r>
    </w:p>
  </w:footnote>
  <w:footnote w:id="1">
    <w:p w14:paraId="52F374C7" w14:textId="77777777" w:rsidR="007A7FE3" w:rsidRPr="007A089C" w:rsidRDefault="007A7FE3" w:rsidP="007A7FE3">
      <w:pPr>
        <w:pStyle w:val="FootnoteText"/>
        <w:rPr>
          <w:rFonts w:ascii="Calibri" w:hAnsi="Calibri" w:cs="Calibri"/>
        </w:rPr>
      </w:pPr>
      <w:r>
        <w:rPr>
          <w:rStyle w:val="FootnoteReference"/>
        </w:rPr>
        <w:footnoteRef/>
      </w:r>
      <w:r>
        <w:t xml:space="preserve"> </w:t>
      </w:r>
      <w:r w:rsidRPr="007A089C">
        <w:rPr>
          <w:rFonts w:ascii="Calibri" w:hAnsi="Calibri" w:cs="Calibri"/>
        </w:rPr>
        <w:t>Patvirtintos Tarnybos direktoriaus 2017 m. birželio 29 d. įsakymu Nr. 1S-99.</w:t>
      </w:r>
    </w:p>
  </w:footnote>
  <w:footnote w:id="2">
    <w:p w14:paraId="3AEFA27D" w14:textId="62783CA8" w:rsidR="007A7FE3" w:rsidRPr="007A089C" w:rsidRDefault="007A7FE3" w:rsidP="007A7FE3">
      <w:pPr>
        <w:pStyle w:val="FootnoteText"/>
        <w:rPr>
          <w:rFonts w:ascii="Calibri" w:hAnsi="Calibri" w:cs="Calibri"/>
        </w:rPr>
      </w:pPr>
      <w:r w:rsidRPr="007A089C">
        <w:rPr>
          <w:rStyle w:val="FootnoteReference"/>
          <w:rFonts w:ascii="Calibri" w:hAnsi="Calibri" w:cs="Calibri"/>
        </w:rPr>
        <w:footnoteRef/>
      </w:r>
      <w:r w:rsidRPr="007A089C">
        <w:rPr>
          <w:rFonts w:ascii="Calibri" w:hAnsi="Calibri" w:cs="Calibri"/>
        </w:rPr>
        <w:t xml:space="preserve"> </w:t>
      </w:r>
      <w:r w:rsidRPr="007A089C">
        <w:rPr>
          <w:rFonts w:ascii="Calibri" w:hAnsi="Calibri" w:cs="Calibri"/>
        </w:rPr>
        <w:t xml:space="preserve">Pirkimo komisijos 2025 m. </w:t>
      </w:r>
      <w:r w:rsidR="00D83441" w:rsidRPr="007A089C">
        <w:rPr>
          <w:rFonts w:ascii="Calibri" w:hAnsi="Calibri" w:cs="Calibri"/>
        </w:rPr>
        <w:t>spalio</w:t>
      </w:r>
      <w:r w:rsidRPr="007A089C">
        <w:rPr>
          <w:rFonts w:ascii="Calibri" w:hAnsi="Calibri" w:cs="Calibri"/>
        </w:rPr>
        <w:t xml:space="preserve"> 7 d. posėdžio protokolas Nr. CPOVPP-</w:t>
      </w:r>
      <w:r w:rsidR="00D83441" w:rsidRPr="007A089C">
        <w:rPr>
          <w:rFonts w:ascii="Calibri" w:hAnsi="Calibri" w:cs="Calibri"/>
        </w:rPr>
        <w:t>570</w:t>
      </w:r>
      <w:r w:rsidRPr="007A089C">
        <w:rPr>
          <w:rFonts w:ascii="Calibri" w:hAnsi="Calibri" w:cs="Calibri"/>
        </w:rPr>
        <w:t>.</w:t>
      </w:r>
    </w:p>
  </w:footnote>
  <w:footnote w:id="3">
    <w:p w14:paraId="3131E12B" w14:textId="32DCBFDC" w:rsidR="007A7FE3" w:rsidRPr="007A089C" w:rsidRDefault="007A7FE3" w:rsidP="004F3C54">
      <w:pPr>
        <w:pStyle w:val="FootnoteText"/>
        <w:rPr>
          <w:rFonts w:ascii="Calibri" w:hAnsi="Calibri" w:cs="Calibri"/>
        </w:rPr>
      </w:pPr>
      <w:r w:rsidRPr="007A089C">
        <w:rPr>
          <w:rStyle w:val="FootnoteReference"/>
          <w:rFonts w:ascii="Calibri" w:hAnsi="Calibri" w:cs="Calibri"/>
        </w:rPr>
        <w:footnoteRef/>
      </w:r>
      <w:r w:rsidRPr="007A089C">
        <w:rPr>
          <w:rFonts w:ascii="Calibri" w:hAnsi="Calibri" w:cs="Calibri"/>
        </w:rPr>
        <w:t xml:space="preserve"> </w:t>
      </w:r>
      <w:r w:rsidRPr="007A089C">
        <w:rPr>
          <w:rFonts w:ascii="Calibri" w:hAnsi="Calibri" w:cs="Calibri"/>
        </w:rPr>
        <w:t xml:space="preserve">UAB </w:t>
      </w:r>
      <w:proofErr w:type="spellStart"/>
      <w:r w:rsidRPr="007A089C">
        <w:rPr>
          <w:rFonts w:ascii="Calibri" w:hAnsi="Calibri" w:cs="Calibri"/>
        </w:rPr>
        <w:t>Gren</w:t>
      </w:r>
      <w:proofErr w:type="spellEnd"/>
      <w:r w:rsidRPr="007A089C">
        <w:rPr>
          <w:rFonts w:ascii="Calibri" w:hAnsi="Calibri" w:cs="Calibri"/>
        </w:rPr>
        <w:t xml:space="preserve"> Akmenė licencija Nr. L4-ŠT-13, kurios priede yra nurodyta, kad: „Licencijos turėtojas vykdo šilumos tiekimo veiklą </w:t>
      </w:r>
      <w:r w:rsidR="004F3C54" w:rsidRPr="007A089C">
        <w:rPr>
          <w:rFonts w:ascii="Calibri" w:hAnsi="Calibri" w:cs="Calibri"/>
        </w:rPr>
        <w:t>Akmenės rajono savivaldybėje – Akmenės, Naujosios Akmenės ir Ventos miestų, Papilės ir Kruopių miestelių, išskyrus kitas Akmenės rajono savivaldybės ar Valstybinės energetikos reguliavimo tarybos išduotose licencijose apibrėžtas teritorijas.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2DF4" w14:textId="77777777" w:rsidR="00FB09FA" w:rsidRDefault="00FB09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46B7CA" w14:textId="77777777" w:rsidR="00FB09FA" w:rsidRDefault="00FB0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5081" w14:textId="77777777" w:rsidR="00FB09FA" w:rsidRPr="00B829C4" w:rsidRDefault="00FB09FA">
    <w:pPr>
      <w:pStyle w:val="Header"/>
      <w:framePr w:wrap="around" w:vAnchor="text" w:hAnchor="margin" w:xAlign="center" w:y="1"/>
      <w:rPr>
        <w:rStyle w:val="PageNumber"/>
        <w:rFonts w:ascii="Calibri" w:hAnsi="Calibri" w:cs="Calibri"/>
        <w:sz w:val="24"/>
        <w:szCs w:val="24"/>
      </w:rPr>
    </w:pPr>
    <w:r w:rsidRPr="00B829C4">
      <w:rPr>
        <w:rStyle w:val="PageNumber"/>
        <w:rFonts w:ascii="Calibri" w:hAnsi="Calibri" w:cs="Calibri"/>
        <w:sz w:val="24"/>
        <w:szCs w:val="24"/>
      </w:rPr>
      <w:fldChar w:fldCharType="begin"/>
    </w:r>
    <w:r w:rsidRPr="00B829C4">
      <w:rPr>
        <w:rStyle w:val="PageNumber"/>
        <w:rFonts w:ascii="Calibri" w:hAnsi="Calibri" w:cs="Calibri"/>
        <w:sz w:val="24"/>
        <w:szCs w:val="24"/>
      </w:rPr>
      <w:instrText xml:space="preserve">PAGE  </w:instrText>
    </w:r>
    <w:r w:rsidRPr="00B829C4">
      <w:rPr>
        <w:rStyle w:val="PageNumber"/>
        <w:rFonts w:ascii="Calibri" w:hAnsi="Calibri" w:cs="Calibri"/>
        <w:sz w:val="24"/>
        <w:szCs w:val="24"/>
      </w:rPr>
      <w:fldChar w:fldCharType="separate"/>
    </w:r>
    <w:r w:rsidRPr="00B829C4">
      <w:rPr>
        <w:rStyle w:val="PageNumber"/>
        <w:rFonts w:ascii="Calibri" w:hAnsi="Calibri" w:cs="Calibri"/>
        <w:noProof/>
        <w:sz w:val="24"/>
        <w:szCs w:val="24"/>
      </w:rPr>
      <w:t>3</w:t>
    </w:r>
    <w:r w:rsidRPr="00B829C4">
      <w:rPr>
        <w:rStyle w:val="PageNumber"/>
        <w:rFonts w:ascii="Calibri" w:hAnsi="Calibri" w:cs="Calibri"/>
        <w:sz w:val="24"/>
        <w:szCs w:val="24"/>
      </w:rPr>
      <w:fldChar w:fldCharType="end"/>
    </w:r>
  </w:p>
  <w:p w14:paraId="7427455E" w14:textId="77777777" w:rsidR="00FB09FA" w:rsidRPr="00B829C4" w:rsidRDefault="00FB09FA">
    <w:pPr>
      <w:pStyle w:val="Head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FA"/>
    <w:rsid w:val="00094594"/>
    <w:rsid w:val="000D4DEB"/>
    <w:rsid w:val="00207F54"/>
    <w:rsid w:val="002223B1"/>
    <w:rsid w:val="002464F0"/>
    <w:rsid w:val="002D3C83"/>
    <w:rsid w:val="002E6860"/>
    <w:rsid w:val="003F63F5"/>
    <w:rsid w:val="003F7C05"/>
    <w:rsid w:val="004F3C54"/>
    <w:rsid w:val="0057671D"/>
    <w:rsid w:val="005D47D1"/>
    <w:rsid w:val="00612808"/>
    <w:rsid w:val="006A39C4"/>
    <w:rsid w:val="006A462F"/>
    <w:rsid w:val="006C2D45"/>
    <w:rsid w:val="007A089C"/>
    <w:rsid w:val="007A7FE3"/>
    <w:rsid w:val="007C02CB"/>
    <w:rsid w:val="007D78D1"/>
    <w:rsid w:val="008C4E9E"/>
    <w:rsid w:val="00A25627"/>
    <w:rsid w:val="00A83ED9"/>
    <w:rsid w:val="00AB1016"/>
    <w:rsid w:val="00AC76B4"/>
    <w:rsid w:val="00B16CA6"/>
    <w:rsid w:val="00B80996"/>
    <w:rsid w:val="00C138CC"/>
    <w:rsid w:val="00D03828"/>
    <w:rsid w:val="00D37948"/>
    <w:rsid w:val="00D40FC6"/>
    <w:rsid w:val="00D83441"/>
    <w:rsid w:val="00ED3A61"/>
    <w:rsid w:val="00FA7630"/>
    <w:rsid w:val="00FB09FA"/>
    <w:rsid w:val="00FB4091"/>
    <w:rsid w:val="00FC4820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47762B"/>
  <w15:chartTrackingRefBased/>
  <w15:docId w15:val="{7DF10E0D-A238-4F9E-937D-D8836FA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FA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9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9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9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9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9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9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9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9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9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9F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9F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0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9FA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0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9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9FA"/>
    <w:rPr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0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9FA"/>
    <w:rPr>
      <w:kern w:val="0"/>
      <w:sz w:val="22"/>
      <w:szCs w:val="22"/>
      <w:lang w:val="lt-LT"/>
      <w14:ligatures w14:val="none"/>
    </w:rPr>
  </w:style>
  <w:style w:type="character" w:styleId="PageNumber">
    <w:name w:val="page number"/>
    <w:basedOn w:val="DefaultParagraphFont"/>
    <w:rsid w:val="00FB09FA"/>
  </w:style>
  <w:style w:type="paragraph" w:styleId="FootnoteText">
    <w:name w:val="footnote text"/>
    <w:basedOn w:val="Normal"/>
    <w:link w:val="FootnoteTextChar"/>
    <w:uiPriority w:val="99"/>
    <w:unhideWhenUsed/>
    <w:rsid w:val="00FB09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9FA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FB09FA"/>
    <w:rPr>
      <w:vertAlign w:val="superscript"/>
    </w:rPr>
  </w:style>
  <w:style w:type="character" w:styleId="Hyperlink">
    <w:name w:val="Hyperlink"/>
    <w:uiPriority w:val="99"/>
    <w:unhideWhenUsed/>
    <w:rsid w:val="00FB09FA"/>
    <w:rPr>
      <w:strike w:val="0"/>
      <w:dstrike w:val="0"/>
      <w:color w:val="6E717F"/>
      <w:u w:val="none"/>
      <w:effect w:val="none"/>
      <w:shd w:val="clear" w:color="auto" w:fill="auto"/>
    </w:rPr>
  </w:style>
  <w:style w:type="table" w:styleId="TableGrid">
    <w:name w:val="Table Grid"/>
    <w:basedOn w:val="TableNormal"/>
    <w:uiPriority w:val="39"/>
    <w:rsid w:val="00FB09FA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7F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4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.lt/siluma/Puslapiai/licencijavimas/licenciju-turetojai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Korkutė</dc:creator>
  <cp:lastModifiedBy>Eglė Korkutė</cp:lastModifiedBy>
  <cp:revision>2</cp:revision>
  <dcterms:created xsi:type="dcterms:W3CDTF">2025-10-28T06:04:00Z</dcterms:created>
  <dcterms:modified xsi:type="dcterms:W3CDTF">2025-10-28T06:04:00Z</dcterms:modified>
</cp:coreProperties>
</file>