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1A6EEE" w:rsidRDefault="007D62DC" w:rsidP="004E68BC">
      <w:pPr>
        <w:spacing w:line="240" w:lineRule="auto"/>
        <w:jc w:val="center"/>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33.4pt;margin-top:2.4pt;width:43.5pt;height:48pt;z-index:251658240" fillcolor="window">
            <v:imagedata r:id="rId8" o:title=""/>
            <w10:wrap type="square" side="left"/>
          </v:shape>
          <o:OLEObject Type="Embed" ProgID="Word.Picture.8" ShapeID="_x0000_s1027" DrawAspect="Content" ObjectID="_1799044708" r:id="rId9"/>
        </w:object>
      </w:r>
    </w:p>
    <w:p w14:paraId="0972FA3C" w14:textId="77777777" w:rsidR="00E83E81" w:rsidRPr="001A6EEE" w:rsidRDefault="00E83E81" w:rsidP="004E68BC">
      <w:pPr>
        <w:spacing w:line="240" w:lineRule="auto"/>
        <w:jc w:val="center"/>
        <w:rPr>
          <w:rFonts w:cstheme="minorHAnsi"/>
          <w:sz w:val="24"/>
          <w:szCs w:val="24"/>
        </w:rPr>
      </w:pPr>
    </w:p>
    <w:p w14:paraId="1AF679FC" w14:textId="77777777" w:rsidR="00E83E81" w:rsidRPr="001A6EEE" w:rsidRDefault="00E83E81" w:rsidP="004E68BC">
      <w:pPr>
        <w:spacing w:after="0"/>
        <w:jc w:val="center"/>
        <w:rPr>
          <w:rFonts w:eastAsia="Times New Roman" w:cstheme="minorHAnsi"/>
          <w:sz w:val="24"/>
          <w:szCs w:val="24"/>
        </w:rPr>
      </w:pPr>
    </w:p>
    <w:p w14:paraId="7CB27622" w14:textId="77777777" w:rsidR="00E83E81" w:rsidRPr="001A6EEE" w:rsidRDefault="00E83E81" w:rsidP="004E68BC">
      <w:pPr>
        <w:keepNext/>
        <w:spacing w:after="0"/>
        <w:jc w:val="center"/>
        <w:outlineLvl w:val="0"/>
        <w:rPr>
          <w:rFonts w:eastAsia="Times New Roman" w:cstheme="minorHAnsi"/>
          <w:b/>
          <w:bCs/>
          <w:sz w:val="24"/>
          <w:szCs w:val="24"/>
        </w:rPr>
      </w:pPr>
      <w:r w:rsidRPr="001A6EEE">
        <w:rPr>
          <w:rFonts w:eastAsia="Times New Roman" w:cstheme="minorHAnsi"/>
          <w:b/>
          <w:bCs/>
          <w:sz w:val="24"/>
          <w:szCs w:val="24"/>
        </w:rPr>
        <w:t>VIEŠŲJŲ PIRKIMŲ TARNYBA</w:t>
      </w:r>
    </w:p>
    <w:p w14:paraId="384132F6" w14:textId="7AFB9D20" w:rsidR="00E83E81" w:rsidRPr="001A6EEE" w:rsidRDefault="00E83E81" w:rsidP="004E68BC">
      <w:pPr>
        <w:keepNext/>
        <w:spacing w:after="0"/>
        <w:outlineLvl w:val="0"/>
        <w:rPr>
          <w:rFonts w:eastAsia="Times New Roman" w:cstheme="minorHAnsi"/>
          <w:b/>
          <w:bCs/>
          <w:sz w:val="24"/>
          <w:szCs w:val="24"/>
        </w:rPr>
      </w:pPr>
    </w:p>
    <w:p w14:paraId="21C7DAE6" w14:textId="251DFA7F" w:rsidR="004E68BC" w:rsidRPr="001A6EEE" w:rsidRDefault="004E68BC" w:rsidP="00E83E81">
      <w:pPr>
        <w:keepNext/>
        <w:spacing w:after="0"/>
        <w:jc w:val="center"/>
        <w:outlineLvl w:val="0"/>
        <w:rPr>
          <w:rFonts w:eastAsia="Times New Roman" w:cstheme="minorHAnsi"/>
          <w:b/>
          <w:bCs/>
          <w:sz w:val="24"/>
          <w:szCs w:val="24"/>
        </w:rPr>
      </w:pPr>
    </w:p>
    <w:p w14:paraId="0A1FA96A" w14:textId="77777777" w:rsidR="001F5723" w:rsidRPr="001A6EEE" w:rsidRDefault="001F5723" w:rsidP="00E83E81">
      <w:pPr>
        <w:keepNext/>
        <w:spacing w:after="0"/>
        <w:jc w:val="center"/>
        <w:outlineLvl w:val="0"/>
        <w:rPr>
          <w:rFonts w:eastAsia="Times New Roman" w:cstheme="minorHAnsi"/>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1A6EEE" w14:paraId="3BA34482" w14:textId="77777777" w:rsidTr="00201FBE">
        <w:trPr>
          <w:cantSplit/>
          <w:trHeight w:val="1215"/>
          <w:tblHeader/>
          <w:jc w:val="center"/>
        </w:trPr>
        <w:tc>
          <w:tcPr>
            <w:tcW w:w="5421" w:type="dxa"/>
          </w:tcPr>
          <w:p w14:paraId="3CCD7E37" w14:textId="3FB18116" w:rsidR="001F5723" w:rsidRPr="001A6EEE" w:rsidRDefault="00215EC1" w:rsidP="009F17F6">
            <w:pPr>
              <w:spacing w:after="0"/>
              <w:rPr>
                <w:rFonts w:eastAsia="Times New Roman" w:cstheme="minorHAnsi"/>
                <w:bCs/>
                <w:sz w:val="24"/>
                <w:szCs w:val="24"/>
              </w:rPr>
            </w:pPr>
            <w:r>
              <w:rPr>
                <w:rFonts w:eastAsia="Times New Roman" w:cstheme="minorHAnsi"/>
                <w:bCs/>
                <w:sz w:val="24"/>
                <w:szCs w:val="24"/>
              </w:rPr>
              <w:t>Vytauto Didžiojo universitetui</w:t>
            </w:r>
          </w:p>
          <w:p w14:paraId="7867E406" w14:textId="5B95568F" w:rsidR="00615FF6" w:rsidRDefault="00215EC1" w:rsidP="009F17F6">
            <w:pPr>
              <w:spacing w:after="0"/>
              <w:rPr>
                <w:rFonts w:eastAsia="Times New Roman" w:cstheme="minorHAnsi"/>
                <w:bCs/>
                <w:sz w:val="24"/>
                <w:szCs w:val="24"/>
              </w:rPr>
            </w:pPr>
            <w:r>
              <w:rPr>
                <w:rFonts w:eastAsia="Times New Roman" w:cstheme="minorHAnsi"/>
                <w:bCs/>
                <w:sz w:val="24"/>
                <w:szCs w:val="24"/>
              </w:rPr>
              <w:t>K. Donelaičio g. 58</w:t>
            </w:r>
            <w:r w:rsidR="007C4C17">
              <w:rPr>
                <w:rFonts w:eastAsia="Times New Roman" w:cstheme="minorHAnsi"/>
                <w:bCs/>
                <w:sz w:val="24"/>
                <w:szCs w:val="24"/>
              </w:rPr>
              <w:t>,</w:t>
            </w:r>
          </w:p>
          <w:p w14:paraId="639EDD3F" w14:textId="42FC372F" w:rsidR="007C4C17" w:rsidRPr="001A6EEE" w:rsidRDefault="007C4C17" w:rsidP="009F17F6">
            <w:pPr>
              <w:spacing w:after="0"/>
              <w:rPr>
                <w:rFonts w:eastAsia="Times New Roman" w:cstheme="minorHAnsi"/>
                <w:bCs/>
                <w:sz w:val="24"/>
                <w:szCs w:val="24"/>
              </w:rPr>
            </w:pPr>
            <w:r>
              <w:rPr>
                <w:rFonts w:eastAsia="Times New Roman" w:cstheme="minorHAnsi"/>
                <w:bCs/>
                <w:sz w:val="24"/>
                <w:szCs w:val="24"/>
              </w:rPr>
              <w:t>44248 Kaunas</w:t>
            </w:r>
          </w:p>
          <w:p w14:paraId="3B20351F" w14:textId="673A4F13" w:rsidR="00774C2A" w:rsidRPr="001A6EEE" w:rsidRDefault="00774C2A" w:rsidP="009F17F6">
            <w:pPr>
              <w:spacing w:after="0"/>
              <w:rPr>
                <w:rFonts w:eastAsia="Times New Roman" w:cstheme="minorHAnsi"/>
                <w:bCs/>
                <w:sz w:val="24"/>
                <w:szCs w:val="24"/>
              </w:rPr>
            </w:pPr>
            <w:r w:rsidRPr="001A6EEE">
              <w:rPr>
                <w:rFonts w:eastAsia="Times New Roman" w:cstheme="minorHAnsi"/>
                <w:bCs/>
                <w:sz w:val="24"/>
                <w:szCs w:val="24"/>
              </w:rPr>
              <w:t>El. paštas:</w:t>
            </w:r>
            <w:r w:rsidR="00224816" w:rsidRPr="001A6EEE">
              <w:rPr>
                <w:rFonts w:eastAsia="Times New Roman" w:cstheme="minorHAnsi"/>
                <w:bCs/>
                <w:sz w:val="24"/>
                <w:szCs w:val="24"/>
              </w:rPr>
              <w:t xml:space="preserve"> info@</w:t>
            </w:r>
            <w:r w:rsidR="007C4C17">
              <w:rPr>
                <w:rFonts w:eastAsia="Times New Roman" w:cstheme="minorHAnsi"/>
                <w:bCs/>
                <w:sz w:val="24"/>
                <w:szCs w:val="24"/>
              </w:rPr>
              <w:t>adm.vdu.lt</w:t>
            </w:r>
          </w:p>
          <w:p w14:paraId="64C1C1B9" w14:textId="14B4003A" w:rsidR="005B7E22" w:rsidRPr="001A6EEE" w:rsidRDefault="005B7E22" w:rsidP="009F17F6">
            <w:pPr>
              <w:spacing w:after="0"/>
              <w:rPr>
                <w:rFonts w:eastAsia="Times New Roman" w:cstheme="minorHAnsi"/>
                <w:bCs/>
                <w:sz w:val="24"/>
                <w:szCs w:val="24"/>
              </w:rPr>
            </w:pPr>
          </w:p>
          <w:p w14:paraId="22618E9A" w14:textId="4ED2E056" w:rsidR="005B7E22" w:rsidRPr="001A6EEE" w:rsidRDefault="005B7E22" w:rsidP="009F17F6">
            <w:pPr>
              <w:spacing w:after="0"/>
              <w:rPr>
                <w:rFonts w:eastAsia="Times New Roman" w:cstheme="minorHAnsi"/>
                <w:bCs/>
                <w:sz w:val="24"/>
                <w:szCs w:val="24"/>
              </w:rPr>
            </w:pPr>
          </w:p>
        </w:tc>
        <w:tc>
          <w:tcPr>
            <w:tcW w:w="1620" w:type="dxa"/>
          </w:tcPr>
          <w:p w14:paraId="13A87122" w14:textId="2DDA97B5" w:rsidR="00E83E81" w:rsidRPr="001A6EEE" w:rsidRDefault="00E83E81" w:rsidP="00201FBE">
            <w:pPr>
              <w:tabs>
                <w:tab w:val="left" w:pos="900"/>
              </w:tabs>
              <w:spacing w:after="0"/>
              <w:rPr>
                <w:rFonts w:eastAsia="Times New Roman" w:cstheme="minorHAnsi"/>
                <w:sz w:val="24"/>
                <w:szCs w:val="24"/>
              </w:rPr>
            </w:pPr>
            <w:r w:rsidRPr="001A6EEE">
              <w:rPr>
                <w:rFonts w:eastAsia="Times New Roman" w:cstheme="minorHAnsi"/>
                <w:sz w:val="24"/>
                <w:szCs w:val="24"/>
              </w:rPr>
              <w:t xml:space="preserve">  </w:t>
            </w:r>
            <w:r w:rsidR="00DC15CE" w:rsidRPr="001A6EEE">
              <w:rPr>
                <w:rFonts w:eastAsia="Times New Roman" w:cstheme="minorHAnsi"/>
                <w:sz w:val="24"/>
                <w:szCs w:val="24"/>
              </w:rPr>
              <w:t>202</w:t>
            </w:r>
            <w:r w:rsidR="00610B83">
              <w:rPr>
                <w:rFonts w:eastAsia="Times New Roman" w:cstheme="minorHAnsi"/>
                <w:sz w:val="24"/>
                <w:szCs w:val="24"/>
              </w:rPr>
              <w:t>5</w:t>
            </w:r>
            <w:r w:rsidR="00DC15CE" w:rsidRPr="001A6EEE">
              <w:rPr>
                <w:rFonts w:eastAsia="Times New Roman" w:cstheme="minorHAnsi"/>
                <w:sz w:val="24"/>
                <w:szCs w:val="24"/>
              </w:rPr>
              <w:t>-</w:t>
            </w:r>
            <w:r w:rsidR="004E6368" w:rsidRPr="001A6EEE">
              <w:rPr>
                <w:rFonts w:eastAsia="Times New Roman" w:cstheme="minorHAnsi"/>
                <w:sz w:val="24"/>
                <w:szCs w:val="24"/>
              </w:rPr>
              <w:t>0</w:t>
            </w:r>
            <w:r w:rsidR="00610B83">
              <w:rPr>
                <w:rFonts w:eastAsia="Times New Roman" w:cstheme="minorHAnsi"/>
                <w:sz w:val="24"/>
                <w:szCs w:val="24"/>
              </w:rPr>
              <w:t>1</w:t>
            </w:r>
            <w:r w:rsidRPr="001A6EEE">
              <w:rPr>
                <w:rFonts w:eastAsia="Times New Roman" w:cstheme="minorHAnsi"/>
                <w:sz w:val="24"/>
                <w:szCs w:val="24"/>
              </w:rPr>
              <w:t>-</w:t>
            </w:r>
          </w:p>
          <w:p w14:paraId="4008D365" w14:textId="412FCF9A" w:rsidR="00E83E81" w:rsidRPr="001A6EEE" w:rsidRDefault="00E83E81" w:rsidP="00201FBE">
            <w:pPr>
              <w:tabs>
                <w:tab w:val="left" w:pos="900"/>
              </w:tabs>
              <w:spacing w:after="0"/>
              <w:rPr>
                <w:rFonts w:eastAsia="Times New Roman" w:cstheme="minorHAnsi"/>
                <w:sz w:val="24"/>
                <w:szCs w:val="24"/>
              </w:rPr>
            </w:pPr>
            <w:r w:rsidRPr="001A6EEE">
              <w:rPr>
                <w:rFonts w:eastAsia="Times New Roman" w:cstheme="minorHAnsi"/>
                <w:sz w:val="24"/>
                <w:szCs w:val="24"/>
              </w:rPr>
              <w:t xml:space="preserve">Į </w:t>
            </w:r>
            <w:r w:rsidR="00A84060" w:rsidRPr="00A84060">
              <w:rPr>
                <w:rFonts w:eastAsia="Times New Roman" w:cstheme="minorHAnsi"/>
                <w:sz w:val="24"/>
                <w:szCs w:val="24"/>
              </w:rPr>
              <w:t>2024-12-06</w:t>
            </w:r>
          </w:p>
          <w:p w14:paraId="4D798809" w14:textId="13A413E1" w:rsidR="006A1DA5" w:rsidRDefault="006A1DA5" w:rsidP="00201FBE">
            <w:pPr>
              <w:tabs>
                <w:tab w:val="left" w:pos="900"/>
              </w:tabs>
              <w:spacing w:after="0"/>
              <w:rPr>
                <w:rFonts w:eastAsia="Times New Roman" w:cstheme="minorHAnsi"/>
                <w:sz w:val="24"/>
                <w:szCs w:val="24"/>
              </w:rPr>
            </w:pPr>
            <w:r w:rsidRPr="001A6EEE">
              <w:rPr>
                <w:rFonts w:eastAsia="Times New Roman" w:cstheme="minorHAnsi"/>
                <w:sz w:val="24"/>
                <w:szCs w:val="24"/>
              </w:rPr>
              <w:t xml:space="preserve">  </w:t>
            </w:r>
            <w:r w:rsidR="00A55D51" w:rsidRPr="00A55D51">
              <w:rPr>
                <w:rFonts w:eastAsia="Times New Roman" w:cstheme="minorHAnsi"/>
                <w:sz w:val="24"/>
                <w:szCs w:val="24"/>
              </w:rPr>
              <w:t>2024-12-27</w:t>
            </w:r>
          </w:p>
          <w:p w14:paraId="73073E04" w14:textId="0D0FD383" w:rsidR="005F45EF" w:rsidRPr="00D1202B" w:rsidRDefault="005F45EF" w:rsidP="00201FBE">
            <w:pPr>
              <w:tabs>
                <w:tab w:val="left" w:pos="900"/>
              </w:tabs>
              <w:spacing w:after="0"/>
              <w:rPr>
                <w:rFonts w:eastAsia="Times New Roman" w:cstheme="minorHAnsi"/>
                <w:sz w:val="24"/>
                <w:szCs w:val="24"/>
                <w:lang w:val="en-US"/>
              </w:rPr>
            </w:pPr>
            <w:r>
              <w:rPr>
                <w:rFonts w:eastAsia="Times New Roman" w:cstheme="minorHAnsi"/>
                <w:sz w:val="24"/>
                <w:szCs w:val="24"/>
              </w:rPr>
              <w:t xml:space="preserve">  </w:t>
            </w:r>
            <w:r w:rsidR="00D1202B">
              <w:rPr>
                <w:rFonts w:eastAsia="Times New Roman" w:cstheme="minorHAnsi"/>
                <w:sz w:val="24"/>
                <w:szCs w:val="24"/>
              </w:rPr>
              <w:t>2024-01-08</w:t>
            </w:r>
          </w:p>
          <w:p w14:paraId="439A6C94" w14:textId="326FD488" w:rsidR="001F5723" w:rsidRPr="001A6EEE" w:rsidRDefault="001F5723" w:rsidP="00E83E81">
            <w:pPr>
              <w:tabs>
                <w:tab w:val="left" w:pos="900"/>
              </w:tabs>
              <w:spacing w:after="0"/>
              <w:rPr>
                <w:rFonts w:eastAsia="Times New Roman" w:cstheme="minorHAnsi"/>
                <w:sz w:val="24"/>
                <w:szCs w:val="24"/>
              </w:rPr>
            </w:pPr>
          </w:p>
        </w:tc>
        <w:tc>
          <w:tcPr>
            <w:tcW w:w="540" w:type="dxa"/>
          </w:tcPr>
          <w:p w14:paraId="1644469B" w14:textId="77777777" w:rsidR="00E83E81" w:rsidRPr="001A6EEE" w:rsidRDefault="00E83E81" w:rsidP="00201FBE">
            <w:pPr>
              <w:tabs>
                <w:tab w:val="left" w:pos="900"/>
              </w:tabs>
              <w:spacing w:after="0"/>
              <w:rPr>
                <w:rFonts w:eastAsia="Times New Roman" w:cstheme="minorHAnsi"/>
                <w:sz w:val="24"/>
                <w:szCs w:val="24"/>
              </w:rPr>
            </w:pPr>
            <w:r w:rsidRPr="001A6EEE">
              <w:rPr>
                <w:rFonts w:eastAsia="Times New Roman" w:cstheme="minorHAnsi"/>
                <w:sz w:val="24"/>
                <w:szCs w:val="24"/>
              </w:rPr>
              <w:t>Nr.</w:t>
            </w:r>
          </w:p>
          <w:p w14:paraId="54555DCE" w14:textId="20961C89" w:rsidR="00E83E81" w:rsidRPr="001A6EEE" w:rsidRDefault="00E83E81" w:rsidP="00201FBE">
            <w:pPr>
              <w:tabs>
                <w:tab w:val="left" w:pos="900"/>
              </w:tabs>
              <w:spacing w:after="0"/>
              <w:rPr>
                <w:rFonts w:eastAsia="Times New Roman" w:cstheme="minorHAnsi"/>
                <w:sz w:val="24"/>
                <w:szCs w:val="24"/>
              </w:rPr>
            </w:pPr>
            <w:r w:rsidRPr="001A6EEE">
              <w:rPr>
                <w:rFonts w:eastAsia="Times New Roman" w:cstheme="minorHAnsi"/>
                <w:sz w:val="24"/>
                <w:szCs w:val="24"/>
              </w:rPr>
              <w:t>Nr.</w:t>
            </w:r>
          </w:p>
          <w:p w14:paraId="1D382258" w14:textId="2AA2A899" w:rsidR="006A1DA5" w:rsidRDefault="006A1DA5" w:rsidP="00201FBE">
            <w:pPr>
              <w:tabs>
                <w:tab w:val="left" w:pos="900"/>
              </w:tabs>
              <w:spacing w:after="0"/>
              <w:rPr>
                <w:rFonts w:eastAsia="Times New Roman" w:cstheme="minorHAnsi"/>
                <w:sz w:val="24"/>
                <w:szCs w:val="24"/>
              </w:rPr>
            </w:pPr>
            <w:r w:rsidRPr="001A6EEE">
              <w:rPr>
                <w:rFonts w:eastAsia="Times New Roman" w:cstheme="minorHAnsi"/>
                <w:sz w:val="24"/>
                <w:szCs w:val="24"/>
              </w:rPr>
              <w:t>Nr.</w:t>
            </w:r>
          </w:p>
          <w:p w14:paraId="41F0AC47" w14:textId="302FD47D" w:rsidR="00D1202B" w:rsidRPr="001A6EEE" w:rsidRDefault="00D1202B" w:rsidP="00201FBE">
            <w:pPr>
              <w:tabs>
                <w:tab w:val="left" w:pos="900"/>
              </w:tabs>
              <w:spacing w:after="0"/>
              <w:rPr>
                <w:rFonts w:eastAsia="Times New Roman" w:cstheme="minorHAnsi"/>
                <w:sz w:val="24"/>
                <w:szCs w:val="24"/>
              </w:rPr>
            </w:pPr>
            <w:r>
              <w:rPr>
                <w:rFonts w:eastAsia="Times New Roman" w:cstheme="minorHAnsi"/>
                <w:sz w:val="24"/>
                <w:szCs w:val="24"/>
              </w:rPr>
              <w:t>Nr.</w:t>
            </w:r>
          </w:p>
          <w:p w14:paraId="3A88D3C2" w14:textId="1136536E" w:rsidR="000E4C54" w:rsidRPr="001A6EEE" w:rsidRDefault="000E4C54" w:rsidP="00D21D10">
            <w:pPr>
              <w:tabs>
                <w:tab w:val="left" w:pos="900"/>
              </w:tabs>
              <w:spacing w:after="0"/>
              <w:rPr>
                <w:rFonts w:eastAsia="Times New Roman" w:cstheme="minorHAnsi"/>
                <w:sz w:val="24"/>
                <w:szCs w:val="24"/>
              </w:rPr>
            </w:pPr>
          </w:p>
        </w:tc>
        <w:tc>
          <w:tcPr>
            <w:tcW w:w="2363" w:type="dxa"/>
          </w:tcPr>
          <w:p w14:paraId="2E309890" w14:textId="517A61F9" w:rsidR="00E83E81" w:rsidRPr="001A6EEE" w:rsidRDefault="00E83E81" w:rsidP="00F61EFA">
            <w:pPr>
              <w:tabs>
                <w:tab w:val="right" w:pos="1764"/>
              </w:tabs>
              <w:spacing w:after="0"/>
              <w:ind w:right="59"/>
              <w:rPr>
                <w:rFonts w:eastAsia="Times New Roman" w:cstheme="minorHAnsi"/>
                <w:sz w:val="24"/>
                <w:szCs w:val="24"/>
              </w:rPr>
            </w:pPr>
            <w:r w:rsidRPr="001A6EEE">
              <w:rPr>
                <w:rFonts w:eastAsia="Times New Roman" w:cstheme="minorHAnsi"/>
                <w:sz w:val="24"/>
                <w:szCs w:val="24"/>
              </w:rPr>
              <w:t>4S-</w:t>
            </w:r>
            <w:r w:rsidR="00DB4688" w:rsidRPr="001A6EEE">
              <w:rPr>
                <w:rFonts w:eastAsia="Times New Roman" w:cstheme="minorHAnsi"/>
                <w:sz w:val="24"/>
                <w:szCs w:val="24"/>
              </w:rPr>
              <w:t xml:space="preserve">        </w:t>
            </w:r>
            <w:r w:rsidR="004D6CE8" w:rsidRPr="001A6EEE">
              <w:rPr>
                <w:rFonts w:eastAsia="Times New Roman" w:cstheme="minorHAnsi"/>
                <w:sz w:val="24"/>
                <w:szCs w:val="24"/>
              </w:rPr>
              <w:t xml:space="preserve">    </w:t>
            </w:r>
            <w:r w:rsidR="00DB4688" w:rsidRPr="001A6EEE">
              <w:rPr>
                <w:rFonts w:eastAsia="Times New Roman" w:cstheme="minorHAnsi"/>
                <w:sz w:val="24"/>
                <w:szCs w:val="24"/>
              </w:rPr>
              <w:t>(8.</w:t>
            </w:r>
            <w:r w:rsidR="00DC15CE" w:rsidRPr="001A6EEE">
              <w:rPr>
                <w:rFonts w:eastAsia="Times New Roman" w:cstheme="minorHAnsi"/>
                <w:sz w:val="24"/>
                <w:szCs w:val="24"/>
              </w:rPr>
              <w:t>15</w:t>
            </w:r>
            <w:r w:rsidR="00F61EFA" w:rsidRPr="001A6EEE">
              <w:rPr>
                <w:rFonts w:eastAsia="Times New Roman" w:cstheme="minorHAnsi"/>
                <w:sz w:val="24"/>
                <w:szCs w:val="24"/>
              </w:rPr>
              <w:t xml:space="preserve"> Mr</w:t>
            </w:r>
            <w:r w:rsidR="006F1EEF" w:rsidRPr="001A6EEE">
              <w:rPr>
                <w:rFonts w:eastAsia="Times New Roman" w:cstheme="minorHAnsi"/>
                <w:sz w:val="24"/>
                <w:szCs w:val="24"/>
              </w:rPr>
              <w:t>.</w:t>
            </w:r>
            <w:r w:rsidR="00DB4688" w:rsidRPr="001A6EEE">
              <w:rPr>
                <w:rFonts w:eastAsia="Times New Roman" w:cstheme="minorHAnsi"/>
                <w:sz w:val="24"/>
                <w:szCs w:val="24"/>
              </w:rPr>
              <w:t>)</w:t>
            </w:r>
          </w:p>
          <w:p w14:paraId="3FD9EB57" w14:textId="77777777" w:rsidR="00E83E81" w:rsidRDefault="00E45453" w:rsidP="00B97110">
            <w:pPr>
              <w:shd w:val="clear" w:color="auto" w:fill="FFFFFF"/>
              <w:spacing w:after="0" w:line="240" w:lineRule="auto"/>
              <w:rPr>
                <w:rFonts w:eastAsia="Times New Roman" w:cstheme="minorHAnsi"/>
                <w:color w:val="000000"/>
                <w:sz w:val="24"/>
                <w:szCs w:val="24"/>
                <w:lang w:eastAsia="lt-LT"/>
              </w:rPr>
            </w:pPr>
            <w:r w:rsidRPr="00E45453">
              <w:rPr>
                <w:rFonts w:eastAsia="Times New Roman" w:cstheme="minorHAnsi"/>
                <w:color w:val="000000"/>
                <w:sz w:val="24"/>
                <w:szCs w:val="24"/>
                <w:lang w:eastAsia="lt-LT"/>
              </w:rPr>
              <w:t>VDU-SR-912</w:t>
            </w:r>
          </w:p>
          <w:p w14:paraId="09FBC59D" w14:textId="77777777" w:rsidR="00A55D51" w:rsidRDefault="005F45EF" w:rsidP="00B97110">
            <w:pPr>
              <w:shd w:val="clear" w:color="auto" w:fill="FFFFFF"/>
              <w:spacing w:after="0" w:line="240" w:lineRule="auto"/>
              <w:rPr>
                <w:rFonts w:eastAsia="Times New Roman" w:cstheme="minorHAnsi"/>
                <w:color w:val="000000"/>
                <w:sz w:val="24"/>
                <w:szCs w:val="24"/>
                <w:lang w:eastAsia="lt-LT"/>
              </w:rPr>
            </w:pPr>
            <w:r w:rsidRPr="005F45EF">
              <w:rPr>
                <w:rFonts w:eastAsia="Times New Roman" w:cstheme="minorHAnsi"/>
                <w:color w:val="000000"/>
                <w:sz w:val="24"/>
                <w:szCs w:val="24"/>
                <w:lang w:eastAsia="lt-LT"/>
              </w:rPr>
              <w:t>VDU-SR-961</w:t>
            </w:r>
          </w:p>
          <w:p w14:paraId="26739837" w14:textId="11CEB376" w:rsidR="00D1202B" w:rsidRPr="001A6EEE" w:rsidRDefault="00D1202B" w:rsidP="00B97110">
            <w:pPr>
              <w:shd w:val="clear" w:color="auto" w:fill="FFFFFF"/>
              <w:spacing w:after="0" w:line="240" w:lineRule="auto"/>
              <w:rPr>
                <w:rFonts w:eastAsia="Times New Roman" w:cstheme="minorHAnsi"/>
                <w:color w:val="000000"/>
                <w:sz w:val="24"/>
                <w:szCs w:val="24"/>
                <w:lang w:eastAsia="lt-LT"/>
              </w:rPr>
            </w:pPr>
            <w:r w:rsidRPr="00D1202B">
              <w:rPr>
                <w:rFonts w:eastAsia="Times New Roman" w:cstheme="minorHAnsi"/>
                <w:color w:val="000000"/>
                <w:sz w:val="24"/>
                <w:szCs w:val="24"/>
                <w:lang w:eastAsia="lt-LT"/>
              </w:rPr>
              <w:t>VDU-SR-36</w:t>
            </w:r>
          </w:p>
        </w:tc>
      </w:tr>
    </w:tbl>
    <w:p w14:paraId="2CB024AD" w14:textId="25C1ABAF" w:rsidR="008C2B30" w:rsidRPr="001A6EEE" w:rsidRDefault="00DC15CE" w:rsidP="004E68BC">
      <w:pPr>
        <w:tabs>
          <w:tab w:val="left" w:pos="709"/>
        </w:tabs>
        <w:spacing w:after="0"/>
        <w:rPr>
          <w:rFonts w:eastAsia="Times New Roman" w:cstheme="minorHAnsi"/>
          <w:b/>
          <w:sz w:val="24"/>
          <w:szCs w:val="24"/>
        </w:rPr>
      </w:pPr>
      <w:r w:rsidRPr="001A6EEE">
        <w:rPr>
          <w:rFonts w:eastAsia="Times New Roman" w:cstheme="minorHAnsi"/>
          <w:b/>
          <w:bCs/>
          <w:caps/>
          <w:sz w:val="24"/>
          <w:szCs w:val="24"/>
        </w:rPr>
        <w:t xml:space="preserve">    </w:t>
      </w:r>
      <w:r w:rsidR="009A6E5B" w:rsidRPr="001A6EEE">
        <w:rPr>
          <w:rFonts w:eastAsia="Times New Roman" w:cstheme="minorHAnsi"/>
          <w:b/>
          <w:bCs/>
          <w:caps/>
          <w:sz w:val="24"/>
          <w:szCs w:val="24"/>
        </w:rPr>
        <w:t>SPRENDIMAS DĖL SUTIKIMO VYKDYTI PIRKIMĄ NESKELBIAMŲ DERYBŲ BŪDU</w:t>
      </w:r>
    </w:p>
    <w:p w14:paraId="28AE5005" w14:textId="48C045B2" w:rsidR="00450276" w:rsidRPr="001A6EEE" w:rsidRDefault="00450276" w:rsidP="00DC15CE">
      <w:pPr>
        <w:spacing w:after="0" w:line="240" w:lineRule="auto"/>
        <w:ind w:left="284" w:firstLine="850"/>
        <w:rPr>
          <w:rFonts w:cstheme="minorHAnsi"/>
          <w:sz w:val="24"/>
          <w:szCs w:val="24"/>
        </w:rPr>
      </w:pPr>
    </w:p>
    <w:p w14:paraId="44DF83C6" w14:textId="320B9840" w:rsidR="006C6B1E" w:rsidRPr="001A6EEE" w:rsidRDefault="006C6B1E" w:rsidP="005C6BA7">
      <w:pPr>
        <w:spacing w:after="0" w:line="240" w:lineRule="auto"/>
        <w:ind w:left="284" w:right="141" w:firstLine="850"/>
        <w:jc w:val="both"/>
        <w:rPr>
          <w:rFonts w:cstheme="minorHAnsi"/>
          <w:sz w:val="24"/>
          <w:szCs w:val="24"/>
        </w:rPr>
      </w:pPr>
      <w:r w:rsidRPr="001A6EEE">
        <w:rPr>
          <w:rFonts w:cstheme="minorHAnsi"/>
          <w:sz w:val="24"/>
          <w:szCs w:val="24"/>
        </w:rPr>
        <w:t xml:space="preserve">Viešųjų pirkimų tarnyba (toliau – Tarnyba), vadovaudamasi Lietuvos Respublikos viešųjų pirkimų įstatymo (toliau – Įstatymas) 95 straipsnio 2 dalies </w:t>
      </w:r>
      <w:r w:rsidR="005C6BA7" w:rsidRPr="001A6EEE">
        <w:rPr>
          <w:rFonts w:cstheme="minorHAnsi"/>
          <w:sz w:val="24"/>
          <w:szCs w:val="24"/>
        </w:rPr>
        <w:t>7</w:t>
      </w:r>
      <w:r w:rsidRPr="001A6EEE">
        <w:rPr>
          <w:rFonts w:cstheme="minorHAnsi"/>
          <w:sz w:val="24"/>
          <w:szCs w:val="24"/>
        </w:rPr>
        <w:t xml:space="preserve"> punkt</w:t>
      </w:r>
      <w:r w:rsidR="00F53D1E">
        <w:rPr>
          <w:rFonts w:cstheme="minorHAnsi"/>
          <w:sz w:val="24"/>
          <w:szCs w:val="24"/>
        </w:rPr>
        <w:t xml:space="preserve">u </w:t>
      </w:r>
      <w:r w:rsidR="00F53D1E" w:rsidRPr="00F53D1E">
        <w:rPr>
          <w:rFonts w:cstheme="minorHAnsi"/>
          <w:sz w:val="24"/>
          <w:szCs w:val="24"/>
        </w:rPr>
        <w:t>ir Perkančiųjų organizacijų prašymų dėl Viešųjų pirkimų tarnybos sutikimų pateikimo ir nagrinėjimo taisyklėmis</w:t>
      </w:r>
      <w:r w:rsidR="00F53D1E" w:rsidRPr="00F53D1E">
        <w:rPr>
          <w:rFonts w:cstheme="minorHAnsi"/>
          <w:sz w:val="24"/>
          <w:szCs w:val="24"/>
          <w:vertAlign w:val="superscript"/>
        </w:rPr>
        <w:footnoteReference w:id="1"/>
      </w:r>
      <w:r w:rsidR="00F53D1E" w:rsidRPr="00F53D1E">
        <w:rPr>
          <w:rFonts w:cstheme="minorHAnsi"/>
          <w:sz w:val="24"/>
          <w:szCs w:val="24"/>
        </w:rPr>
        <w:t xml:space="preserve"> (toliau – Taisyklės), išnagrinėjo</w:t>
      </w:r>
      <w:r w:rsidR="004D4AF6">
        <w:rPr>
          <w:rFonts w:cstheme="minorHAnsi"/>
          <w:sz w:val="24"/>
          <w:szCs w:val="24"/>
        </w:rPr>
        <w:t xml:space="preserve"> Vytauto Didžiojo universiteto </w:t>
      </w:r>
      <w:r w:rsidR="00434A1C" w:rsidRPr="001A6EEE">
        <w:rPr>
          <w:rFonts w:cstheme="minorHAnsi"/>
          <w:sz w:val="24"/>
          <w:szCs w:val="24"/>
        </w:rPr>
        <w:t xml:space="preserve">(toliau – Perkančioji organizacija) </w:t>
      </w:r>
      <w:r w:rsidRPr="001A6EEE">
        <w:rPr>
          <w:rFonts w:cstheme="minorHAnsi"/>
          <w:sz w:val="24"/>
          <w:szCs w:val="24"/>
        </w:rPr>
        <w:t xml:space="preserve">prašymą sutikti </w:t>
      </w:r>
      <w:bookmarkStart w:id="1" w:name="_Hlk188307350"/>
      <w:r w:rsidR="009A0509" w:rsidRPr="00BC6335">
        <w:rPr>
          <w:rFonts w:cstheme="minorHAnsi"/>
          <w:b/>
          <w:bCs/>
          <w:sz w:val="24"/>
          <w:szCs w:val="24"/>
        </w:rPr>
        <w:t>Fluorescencijos detektoriaus Shi</w:t>
      </w:r>
      <w:r w:rsidR="00BC6335" w:rsidRPr="00BC6335">
        <w:rPr>
          <w:rFonts w:cstheme="minorHAnsi"/>
          <w:b/>
          <w:bCs/>
          <w:sz w:val="24"/>
          <w:szCs w:val="24"/>
        </w:rPr>
        <w:t xml:space="preserve">madzu RF-20a </w:t>
      </w:r>
      <w:bookmarkEnd w:id="1"/>
      <w:r w:rsidR="00BC6335" w:rsidRPr="00BC6335">
        <w:rPr>
          <w:rFonts w:cstheme="minorHAnsi"/>
          <w:b/>
          <w:bCs/>
          <w:sz w:val="24"/>
          <w:szCs w:val="24"/>
        </w:rPr>
        <w:t>pirkimą</w:t>
      </w:r>
      <w:r w:rsidR="00BC6335">
        <w:rPr>
          <w:rFonts w:cstheme="minorHAnsi"/>
          <w:sz w:val="24"/>
          <w:szCs w:val="24"/>
        </w:rPr>
        <w:t xml:space="preserve"> </w:t>
      </w:r>
      <w:r w:rsidR="005C6BA7" w:rsidRPr="001A6EEE">
        <w:rPr>
          <w:rFonts w:cstheme="minorHAnsi"/>
          <w:sz w:val="24"/>
          <w:szCs w:val="24"/>
        </w:rPr>
        <w:t xml:space="preserve">(toliau </w:t>
      </w:r>
      <w:r w:rsidRPr="001A6EEE">
        <w:rPr>
          <w:rFonts w:cstheme="minorHAnsi"/>
          <w:sz w:val="24"/>
          <w:szCs w:val="24"/>
        </w:rPr>
        <w:t>– Pirkima</w:t>
      </w:r>
      <w:r w:rsidR="005C6BA7" w:rsidRPr="001A6EEE">
        <w:rPr>
          <w:rFonts w:cstheme="minorHAnsi"/>
          <w:sz w:val="24"/>
          <w:szCs w:val="24"/>
        </w:rPr>
        <w:t>s</w:t>
      </w:r>
      <w:r w:rsidRPr="001A6EEE">
        <w:rPr>
          <w:rFonts w:cstheme="minorHAnsi"/>
          <w:sz w:val="24"/>
          <w:szCs w:val="24"/>
        </w:rPr>
        <w:t>) vykdyti neskelbiamų derybų būdu, vadovaujantis Įstatym</w:t>
      </w:r>
      <w:r w:rsidR="00615FF6" w:rsidRPr="001A6EEE">
        <w:rPr>
          <w:rFonts w:cstheme="minorHAnsi"/>
          <w:sz w:val="24"/>
          <w:szCs w:val="24"/>
        </w:rPr>
        <w:t>o</w:t>
      </w:r>
      <w:r w:rsidRPr="001A6EEE">
        <w:rPr>
          <w:rFonts w:cstheme="minorHAnsi"/>
          <w:sz w:val="24"/>
          <w:szCs w:val="24"/>
        </w:rPr>
        <w:t xml:space="preserve"> 71 straipsnio 1 dalies 2 punkto b</w:t>
      </w:r>
      <w:r w:rsidR="008B702B" w:rsidRPr="001A6EEE">
        <w:rPr>
          <w:rFonts w:cstheme="minorHAnsi"/>
          <w:sz w:val="24"/>
          <w:szCs w:val="24"/>
        </w:rPr>
        <w:t>)</w:t>
      </w:r>
      <w:r w:rsidRPr="001A6EEE">
        <w:rPr>
          <w:rFonts w:cstheme="minorHAnsi"/>
          <w:sz w:val="24"/>
          <w:szCs w:val="24"/>
        </w:rPr>
        <w:t xml:space="preserve"> papunkči</w:t>
      </w:r>
      <w:r w:rsidR="0088297C">
        <w:rPr>
          <w:rFonts w:cstheme="minorHAnsi"/>
          <w:sz w:val="24"/>
          <w:szCs w:val="24"/>
        </w:rPr>
        <w:t>u</w:t>
      </w:r>
      <w:r w:rsidRPr="001A6EEE">
        <w:rPr>
          <w:rFonts w:cstheme="minorHAnsi"/>
          <w:sz w:val="24"/>
          <w:szCs w:val="24"/>
        </w:rPr>
        <w:t>, į derybas kviečiant konkretų tiekėją</w:t>
      </w:r>
      <w:r w:rsidR="00BC6335">
        <w:rPr>
          <w:rFonts w:cstheme="minorHAnsi"/>
          <w:sz w:val="24"/>
          <w:szCs w:val="24"/>
        </w:rPr>
        <w:t xml:space="preserve"> </w:t>
      </w:r>
      <w:r w:rsidR="00047593">
        <w:rPr>
          <w:rFonts w:cstheme="minorHAnsi"/>
          <w:sz w:val="24"/>
          <w:szCs w:val="24"/>
        </w:rPr>
        <w:t xml:space="preserve">įmonę </w:t>
      </w:r>
      <w:r w:rsidR="001C2E32">
        <w:rPr>
          <w:rFonts w:cstheme="minorHAnsi"/>
          <w:sz w:val="24"/>
          <w:szCs w:val="24"/>
        </w:rPr>
        <w:t>UAB „Arm Gate“</w:t>
      </w:r>
      <w:r w:rsidRPr="001A6EEE">
        <w:rPr>
          <w:rFonts w:cstheme="minorHAnsi"/>
          <w:sz w:val="24"/>
          <w:szCs w:val="24"/>
        </w:rPr>
        <w:t>.</w:t>
      </w:r>
    </w:p>
    <w:p w14:paraId="373263E0" w14:textId="5CFDB392" w:rsidR="00CA39E8" w:rsidRDefault="008164D6" w:rsidP="00073BB9">
      <w:pPr>
        <w:spacing w:after="0" w:line="240" w:lineRule="auto"/>
        <w:ind w:left="284" w:right="141" w:firstLine="850"/>
        <w:jc w:val="both"/>
        <w:rPr>
          <w:rFonts w:cstheme="minorHAnsi"/>
          <w:sz w:val="24"/>
          <w:szCs w:val="24"/>
        </w:rPr>
      </w:pPr>
      <w:r w:rsidRPr="001A6EEE">
        <w:rPr>
          <w:rFonts w:cstheme="minorHAnsi"/>
          <w:sz w:val="24"/>
          <w:szCs w:val="24"/>
        </w:rPr>
        <w:t xml:space="preserve">Perkančioji organizacija </w:t>
      </w:r>
      <w:r w:rsidR="009A26CD">
        <w:rPr>
          <w:rFonts w:cstheme="minorHAnsi"/>
          <w:sz w:val="24"/>
          <w:szCs w:val="24"/>
        </w:rPr>
        <w:t xml:space="preserve">prašyme </w:t>
      </w:r>
      <w:r w:rsidRPr="001A6EEE">
        <w:rPr>
          <w:rFonts w:cstheme="minorHAnsi"/>
          <w:sz w:val="24"/>
          <w:szCs w:val="24"/>
        </w:rPr>
        <w:t>nurod</w:t>
      </w:r>
      <w:r w:rsidR="009A26CD">
        <w:rPr>
          <w:rFonts w:cstheme="minorHAnsi"/>
          <w:sz w:val="24"/>
          <w:szCs w:val="24"/>
        </w:rPr>
        <w:t>ė</w:t>
      </w:r>
      <w:r w:rsidRPr="001A6EEE">
        <w:rPr>
          <w:rFonts w:cstheme="minorHAnsi"/>
          <w:sz w:val="24"/>
          <w:szCs w:val="24"/>
        </w:rPr>
        <w:t xml:space="preserve">, jog </w:t>
      </w:r>
      <w:r w:rsidR="00193249">
        <w:rPr>
          <w:rFonts w:cstheme="minorHAnsi"/>
          <w:bCs/>
          <w:sz w:val="24"/>
          <w:szCs w:val="24"/>
        </w:rPr>
        <w:t xml:space="preserve">Pirkimo tikslas </w:t>
      </w:r>
      <w:r w:rsidR="00405A43">
        <w:rPr>
          <w:rFonts w:cstheme="minorHAnsi"/>
          <w:bCs/>
          <w:sz w:val="24"/>
          <w:szCs w:val="24"/>
        </w:rPr>
        <w:t>yra</w:t>
      </w:r>
      <w:r w:rsidR="00193249">
        <w:rPr>
          <w:rFonts w:cstheme="minorHAnsi"/>
          <w:bCs/>
          <w:sz w:val="24"/>
          <w:szCs w:val="24"/>
        </w:rPr>
        <w:t xml:space="preserve"> </w:t>
      </w:r>
      <w:r w:rsidR="006E00CC">
        <w:rPr>
          <w:rFonts w:cstheme="minorHAnsi"/>
          <w:bCs/>
          <w:sz w:val="24"/>
          <w:szCs w:val="24"/>
        </w:rPr>
        <w:t xml:space="preserve">išplėsti </w:t>
      </w:r>
      <w:r w:rsidR="00047A87">
        <w:rPr>
          <w:rFonts w:cstheme="minorHAnsi"/>
          <w:bCs/>
          <w:sz w:val="24"/>
          <w:szCs w:val="24"/>
        </w:rPr>
        <w:t>turimo</w:t>
      </w:r>
      <w:r w:rsidR="00193249">
        <w:rPr>
          <w:rFonts w:cstheme="minorHAnsi"/>
          <w:bCs/>
          <w:sz w:val="24"/>
          <w:szCs w:val="24"/>
        </w:rPr>
        <w:t xml:space="preserve"> </w:t>
      </w:r>
      <w:r w:rsidR="006E00CC">
        <w:rPr>
          <w:rFonts w:cstheme="minorHAnsi"/>
          <w:bCs/>
          <w:sz w:val="24"/>
          <w:szCs w:val="24"/>
        </w:rPr>
        <w:t xml:space="preserve">ir naudojamo </w:t>
      </w:r>
      <w:r w:rsidR="00914535" w:rsidRPr="00914535">
        <w:rPr>
          <w:rFonts w:cstheme="minorHAnsi"/>
          <w:bCs/>
          <w:sz w:val="24"/>
          <w:szCs w:val="24"/>
        </w:rPr>
        <w:t xml:space="preserve">Shimadzu LC-10VP serijos skysčių chromatografo </w:t>
      </w:r>
      <w:r w:rsidR="002045DD">
        <w:rPr>
          <w:rFonts w:cstheme="minorHAnsi"/>
          <w:bCs/>
          <w:sz w:val="24"/>
          <w:szCs w:val="24"/>
        </w:rPr>
        <w:t xml:space="preserve">(toliau – Sistema) </w:t>
      </w:r>
      <w:r w:rsidR="00914535" w:rsidRPr="00914535">
        <w:rPr>
          <w:rFonts w:cstheme="minorHAnsi"/>
          <w:bCs/>
          <w:sz w:val="24"/>
          <w:szCs w:val="24"/>
        </w:rPr>
        <w:t>funkcionalum</w:t>
      </w:r>
      <w:r w:rsidR="006E00CC">
        <w:rPr>
          <w:rFonts w:cstheme="minorHAnsi"/>
          <w:bCs/>
          <w:sz w:val="24"/>
          <w:szCs w:val="24"/>
        </w:rPr>
        <w:t>us</w:t>
      </w:r>
      <w:r w:rsidR="00914535">
        <w:rPr>
          <w:rFonts w:cstheme="minorHAnsi"/>
          <w:bCs/>
          <w:sz w:val="24"/>
          <w:szCs w:val="24"/>
        </w:rPr>
        <w:t xml:space="preserve"> bei </w:t>
      </w:r>
      <w:r w:rsidR="006E00CC">
        <w:rPr>
          <w:rFonts w:cstheme="minorHAnsi"/>
          <w:bCs/>
          <w:sz w:val="24"/>
          <w:szCs w:val="24"/>
        </w:rPr>
        <w:t xml:space="preserve">atnaujinti </w:t>
      </w:r>
      <w:r w:rsidR="00914535">
        <w:rPr>
          <w:rFonts w:cstheme="minorHAnsi"/>
          <w:bCs/>
          <w:sz w:val="24"/>
          <w:szCs w:val="24"/>
        </w:rPr>
        <w:t>pasenusi</w:t>
      </w:r>
      <w:r w:rsidR="006E00CC">
        <w:rPr>
          <w:rFonts w:cstheme="minorHAnsi"/>
          <w:bCs/>
          <w:sz w:val="24"/>
          <w:szCs w:val="24"/>
        </w:rPr>
        <w:t>us</w:t>
      </w:r>
      <w:r w:rsidR="00914535">
        <w:rPr>
          <w:rFonts w:cstheme="minorHAnsi"/>
          <w:bCs/>
          <w:sz w:val="24"/>
          <w:szCs w:val="24"/>
        </w:rPr>
        <w:t xml:space="preserve"> komponent</w:t>
      </w:r>
      <w:r w:rsidR="006E00CC">
        <w:rPr>
          <w:rFonts w:cstheme="minorHAnsi"/>
          <w:bCs/>
          <w:sz w:val="24"/>
          <w:szCs w:val="24"/>
        </w:rPr>
        <w:t>us</w:t>
      </w:r>
      <w:r w:rsidR="00161BEE">
        <w:rPr>
          <w:rFonts w:cstheme="minorHAnsi"/>
          <w:bCs/>
          <w:sz w:val="24"/>
          <w:szCs w:val="24"/>
        </w:rPr>
        <w:t xml:space="preserve">, nes siekiant </w:t>
      </w:r>
      <w:r w:rsidR="006E4940" w:rsidRPr="006E4940">
        <w:rPr>
          <w:rFonts w:cstheme="minorHAnsi"/>
          <w:bCs/>
          <w:sz w:val="24"/>
          <w:szCs w:val="24"/>
        </w:rPr>
        <w:t>užtikrinti viso</w:t>
      </w:r>
      <w:r w:rsidR="006E00CC">
        <w:rPr>
          <w:rFonts w:cstheme="minorHAnsi"/>
          <w:bCs/>
          <w:sz w:val="24"/>
          <w:szCs w:val="24"/>
        </w:rPr>
        <w:t>s</w:t>
      </w:r>
      <w:r w:rsidR="006E4940" w:rsidRPr="006E4940">
        <w:rPr>
          <w:rFonts w:cstheme="minorHAnsi"/>
          <w:bCs/>
          <w:sz w:val="24"/>
          <w:szCs w:val="24"/>
        </w:rPr>
        <w:t xml:space="preserve"> </w:t>
      </w:r>
      <w:r w:rsidR="007A7A82">
        <w:rPr>
          <w:rFonts w:cstheme="minorHAnsi"/>
          <w:bCs/>
          <w:sz w:val="24"/>
          <w:szCs w:val="24"/>
        </w:rPr>
        <w:t>S</w:t>
      </w:r>
      <w:r w:rsidR="006E4940" w:rsidRPr="006E4940">
        <w:rPr>
          <w:rFonts w:cstheme="minorHAnsi"/>
          <w:bCs/>
          <w:sz w:val="24"/>
          <w:szCs w:val="24"/>
        </w:rPr>
        <w:t>istemos funkcionalum</w:t>
      </w:r>
      <w:r w:rsidR="006E00CC">
        <w:rPr>
          <w:rFonts w:cstheme="minorHAnsi"/>
          <w:bCs/>
          <w:sz w:val="24"/>
          <w:szCs w:val="24"/>
        </w:rPr>
        <w:t>ų</w:t>
      </w:r>
      <w:r w:rsidR="006E4940" w:rsidRPr="006E4940">
        <w:rPr>
          <w:rFonts w:cstheme="minorHAnsi"/>
          <w:bCs/>
          <w:sz w:val="24"/>
          <w:szCs w:val="24"/>
        </w:rPr>
        <w:t xml:space="preserve"> palaikymą ir </w:t>
      </w:r>
      <w:r w:rsidR="006E00CC">
        <w:rPr>
          <w:rFonts w:cstheme="minorHAnsi"/>
          <w:bCs/>
          <w:sz w:val="24"/>
          <w:szCs w:val="24"/>
        </w:rPr>
        <w:t xml:space="preserve">įrangos </w:t>
      </w:r>
      <w:r w:rsidR="006E4940" w:rsidRPr="006E4940">
        <w:rPr>
          <w:rFonts w:cstheme="minorHAnsi"/>
          <w:bCs/>
          <w:sz w:val="24"/>
          <w:szCs w:val="24"/>
        </w:rPr>
        <w:t xml:space="preserve"> gamintojo numatytą suderinamumą, būtina naudoti būtent Shimadzu gamintojo produktus, tokius kaip fluorescencijos detektorius RF-20a, kontroleriai bei kiti mazgai.</w:t>
      </w:r>
      <w:r w:rsidR="006E4940">
        <w:rPr>
          <w:rFonts w:cstheme="minorHAnsi"/>
          <w:bCs/>
          <w:sz w:val="24"/>
          <w:szCs w:val="24"/>
        </w:rPr>
        <w:t xml:space="preserve"> </w:t>
      </w:r>
      <w:r w:rsidR="00796DA6">
        <w:rPr>
          <w:rFonts w:cstheme="minorHAnsi"/>
          <w:bCs/>
          <w:sz w:val="24"/>
          <w:szCs w:val="24"/>
        </w:rPr>
        <w:t>P</w:t>
      </w:r>
      <w:r w:rsidR="006E00CC">
        <w:rPr>
          <w:rFonts w:cstheme="minorHAnsi"/>
          <w:bCs/>
          <w:sz w:val="24"/>
          <w:szCs w:val="24"/>
        </w:rPr>
        <w:t>rašyme p</w:t>
      </w:r>
      <w:r w:rsidR="00796DA6">
        <w:rPr>
          <w:rFonts w:cstheme="minorHAnsi"/>
          <w:bCs/>
          <w:sz w:val="24"/>
          <w:szCs w:val="24"/>
        </w:rPr>
        <w:t xml:space="preserve">ažymima, jog </w:t>
      </w:r>
      <w:r w:rsidR="006E00CC">
        <w:rPr>
          <w:rFonts w:cstheme="minorHAnsi"/>
          <w:bCs/>
          <w:sz w:val="24"/>
          <w:szCs w:val="24"/>
        </w:rPr>
        <w:t xml:space="preserve">Pirkimu siekiamas įsigyti prekes gali suteikti tik konkretus tiekėjas dėl egzistuojančių techninių priežasčių, t. y. </w:t>
      </w:r>
      <w:r w:rsidR="006E00CC">
        <w:rPr>
          <w:rFonts w:cstheme="minorHAnsi"/>
          <w:sz w:val="24"/>
          <w:szCs w:val="24"/>
        </w:rPr>
        <w:t xml:space="preserve">būtina užtikrinti Sistemos ir atskirų jos dalių </w:t>
      </w:r>
      <w:r w:rsidR="00073BB9" w:rsidRPr="00073BB9">
        <w:rPr>
          <w:rFonts w:cstheme="minorHAnsi"/>
          <w:sz w:val="24"/>
          <w:szCs w:val="24"/>
        </w:rPr>
        <w:t>technin</w:t>
      </w:r>
      <w:r w:rsidR="006E00CC">
        <w:rPr>
          <w:rFonts w:cstheme="minorHAnsi"/>
          <w:sz w:val="24"/>
          <w:szCs w:val="24"/>
        </w:rPr>
        <w:t>į</w:t>
      </w:r>
      <w:r w:rsidR="00073BB9" w:rsidRPr="00073BB9">
        <w:rPr>
          <w:rFonts w:cstheme="minorHAnsi"/>
          <w:sz w:val="24"/>
          <w:szCs w:val="24"/>
        </w:rPr>
        <w:t xml:space="preserve"> suderinamum</w:t>
      </w:r>
      <w:r w:rsidR="006E00CC">
        <w:rPr>
          <w:rFonts w:cstheme="minorHAnsi"/>
          <w:sz w:val="24"/>
          <w:szCs w:val="24"/>
        </w:rPr>
        <w:t>ą</w:t>
      </w:r>
      <w:r w:rsidR="00907333">
        <w:rPr>
          <w:rFonts w:cstheme="minorHAnsi"/>
          <w:sz w:val="24"/>
          <w:szCs w:val="24"/>
        </w:rPr>
        <w:t>, nes</w:t>
      </w:r>
      <w:r w:rsidR="00073BB9" w:rsidRPr="00073BB9">
        <w:rPr>
          <w:rFonts w:cstheme="minorHAnsi"/>
          <w:sz w:val="24"/>
          <w:szCs w:val="24"/>
        </w:rPr>
        <w:t xml:space="preserve"> Shimadzu LC-10VP </w:t>
      </w:r>
      <w:r w:rsidR="007A7A82">
        <w:rPr>
          <w:rFonts w:cstheme="minorHAnsi"/>
          <w:sz w:val="24"/>
          <w:szCs w:val="24"/>
        </w:rPr>
        <w:t>S</w:t>
      </w:r>
      <w:r w:rsidR="00073BB9" w:rsidRPr="00073BB9">
        <w:rPr>
          <w:rFonts w:cstheme="minorHAnsi"/>
          <w:sz w:val="24"/>
          <w:szCs w:val="24"/>
        </w:rPr>
        <w:t xml:space="preserve">istema yra gamintojo sukurta kaip vientisa sistema, kurios visos dalys – tiek esamos, tiek būsimos – yra tarpusavyje susietos ir suderinamos per gamintojo patentuotą technologiją bei programinę įrangą. </w:t>
      </w:r>
      <w:r w:rsidR="002045DD">
        <w:rPr>
          <w:rFonts w:cstheme="minorHAnsi"/>
          <w:sz w:val="24"/>
          <w:szCs w:val="24"/>
        </w:rPr>
        <w:t>Prašyme nurodoma, jog b</w:t>
      </w:r>
      <w:r w:rsidR="00073BB9" w:rsidRPr="00073BB9">
        <w:rPr>
          <w:rFonts w:cstheme="minorHAnsi"/>
          <w:sz w:val="24"/>
          <w:szCs w:val="24"/>
        </w:rPr>
        <w:t>andymas integruoti kitų gamintojų produktus, nepaisant jų funkcionalumo, gal</w:t>
      </w:r>
      <w:r w:rsidR="006E00CC">
        <w:rPr>
          <w:rFonts w:cstheme="minorHAnsi"/>
          <w:sz w:val="24"/>
          <w:szCs w:val="24"/>
        </w:rPr>
        <w:t>i</w:t>
      </w:r>
      <w:r w:rsidR="00073BB9" w:rsidRPr="00073BB9">
        <w:rPr>
          <w:rFonts w:cstheme="minorHAnsi"/>
          <w:sz w:val="24"/>
          <w:szCs w:val="24"/>
        </w:rPr>
        <w:t xml:space="preserve"> sukelti sisteminius nesuderinamumus, kas ne tik sumažintų </w:t>
      </w:r>
      <w:r w:rsidR="006E00CC">
        <w:rPr>
          <w:rFonts w:cstheme="minorHAnsi"/>
          <w:sz w:val="24"/>
          <w:szCs w:val="24"/>
        </w:rPr>
        <w:t xml:space="preserve">pačios </w:t>
      </w:r>
      <w:r w:rsidR="007A7A82">
        <w:rPr>
          <w:rFonts w:cstheme="minorHAnsi"/>
          <w:sz w:val="24"/>
          <w:szCs w:val="24"/>
        </w:rPr>
        <w:t>S</w:t>
      </w:r>
      <w:r w:rsidR="00073BB9" w:rsidRPr="00073BB9">
        <w:rPr>
          <w:rFonts w:cstheme="minorHAnsi"/>
          <w:sz w:val="24"/>
          <w:szCs w:val="24"/>
        </w:rPr>
        <w:t>istemos veikimo patikimumą, bet ir keltų pavojų gaunamų tyrimų rezultatų tikslumui ir patikimumui.</w:t>
      </w:r>
    </w:p>
    <w:p w14:paraId="72CDFB1C" w14:textId="6927CEAF" w:rsidR="00706770" w:rsidRDefault="001F21BB" w:rsidP="00B10261">
      <w:pPr>
        <w:spacing w:after="0" w:line="240" w:lineRule="auto"/>
        <w:ind w:left="284" w:right="141" w:firstLine="850"/>
        <w:jc w:val="both"/>
        <w:rPr>
          <w:rFonts w:cstheme="minorHAnsi"/>
          <w:sz w:val="24"/>
          <w:szCs w:val="24"/>
        </w:rPr>
      </w:pPr>
      <w:r>
        <w:rPr>
          <w:rFonts w:cstheme="minorHAnsi"/>
          <w:sz w:val="24"/>
          <w:szCs w:val="24"/>
        </w:rPr>
        <w:t>Perkančioji organizacija pažymėjo, jog a</w:t>
      </w:r>
      <w:r w:rsidR="00073BB9" w:rsidRPr="00073BB9">
        <w:rPr>
          <w:rFonts w:cstheme="minorHAnsi"/>
          <w:sz w:val="24"/>
          <w:szCs w:val="24"/>
        </w:rPr>
        <w:t>tlik</w:t>
      </w:r>
      <w:r w:rsidR="00047593">
        <w:rPr>
          <w:rFonts w:cstheme="minorHAnsi"/>
          <w:sz w:val="24"/>
          <w:szCs w:val="24"/>
        </w:rPr>
        <w:t>us</w:t>
      </w:r>
      <w:r w:rsidR="00073BB9" w:rsidRPr="00073BB9">
        <w:rPr>
          <w:rFonts w:cstheme="minorHAnsi"/>
          <w:sz w:val="24"/>
          <w:szCs w:val="24"/>
        </w:rPr>
        <w:t xml:space="preserve"> rinkos analizę nustatyta, kad rinkoje nėra kitų gamintojų, galinčių pasiūlyti produktus, kurie būtų visiškai suderinami su Shimadzu LC-10VP </w:t>
      </w:r>
      <w:r w:rsidR="00B5549A">
        <w:rPr>
          <w:rFonts w:cstheme="minorHAnsi"/>
          <w:sz w:val="24"/>
          <w:szCs w:val="24"/>
        </w:rPr>
        <w:t>S</w:t>
      </w:r>
      <w:r w:rsidR="00073BB9" w:rsidRPr="00073BB9">
        <w:rPr>
          <w:rFonts w:cstheme="minorHAnsi"/>
          <w:sz w:val="24"/>
          <w:szCs w:val="24"/>
        </w:rPr>
        <w:t xml:space="preserve">istema. Rinkos konsultacijos ir tyrimai patvirtino, kad tik Shimadzu gamintojo produktai užtikrina visapusišką </w:t>
      </w:r>
      <w:r w:rsidR="00B5549A">
        <w:rPr>
          <w:rFonts w:cstheme="minorHAnsi"/>
          <w:sz w:val="24"/>
          <w:szCs w:val="24"/>
        </w:rPr>
        <w:t>S</w:t>
      </w:r>
      <w:r w:rsidR="00073BB9" w:rsidRPr="00073BB9">
        <w:rPr>
          <w:rFonts w:cstheme="minorHAnsi"/>
          <w:sz w:val="24"/>
          <w:szCs w:val="24"/>
        </w:rPr>
        <w:t xml:space="preserve">istemos integraciją ir numatytą funkcionalumą. </w:t>
      </w:r>
      <w:r w:rsidR="00B10261">
        <w:rPr>
          <w:rFonts w:cstheme="minorHAnsi"/>
          <w:sz w:val="24"/>
          <w:szCs w:val="24"/>
        </w:rPr>
        <w:t>Prašyme nurodyta, jog S</w:t>
      </w:r>
      <w:r w:rsidR="00073BB9" w:rsidRPr="00073BB9">
        <w:rPr>
          <w:rFonts w:cstheme="minorHAnsi"/>
          <w:sz w:val="24"/>
          <w:szCs w:val="24"/>
        </w:rPr>
        <w:t xml:space="preserve">istemos kūrėjas, </w:t>
      </w:r>
      <w:r w:rsidR="00047593">
        <w:rPr>
          <w:rFonts w:cstheme="minorHAnsi"/>
          <w:sz w:val="24"/>
          <w:szCs w:val="24"/>
        </w:rPr>
        <w:t xml:space="preserve">įmonė </w:t>
      </w:r>
      <w:r w:rsidR="00047593" w:rsidRPr="00047593">
        <w:rPr>
          <w:rFonts w:cstheme="minorHAnsi"/>
          <w:sz w:val="24"/>
          <w:szCs w:val="24"/>
        </w:rPr>
        <w:t>Shimadzu Europa GmbH</w:t>
      </w:r>
      <w:r w:rsidR="00073BB9" w:rsidRPr="00073BB9">
        <w:rPr>
          <w:rFonts w:cstheme="minorHAnsi"/>
          <w:sz w:val="24"/>
          <w:szCs w:val="24"/>
        </w:rPr>
        <w:t xml:space="preserve">, </w:t>
      </w:r>
      <w:r w:rsidR="00706770">
        <w:rPr>
          <w:rFonts w:cstheme="minorHAnsi"/>
          <w:sz w:val="24"/>
          <w:szCs w:val="24"/>
        </w:rPr>
        <w:t>turi</w:t>
      </w:r>
      <w:r w:rsidR="00073BB9" w:rsidRPr="00073BB9">
        <w:rPr>
          <w:rFonts w:cstheme="minorHAnsi"/>
          <w:sz w:val="24"/>
          <w:szCs w:val="24"/>
        </w:rPr>
        <w:t xml:space="preserve"> intelektinės nuosavybės teises į visą skysčių chromatografo technologiją ir programinę įrangą</w:t>
      </w:r>
      <w:r w:rsidR="00706770">
        <w:rPr>
          <w:rFonts w:cstheme="minorHAnsi"/>
          <w:sz w:val="24"/>
          <w:szCs w:val="24"/>
        </w:rPr>
        <w:t xml:space="preserve">, todėl tik </w:t>
      </w:r>
      <w:r w:rsidR="00073BB9" w:rsidRPr="00073BB9">
        <w:rPr>
          <w:rFonts w:cstheme="minorHAnsi"/>
          <w:sz w:val="24"/>
          <w:szCs w:val="24"/>
        </w:rPr>
        <w:t xml:space="preserve">šis gamintojas gali užtikrinti </w:t>
      </w:r>
      <w:r w:rsidR="006E00CC">
        <w:rPr>
          <w:rFonts w:cstheme="minorHAnsi"/>
          <w:sz w:val="24"/>
          <w:szCs w:val="24"/>
        </w:rPr>
        <w:t>tinkamą</w:t>
      </w:r>
      <w:r w:rsidR="006E00CC" w:rsidRPr="00073BB9">
        <w:rPr>
          <w:rFonts w:cstheme="minorHAnsi"/>
          <w:sz w:val="24"/>
          <w:szCs w:val="24"/>
        </w:rPr>
        <w:t xml:space="preserve"> </w:t>
      </w:r>
      <w:r w:rsidR="00706770">
        <w:rPr>
          <w:rFonts w:cstheme="minorHAnsi"/>
          <w:sz w:val="24"/>
          <w:szCs w:val="24"/>
        </w:rPr>
        <w:t>S</w:t>
      </w:r>
      <w:r w:rsidR="00073BB9" w:rsidRPr="00073BB9">
        <w:rPr>
          <w:rFonts w:cstheme="minorHAnsi"/>
          <w:sz w:val="24"/>
          <w:szCs w:val="24"/>
        </w:rPr>
        <w:t>istemos veikimą, įskaitant naujų funkcijų integraciją ir jau esamų komponentų pakeitimą.</w:t>
      </w:r>
      <w:r w:rsidR="00485C8F">
        <w:rPr>
          <w:rFonts w:cstheme="minorHAnsi"/>
          <w:sz w:val="24"/>
          <w:szCs w:val="24"/>
        </w:rPr>
        <w:t xml:space="preserve"> Perkančioji organizacija kartu su prašymu pateikė </w:t>
      </w:r>
      <w:r w:rsidR="008B642B">
        <w:rPr>
          <w:rFonts w:cstheme="minorHAnsi"/>
          <w:sz w:val="24"/>
          <w:szCs w:val="24"/>
        </w:rPr>
        <w:t xml:space="preserve">Sistemos gamintojo </w:t>
      </w:r>
      <w:bookmarkStart w:id="2" w:name="_Hlk188363422"/>
      <w:r w:rsidR="00642459">
        <w:rPr>
          <w:rFonts w:cstheme="minorHAnsi"/>
          <w:sz w:val="24"/>
          <w:szCs w:val="24"/>
        </w:rPr>
        <w:t>Shimadzu Europa GmbH</w:t>
      </w:r>
      <w:r w:rsidR="00A510B2">
        <w:rPr>
          <w:rFonts w:cstheme="minorHAnsi"/>
          <w:sz w:val="24"/>
          <w:szCs w:val="24"/>
        </w:rPr>
        <w:t xml:space="preserve"> </w:t>
      </w:r>
      <w:bookmarkEnd w:id="2"/>
      <w:r w:rsidR="00A510B2">
        <w:rPr>
          <w:rFonts w:cstheme="minorHAnsi"/>
          <w:sz w:val="24"/>
          <w:szCs w:val="24"/>
        </w:rPr>
        <w:t>2024-04-02 raštą</w:t>
      </w:r>
      <w:r w:rsidR="001823D5">
        <w:rPr>
          <w:rFonts w:cstheme="minorHAnsi"/>
          <w:sz w:val="24"/>
          <w:szCs w:val="24"/>
        </w:rPr>
        <w:t xml:space="preserve">, kuriuo patvirtinama, jog </w:t>
      </w:r>
      <w:r w:rsidR="006E00CC">
        <w:rPr>
          <w:rFonts w:cstheme="minorHAnsi"/>
          <w:sz w:val="24"/>
          <w:szCs w:val="24"/>
        </w:rPr>
        <w:lastRenderedPageBreak/>
        <w:t xml:space="preserve">įmonė </w:t>
      </w:r>
      <w:r w:rsidR="001823D5" w:rsidRPr="001823D5">
        <w:rPr>
          <w:rFonts w:cstheme="minorHAnsi"/>
          <w:sz w:val="24"/>
          <w:szCs w:val="24"/>
        </w:rPr>
        <w:t>UAB „Arm Gate“</w:t>
      </w:r>
      <w:r w:rsidR="001823D5">
        <w:rPr>
          <w:rFonts w:cstheme="minorHAnsi"/>
          <w:sz w:val="24"/>
          <w:szCs w:val="24"/>
        </w:rPr>
        <w:t xml:space="preserve"> yra </w:t>
      </w:r>
      <w:r w:rsidR="00C31393">
        <w:rPr>
          <w:rFonts w:cstheme="minorHAnsi"/>
          <w:sz w:val="24"/>
          <w:szCs w:val="24"/>
        </w:rPr>
        <w:t>oficialus</w:t>
      </w:r>
      <w:r w:rsidR="00EE17CA">
        <w:rPr>
          <w:rFonts w:cstheme="minorHAnsi"/>
          <w:sz w:val="24"/>
          <w:szCs w:val="24"/>
        </w:rPr>
        <w:t>,</w:t>
      </w:r>
      <w:r w:rsidR="00C31393">
        <w:rPr>
          <w:rFonts w:cstheme="minorHAnsi"/>
          <w:sz w:val="24"/>
          <w:szCs w:val="24"/>
        </w:rPr>
        <w:t xml:space="preserve"> įgaliotas atstovas Lietuvoje platinti</w:t>
      </w:r>
      <w:r w:rsidR="00EE17CA">
        <w:rPr>
          <w:rFonts w:cstheme="minorHAnsi"/>
          <w:sz w:val="24"/>
          <w:szCs w:val="24"/>
        </w:rPr>
        <w:t xml:space="preserve"> bei atlikti Shimadzu įrangos techninę priežiūrą</w:t>
      </w:r>
      <w:r w:rsidR="000F6A38">
        <w:rPr>
          <w:rFonts w:cstheme="minorHAnsi"/>
          <w:sz w:val="24"/>
          <w:szCs w:val="24"/>
        </w:rPr>
        <w:t xml:space="preserve"> ir</w:t>
      </w:r>
      <w:r w:rsidR="00EE17CA">
        <w:rPr>
          <w:rFonts w:cstheme="minorHAnsi"/>
          <w:sz w:val="24"/>
          <w:szCs w:val="24"/>
        </w:rPr>
        <w:t xml:space="preserve"> remontą.</w:t>
      </w:r>
    </w:p>
    <w:p w14:paraId="5E5301F5" w14:textId="5F96984F" w:rsidR="005C654F" w:rsidRDefault="004B7A95" w:rsidP="005C654F">
      <w:pPr>
        <w:spacing w:after="0" w:line="240" w:lineRule="auto"/>
        <w:ind w:left="284" w:right="141" w:firstLine="850"/>
        <w:jc w:val="both"/>
        <w:rPr>
          <w:rFonts w:cstheme="minorHAnsi"/>
          <w:sz w:val="24"/>
          <w:szCs w:val="24"/>
        </w:rPr>
      </w:pPr>
      <w:r>
        <w:rPr>
          <w:rFonts w:cstheme="minorHAnsi"/>
          <w:sz w:val="24"/>
          <w:szCs w:val="24"/>
        </w:rPr>
        <w:t>Atsižvelgiant į nurodytas ap</w:t>
      </w:r>
      <w:r w:rsidR="005C654F">
        <w:rPr>
          <w:rFonts w:cstheme="minorHAnsi"/>
          <w:sz w:val="24"/>
          <w:szCs w:val="24"/>
        </w:rPr>
        <w:t>l</w:t>
      </w:r>
      <w:r>
        <w:rPr>
          <w:rFonts w:cstheme="minorHAnsi"/>
          <w:sz w:val="24"/>
          <w:szCs w:val="24"/>
        </w:rPr>
        <w:t>inkybes</w:t>
      </w:r>
      <w:r w:rsidR="005C654F">
        <w:rPr>
          <w:rFonts w:cstheme="minorHAnsi"/>
          <w:sz w:val="24"/>
          <w:szCs w:val="24"/>
        </w:rPr>
        <w:t xml:space="preserve">, </w:t>
      </w:r>
      <w:r w:rsidR="006E00CC">
        <w:rPr>
          <w:rFonts w:cstheme="minorHAnsi"/>
          <w:sz w:val="24"/>
          <w:szCs w:val="24"/>
        </w:rPr>
        <w:t xml:space="preserve">bei </w:t>
      </w:r>
      <w:r w:rsidR="005C654F">
        <w:rPr>
          <w:rFonts w:cstheme="minorHAnsi"/>
          <w:sz w:val="24"/>
          <w:szCs w:val="24"/>
        </w:rPr>
        <w:t xml:space="preserve">siekiant </w:t>
      </w:r>
      <w:r w:rsidR="005C654F" w:rsidRPr="00073BB9">
        <w:rPr>
          <w:rFonts w:cstheme="minorHAnsi"/>
          <w:sz w:val="24"/>
          <w:szCs w:val="24"/>
        </w:rPr>
        <w:t>užtikrin</w:t>
      </w:r>
      <w:r w:rsidR="005C654F">
        <w:rPr>
          <w:rFonts w:cstheme="minorHAnsi"/>
          <w:sz w:val="24"/>
          <w:szCs w:val="24"/>
        </w:rPr>
        <w:t>ti</w:t>
      </w:r>
      <w:r w:rsidR="005C654F" w:rsidRPr="00073BB9">
        <w:rPr>
          <w:rFonts w:cstheme="minorHAnsi"/>
          <w:sz w:val="24"/>
          <w:szCs w:val="24"/>
        </w:rPr>
        <w:t xml:space="preserve"> sklandų ir patikimą </w:t>
      </w:r>
      <w:r w:rsidR="005C654F">
        <w:rPr>
          <w:rFonts w:cstheme="minorHAnsi"/>
          <w:sz w:val="24"/>
          <w:szCs w:val="24"/>
        </w:rPr>
        <w:t>turimos Sistemos</w:t>
      </w:r>
      <w:r w:rsidR="005C654F" w:rsidRPr="00073BB9">
        <w:rPr>
          <w:rFonts w:cstheme="minorHAnsi"/>
          <w:sz w:val="24"/>
          <w:szCs w:val="24"/>
        </w:rPr>
        <w:t xml:space="preserve"> veikimą</w:t>
      </w:r>
      <w:r w:rsidR="005C654F">
        <w:rPr>
          <w:rFonts w:cstheme="minorHAnsi"/>
          <w:sz w:val="24"/>
          <w:szCs w:val="24"/>
        </w:rPr>
        <w:t xml:space="preserve"> bei </w:t>
      </w:r>
      <w:r w:rsidR="005C654F" w:rsidRPr="00073BB9">
        <w:rPr>
          <w:rFonts w:cstheme="minorHAnsi"/>
          <w:sz w:val="24"/>
          <w:szCs w:val="24"/>
        </w:rPr>
        <w:t xml:space="preserve">tyrimų rezultatų patikimumą </w:t>
      </w:r>
      <w:r w:rsidR="005C654F">
        <w:rPr>
          <w:rFonts w:cstheme="minorHAnsi"/>
          <w:sz w:val="24"/>
          <w:szCs w:val="24"/>
        </w:rPr>
        <w:t>ir</w:t>
      </w:r>
      <w:r w:rsidR="005C654F" w:rsidRPr="00073BB9">
        <w:rPr>
          <w:rFonts w:cstheme="minorHAnsi"/>
          <w:sz w:val="24"/>
          <w:szCs w:val="24"/>
        </w:rPr>
        <w:t xml:space="preserve"> tikslumą</w:t>
      </w:r>
      <w:r w:rsidR="005C654F">
        <w:rPr>
          <w:rFonts w:cstheme="minorHAnsi"/>
          <w:sz w:val="24"/>
          <w:szCs w:val="24"/>
        </w:rPr>
        <w:t>, Perkančiosios organizacijos viešojo pirkimo „Skaitmeninė laboratorinė įranga“ komisija</w:t>
      </w:r>
      <w:r w:rsidR="006E00CC">
        <w:rPr>
          <w:rStyle w:val="FootnoteReference"/>
          <w:rFonts w:cstheme="minorHAnsi"/>
          <w:sz w:val="24"/>
          <w:szCs w:val="24"/>
        </w:rPr>
        <w:footnoteReference w:id="2"/>
      </w:r>
      <w:r w:rsidR="005C654F">
        <w:rPr>
          <w:rFonts w:cstheme="minorHAnsi"/>
          <w:sz w:val="24"/>
          <w:szCs w:val="24"/>
        </w:rPr>
        <w:t xml:space="preserve"> 2024-12-02 vykusio posėdžio metu priėmė sprendimą Sistemai skirtą </w:t>
      </w:r>
      <w:r w:rsidR="005C654F">
        <w:rPr>
          <w:rFonts w:cstheme="minorHAnsi"/>
          <w:bCs/>
          <w:sz w:val="24"/>
          <w:szCs w:val="24"/>
        </w:rPr>
        <w:t xml:space="preserve">fluorescencijos detektoriaus </w:t>
      </w:r>
      <w:r w:rsidR="005C654F" w:rsidRPr="00DE4EF4">
        <w:rPr>
          <w:rFonts w:cstheme="minorHAnsi"/>
          <w:bCs/>
          <w:sz w:val="24"/>
          <w:szCs w:val="24"/>
        </w:rPr>
        <w:t>Shimadzu RF-20a</w:t>
      </w:r>
      <w:r w:rsidR="005C654F">
        <w:rPr>
          <w:rFonts w:cstheme="minorHAnsi"/>
          <w:bCs/>
          <w:sz w:val="24"/>
          <w:szCs w:val="24"/>
        </w:rPr>
        <w:t xml:space="preserve"> pirkimą atlikti neskelbiamų derybų būdu, vadovaujantis Įstatymo 71 straipsnio 1 dalies 2 punkto b) papunkčiu</w:t>
      </w:r>
      <w:r w:rsidR="005C654F">
        <w:rPr>
          <w:rStyle w:val="FootnoteReference"/>
          <w:rFonts w:cstheme="minorHAnsi"/>
          <w:bCs/>
          <w:sz w:val="24"/>
          <w:szCs w:val="24"/>
        </w:rPr>
        <w:footnoteReference w:id="3"/>
      </w:r>
      <w:r w:rsidR="005C654F">
        <w:rPr>
          <w:rFonts w:cstheme="minorHAnsi"/>
          <w:bCs/>
          <w:sz w:val="24"/>
          <w:szCs w:val="24"/>
        </w:rPr>
        <w:t xml:space="preserve"> ir kreiptis į Tarnybą sutikimo dėl tokio pirkimo būdo pasirinkimo.</w:t>
      </w:r>
    </w:p>
    <w:p w14:paraId="5282F3F4" w14:textId="21B55115" w:rsidR="003C3188" w:rsidRDefault="00CB32A1" w:rsidP="00B10261">
      <w:pPr>
        <w:spacing w:after="0" w:line="240" w:lineRule="auto"/>
        <w:ind w:left="284" w:right="141" w:firstLine="850"/>
        <w:jc w:val="both"/>
        <w:rPr>
          <w:rFonts w:cstheme="minorHAnsi"/>
          <w:sz w:val="24"/>
          <w:szCs w:val="24"/>
        </w:rPr>
      </w:pPr>
      <w:r>
        <w:rPr>
          <w:rFonts w:cstheme="minorHAnsi"/>
          <w:sz w:val="24"/>
          <w:szCs w:val="24"/>
        </w:rPr>
        <w:t xml:space="preserve">Pirkimo vertė </w:t>
      </w:r>
      <w:r w:rsidR="003C3188">
        <w:rPr>
          <w:rFonts w:cstheme="minorHAnsi"/>
          <w:sz w:val="24"/>
          <w:szCs w:val="24"/>
        </w:rPr>
        <w:t>–</w:t>
      </w:r>
      <w:r>
        <w:rPr>
          <w:rFonts w:cstheme="minorHAnsi"/>
          <w:sz w:val="24"/>
          <w:szCs w:val="24"/>
        </w:rPr>
        <w:t xml:space="preserve"> </w:t>
      </w:r>
      <w:r w:rsidR="003C3188">
        <w:rPr>
          <w:rFonts w:cstheme="minorHAnsi"/>
          <w:sz w:val="24"/>
          <w:szCs w:val="24"/>
        </w:rPr>
        <w:t>20</w:t>
      </w:r>
      <w:r w:rsidR="000D76C2">
        <w:rPr>
          <w:rFonts w:cstheme="minorHAnsi"/>
          <w:sz w:val="24"/>
          <w:szCs w:val="24"/>
        </w:rPr>
        <w:t xml:space="preserve"> </w:t>
      </w:r>
      <w:r w:rsidR="003C3188">
        <w:rPr>
          <w:rFonts w:cstheme="minorHAnsi"/>
          <w:sz w:val="24"/>
          <w:szCs w:val="24"/>
        </w:rPr>
        <w:t>090,91 be PVM</w:t>
      </w:r>
      <w:r w:rsidR="002A50B1">
        <w:rPr>
          <w:rFonts w:cstheme="minorHAnsi"/>
          <w:sz w:val="24"/>
          <w:szCs w:val="24"/>
        </w:rPr>
        <w:t xml:space="preserve"> (</w:t>
      </w:r>
      <w:r w:rsidR="003C3188">
        <w:rPr>
          <w:rFonts w:cstheme="minorHAnsi"/>
          <w:sz w:val="24"/>
          <w:szCs w:val="24"/>
        </w:rPr>
        <w:t>24</w:t>
      </w:r>
      <w:r w:rsidR="000D76C2">
        <w:rPr>
          <w:rFonts w:cstheme="minorHAnsi"/>
          <w:sz w:val="24"/>
          <w:szCs w:val="24"/>
        </w:rPr>
        <w:t xml:space="preserve"> </w:t>
      </w:r>
      <w:r w:rsidR="003C3188">
        <w:rPr>
          <w:rFonts w:cstheme="minorHAnsi"/>
          <w:sz w:val="24"/>
          <w:szCs w:val="24"/>
        </w:rPr>
        <w:t>310,</w:t>
      </w:r>
      <w:r w:rsidR="002A50B1">
        <w:rPr>
          <w:rFonts w:cstheme="minorHAnsi"/>
          <w:sz w:val="24"/>
          <w:szCs w:val="24"/>
        </w:rPr>
        <w:t>00 Eur su PVM)</w:t>
      </w:r>
      <w:r w:rsidR="006C2309">
        <w:rPr>
          <w:rStyle w:val="FootnoteReference"/>
          <w:rFonts w:cstheme="minorHAnsi"/>
          <w:sz w:val="24"/>
          <w:szCs w:val="24"/>
        </w:rPr>
        <w:footnoteReference w:id="4"/>
      </w:r>
      <w:r w:rsidR="002A50B1">
        <w:rPr>
          <w:rFonts w:cstheme="minorHAnsi"/>
          <w:sz w:val="24"/>
          <w:szCs w:val="24"/>
        </w:rPr>
        <w:t>.</w:t>
      </w:r>
    </w:p>
    <w:p w14:paraId="11A6CB94" w14:textId="4964B00B" w:rsidR="00C946DE" w:rsidRDefault="00C946DE" w:rsidP="00C946DE">
      <w:pPr>
        <w:spacing w:after="0" w:line="240" w:lineRule="auto"/>
        <w:ind w:left="284" w:right="141" w:firstLine="850"/>
        <w:jc w:val="both"/>
        <w:rPr>
          <w:rFonts w:eastAsia="Calibri" w:cstheme="minorHAnsi"/>
          <w:sz w:val="24"/>
          <w:szCs w:val="24"/>
        </w:rPr>
      </w:pPr>
      <w:r w:rsidRPr="002A50B1">
        <w:rPr>
          <w:rFonts w:eastAsia="Calibri" w:cstheme="minorHAnsi"/>
          <w:sz w:val="24"/>
          <w:szCs w:val="24"/>
        </w:rPr>
        <w:t>Įstatymo 71 straipsnio 1 dalies 2 punkto b) papunktyje nustatyta, kad „Prekės, paslaugos ar darbai neskelbiamų derybų būdu gali būti perkami, &lt;...&gt; jeigu prekes patiekti, paslaugas teikti ar darbus atlikti gali tik konkretus tiekėjas dėl vienos iš šių priežasčių &lt;...&gt; b) konkurencijos nėra dėl techninių priežasčių“</w:t>
      </w:r>
      <w:r w:rsidR="00DC5A68" w:rsidRPr="002A50B1">
        <w:rPr>
          <w:rFonts w:eastAsia="Calibri" w:cstheme="minorHAnsi"/>
          <w:sz w:val="24"/>
          <w:szCs w:val="24"/>
        </w:rPr>
        <w:t>.</w:t>
      </w:r>
    </w:p>
    <w:p w14:paraId="44F0330E" w14:textId="2F5DFFFE" w:rsidR="000F5E9F" w:rsidRPr="001A6EEE" w:rsidRDefault="000D76C2" w:rsidP="000F5E9F">
      <w:pPr>
        <w:spacing w:after="0" w:line="240" w:lineRule="auto"/>
        <w:ind w:left="284" w:right="141" w:firstLine="850"/>
        <w:jc w:val="both"/>
        <w:rPr>
          <w:rFonts w:cstheme="minorHAnsi"/>
          <w:sz w:val="24"/>
          <w:szCs w:val="24"/>
        </w:rPr>
      </w:pPr>
      <w:r>
        <w:rPr>
          <w:rFonts w:cstheme="minorHAnsi"/>
          <w:sz w:val="24"/>
          <w:szCs w:val="24"/>
        </w:rPr>
        <w:t xml:space="preserve">Pažymėtina, kad </w:t>
      </w:r>
      <w:r w:rsidR="000F5E9F" w:rsidRPr="001A6EEE">
        <w:rPr>
          <w:rFonts w:cstheme="minorHAnsi"/>
          <w:sz w:val="24"/>
          <w:szCs w:val="24"/>
        </w:rPr>
        <w:t>Įstatymo 71 straipsnio nuostatomis įgyvendinamos Europos Parlamento ir Tarybos 2014 m. vasario 26 d. direktyvos 2014/24/ES dėl vi</w:t>
      </w:r>
      <w:r w:rsidR="000F5E9F" w:rsidRPr="001A6EEE">
        <w:rPr>
          <w:rFonts w:cstheme="minorHAnsi"/>
          <w:color w:val="000000"/>
          <w:sz w:val="24"/>
          <w:szCs w:val="24"/>
        </w:rPr>
        <w:t>ešųjų pirkimų, kuria panaikinama Direktyva 2004/18/EB, 32 straipsnio, reglamentuojančio neskelbiamas derybas, nuostatos. Europos Sąjungos Teisingumo Teismas (toliau – ESTT) nuosekliai formuoja teisminę praktiką, akcentuojančią, jog neskelbiamų derybų pirkimo būdas turi būti taikomas išimtiniais atvejais, įrodinėjimo pareigai tenkant tai šaliai, kuri atitinkamu įrodymu remiasi</w:t>
      </w:r>
      <w:r w:rsidR="000F5E9F" w:rsidRPr="001A6EEE">
        <w:rPr>
          <w:rStyle w:val="FootnoteReference"/>
          <w:rFonts w:cstheme="minorHAnsi"/>
          <w:color w:val="000000"/>
          <w:sz w:val="24"/>
          <w:szCs w:val="24"/>
        </w:rPr>
        <w:footnoteReference w:id="5"/>
      </w:r>
      <w:r w:rsidR="000F5E9F" w:rsidRPr="001A6EEE">
        <w:rPr>
          <w:rFonts w:cstheme="minorHAnsi"/>
          <w:color w:val="000000"/>
          <w:sz w:val="24"/>
          <w:szCs w:val="24"/>
        </w:rPr>
        <w:t>.</w:t>
      </w:r>
    </w:p>
    <w:p w14:paraId="181A2E5D" w14:textId="604B7B00" w:rsidR="00435F85" w:rsidRDefault="000F5E9F" w:rsidP="008206C8">
      <w:pPr>
        <w:spacing w:after="0" w:line="240" w:lineRule="auto"/>
        <w:ind w:left="284" w:right="141" w:firstLine="850"/>
        <w:jc w:val="both"/>
        <w:rPr>
          <w:rFonts w:cstheme="minorHAnsi"/>
          <w:sz w:val="24"/>
          <w:szCs w:val="24"/>
        </w:rPr>
      </w:pPr>
      <w:r w:rsidRPr="001A6EEE">
        <w:rPr>
          <w:rFonts w:cstheme="minorHAnsi"/>
          <w:sz w:val="24"/>
          <w:szCs w:val="24"/>
        </w:rPr>
        <w:t xml:space="preserve">Atsižvelgiant į tai, kad </w:t>
      </w:r>
      <w:r w:rsidR="00047593" w:rsidRPr="001A6EEE">
        <w:rPr>
          <w:rFonts w:cstheme="minorHAnsi"/>
          <w:sz w:val="24"/>
          <w:szCs w:val="24"/>
        </w:rPr>
        <w:t xml:space="preserve">pirkimo vykdymas </w:t>
      </w:r>
      <w:r w:rsidRPr="001A6EEE">
        <w:rPr>
          <w:rFonts w:cstheme="minorHAnsi"/>
          <w:sz w:val="24"/>
          <w:szCs w:val="24"/>
        </w:rPr>
        <w:t xml:space="preserve">neskelbiamų derybų būdu yra Įstatymo išimtis, todėl sąlygos, leidžiančios atlikti pirkimą tokiu būdu, turi būti aiškinamos itin siaurai, grindžiant jas akivaizdžiais įrodymais. Europos Parlamento ir Tarybos 2014 m. vasario 26 d. direktyvos 2014/24/ES dėl viešųjų pirkimų, kuria panaikinama Direktyva 2004/18/EB preambulėje </w:t>
      </w:r>
      <w:r w:rsidR="00FA53E1">
        <w:rPr>
          <w:rFonts w:cstheme="minorHAnsi"/>
          <w:sz w:val="24"/>
          <w:szCs w:val="24"/>
        </w:rPr>
        <w:t xml:space="preserve">akcentuojamas ne tik išimtinis </w:t>
      </w:r>
      <w:r w:rsidR="007F2BF2">
        <w:rPr>
          <w:rFonts w:cstheme="minorHAnsi"/>
          <w:sz w:val="24"/>
          <w:szCs w:val="24"/>
        </w:rPr>
        <w:t xml:space="preserve">neskelbiamų derybų taikymo pobūdis, bet </w:t>
      </w:r>
      <w:r w:rsidR="006061C2">
        <w:rPr>
          <w:rFonts w:cstheme="minorHAnsi"/>
          <w:sz w:val="24"/>
          <w:szCs w:val="24"/>
        </w:rPr>
        <w:t xml:space="preserve">ir </w:t>
      </w:r>
      <w:r w:rsidR="00D34C9F">
        <w:rPr>
          <w:rFonts w:cstheme="minorHAnsi"/>
          <w:sz w:val="24"/>
          <w:szCs w:val="24"/>
        </w:rPr>
        <w:t xml:space="preserve">reikalavimas, jog perkančioji organizacija nebūtų savo veiksmais sukūrusi </w:t>
      </w:r>
      <w:r w:rsidR="008023B0">
        <w:rPr>
          <w:rFonts w:cstheme="minorHAnsi"/>
          <w:sz w:val="24"/>
          <w:szCs w:val="24"/>
        </w:rPr>
        <w:t>išimtinių sąlygų padėties konkrečiam tiekėjui:</w:t>
      </w:r>
      <w:r w:rsidRPr="001A6EEE">
        <w:rPr>
          <w:rFonts w:cstheme="minorHAnsi"/>
          <w:sz w:val="24"/>
          <w:szCs w:val="24"/>
        </w:rPr>
        <w:t xml:space="preserve"> </w:t>
      </w:r>
      <w:r w:rsidRPr="009159D8">
        <w:rPr>
          <w:rFonts w:cstheme="minorHAnsi"/>
          <w:sz w:val="24"/>
          <w:szCs w:val="24"/>
        </w:rPr>
        <w:t xml:space="preserve">„&lt;...&gt; (50) </w:t>
      </w:r>
      <w:r w:rsidR="008206C8" w:rsidRPr="008206C8">
        <w:rPr>
          <w:rFonts w:cstheme="minorHAnsi"/>
          <w:sz w:val="24"/>
          <w:szCs w:val="24"/>
        </w:rPr>
        <w:t xml:space="preserve">atsižvelgiant į žalingus padarinius konkurencijai, derybos be išankstinio skelbimo apie pirkimą turėtų būti naudojamos tik išimtinėmis aplinkybėmis. Ši išimtis turėtų būti taikoma tik tais atvejais, kai </w:t>
      </w:r>
      <w:r w:rsidR="000D76C2">
        <w:rPr>
          <w:rFonts w:cstheme="minorHAnsi"/>
          <w:sz w:val="24"/>
          <w:szCs w:val="24"/>
        </w:rPr>
        <w:t xml:space="preserve">&lt;...&gt; </w:t>
      </w:r>
      <w:r w:rsidR="008206C8" w:rsidRPr="008206C8">
        <w:rPr>
          <w:rFonts w:cstheme="minorHAnsi"/>
          <w:sz w:val="24"/>
          <w:szCs w:val="24"/>
        </w:rPr>
        <w:t>nuo pat pradžių aišku, kad paskelbimas nesukels didesnės konkurencijos ar neužtikrins geresnių pirkimo rezultatų, ypač jeigu vertinant objektyviai yra tik vienas ekonominės veiklos vykdytojas, galintis įvykdyti sutartį</w:t>
      </w:r>
      <w:r w:rsidR="000E237F">
        <w:rPr>
          <w:rFonts w:cstheme="minorHAnsi"/>
          <w:sz w:val="24"/>
          <w:szCs w:val="24"/>
        </w:rPr>
        <w:t xml:space="preserve"> &lt;...&gt;</w:t>
      </w:r>
      <w:r w:rsidR="008206C8" w:rsidRPr="008206C8">
        <w:rPr>
          <w:rFonts w:cstheme="minorHAnsi"/>
          <w:sz w:val="24"/>
          <w:szCs w:val="24"/>
        </w:rPr>
        <w:t xml:space="preserve"> derybų be išankstinio skelbimo apie pirkimą naudojimą galima pagrįsti tik objektyvaus išskirtinumo atveju, jeigu išskirtinumo padėtis numatant būsimą pirkimo procedūrą nebuvo sukurta pačios perkančiosios organizacijos.</w:t>
      </w:r>
      <w:r w:rsidR="00C85C11">
        <w:rPr>
          <w:rFonts w:cstheme="minorHAnsi"/>
          <w:sz w:val="24"/>
          <w:szCs w:val="24"/>
        </w:rPr>
        <w:t xml:space="preserve"> </w:t>
      </w:r>
      <w:r w:rsidR="008206C8" w:rsidRPr="008206C8">
        <w:rPr>
          <w:rFonts w:cstheme="minorHAnsi"/>
          <w:sz w:val="24"/>
          <w:szCs w:val="24"/>
        </w:rPr>
        <w:t>Šia išimtimi besiremiančios perkančiosios organizacijos turėtų nurodyti priežastis, kodėl nėra pagrįstų alternatyvų ar pakaitalų, pavyzdžiui, naudojant alternatyvius platinimo kanalus, įskaitant už perkančiosios organizacijos valstybės narės ribų, arba renkantis funkcijų atžvilgiu panašius darbus, prekes ir paslaugas</w:t>
      </w:r>
      <w:r w:rsidR="00C85C11">
        <w:rPr>
          <w:rFonts w:cstheme="minorHAnsi"/>
          <w:sz w:val="24"/>
          <w:szCs w:val="24"/>
        </w:rPr>
        <w:t xml:space="preserve"> &lt;...&gt;“.</w:t>
      </w:r>
      <w:r w:rsidR="00435F85">
        <w:rPr>
          <w:rFonts w:cstheme="minorHAnsi"/>
          <w:sz w:val="24"/>
          <w:szCs w:val="24"/>
        </w:rPr>
        <w:t xml:space="preserve"> Analogiškos nuostatos įtvirtintos ir </w:t>
      </w:r>
      <w:r w:rsidR="00E743CA">
        <w:rPr>
          <w:rFonts w:cstheme="minorHAnsi"/>
          <w:sz w:val="24"/>
          <w:szCs w:val="24"/>
        </w:rPr>
        <w:t xml:space="preserve">Įstatymo </w:t>
      </w:r>
      <w:r w:rsidR="00CD2967">
        <w:rPr>
          <w:rFonts w:cstheme="minorHAnsi"/>
          <w:sz w:val="24"/>
          <w:szCs w:val="24"/>
        </w:rPr>
        <w:t>71 straipsnio 2 dalyje:</w:t>
      </w:r>
      <w:r w:rsidR="00154733">
        <w:rPr>
          <w:rFonts w:cstheme="minorHAnsi"/>
          <w:sz w:val="24"/>
          <w:szCs w:val="24"/>
        </w:rPr>
        <w:t xml:space="preserve"> „</w:t>
      </w:r>
      <w:r w:rsidR="00CD2967" w:rsidRPr="00CD2967">
        <w:rPr>
          <w:rFonts w:cstheme="minorHAnsi"/>
          <w:sz w:val="24"/>
          <w:szCs w:val="24"/>
        </w:rPr>
        <w:t>Šio straipsnio 1 dalies 2 punkto b ir c papunkčiai gali būti taikomi tik tuo atveju, kai nėra pagrįstos alternatyvos ar pakaitalo ir konkurencijos nebuvimas nėra sukurtas perkančiosios organizacijos, jai dirbtinai sugriežtinus pirkimo reikalavimus.</w:t>
      </w:r>
      <w:r w:rsidR="00154733">
        <w:rPr>
          <w:rFonts w:cstheme="minorHAnsi"/>
          <w:sz w:val="24"/>
          <w:szCs w:val="24"/>
        </w:rPr>
        <w:t>“</w:t>
      </w:r>
    </w:p>
    <w:p w14:paraId="422FF99E" w14:textId="5CC0D3C1" w:rsidR="00024424" w:rsidRDefault="00154733" w:rsidP="00D343EC">
      <w:pPr>
        <w:spacing w:after="0" w:line="240" w:lineRule="auto"/>
        <w:ind w:left="284" w:right="141" w:firstLine="850"/>
        <w:jc w:val="both"/>
        <w:rPr>
          <w:rFonts w:cstheme="minorHAnsi"/>
          <w:sz w:val="24"/>
          <w:szCs w:val="24"/>
        </w:rPr>
      </w:pPr>
      <w:r>
        <w:rPr>
          <w:rFonts w:cstheme="minorHAnsi"/>
          <w:sz w:val="24"/>
          <w:szCs w:val="24"/>
        </w:rPr>
        <w:t xml:space="preserve">Nagrinėjamu atveju nustatyta, jog </w:t>
      </w:r>
      <w:r w:rsidR="00047593">
        <w:rPr>
          <w:rFonts w:cstheme="minorHAnsi"/>
          <w:sz w:val="24"/>
          <w:szCs w:val="24"/>
        </w:rPr>
        <w:t xml:space="preserve">įmonė </w:t>
      </w:r>
      <w:r w:rsidRPr="00154733">
        <w:rPr>
          <w:rFonts w:cstheme="minorHAnsi"/>
          <w:sz w:val="24"/>
          <w:szCs w:val="24"/>
        </w:rPr>
        <w:t>UAB „Arm Gate“ 2024-09-02 paramos teikimo sutarties (toliau – Paramos sutartis) pagrindu, Perkančiajai organizacijai perdavė naudotą skysčių chromatografą, susidedant</w:t>
      </w:r>
      <w:r w:rsidR="008F5EAE">
        <w:rPr>
          <w:rFonts w:cstheme="minorHAnsi"/>
          <w:sz w:val="24"/>
          <w:szCs w:val="24"/>
        </w:rPr>
        <w:t>į</w:t>
      </w:r>
      <w:r w:rsidRPr="00154733">
        <w:rPr>
          <w:rFonts w:cstheme="minorHAnsi"/>
          <w:sz w:val="24"/>
          <w:szCs w:val="24"/>
        </w:rPr>
        <w:t xml:space="preserve"> iš: kontrolerio įrenginio, UV-VIS detektoriaus įrenginio, krosnelės įrenginio, degazerio įrenginio, siurblio B, siurblio A, autoinjektoriaus įrenginio (</w:t>
      </w:r>
      <w:r w:rsidR="008411D9">
        <w:rPr>
          <w:rFonts w:cstheme="minorHAnsi"/>
          <w:sz w:val="24"/>
          <w:szCs w:val="24"/>
        </w:rPr>
        <w:t xml:space="preserve">perduotos įrangos vertė </w:t>
      </w:r>
      <w:r w:rsidRPr="00154733">
        <w:rPr>
          <w:rFonts w:cstheme="minorHAnsi"/>
          <w:sz w:val="24"/>
          <w:szCs w:val="24"/>
        </w:rPr>
        <w:t xml:space="preserve">890,76 Eur). </w:t>
      </w:r>
      <w:r w:rsidR="008411D9">
        <w:rPr>
          <w:rFonts w:cstheme="minorHAnsi"/>
          <w:sz w:val="24"/>
          <w:szCs w:val="24"/>
        </w:rPr>
        <w:t xml:space="preserve">Šiuo </w:t>
      </w:r>
      <w:r w:rsidR="00F510D0">
        <w:rPr>
          <w:rFonts w:cstheme="minorHAnsi"/>
          <w:sz w:val="24"/>
          <w:szCs w:val="24"/>
        </w:rPr>
        <w:t xml:space="preserve">Pirkimu </w:t>
      </w:r>
      <w:r w:rsidR="008411D9">
        <w:rPr>
          <w:rFonts w:cstheme="minorHAnsi"/>
          <w:sz w:val="24"/>
          <w:szCs w:val="24"/>
        </w:rPr>
        <w:t xml:space="preserve">Perkančioji organizacija </w:t>
      </w:r>
      <w:r w:rsidR="00F510D0">
        <w:rPr>
          <w:rFonts w:cstheme="minorHAnsi"/>
          <w:sz w:val="24"/>
          <w:szCs w:val="24"/>
        </w:rPr>
        <w:t xml:space="preserve">siekia </w:t>
      </w:r>
      <w:r w:rsidR="00F510D0" w:rsidRPr="001C0D45">
        <w:rPr>
          <w:rFonts w:cstheme="minorHAnsi"/>
          <w:sz w:val="24"/>
          <w:szCs w:val="24"/>
        </w:rPr>
        <w:t xml:space="preserve">įsigyti </w:t>
      </w:r>
      <w:r w:rsidR="001C0D45" w:rsidRPr="001C0D45">
        <w:rPr>
          <w:rFonts w:cstheme="minorHAnsi"/>
          <w:sz w:val="24"/>
          <w:szCs w:val="24"/>
        </w:rPr>
        <w:t>f</w:t>
      </w:r>
      <w:r w:rsidR="008342FB" w:rsidRPr="001C0D45">
        <w:rPr>
          <w:rFonts w:cstheme="minorHAnsi"/>
          <w:sz w:val="24"/>
          <w:szCs w:val="24"/>
        </w:rPr>
        <w:t>luorescencijos detektori</w:t>
      </w:r>
      <w:r w:rsidR="001C0D45" w:rsidRPr="001C0D45">
        <w:rPr>
          <w:rFonts w:cstheme="minorHAnsi"/>
          <w:sz w:val="24"/>
          <w:szCs w:val="24"/>
        </w:rPr>
        <w:t>ų</w:t>
      </w:r>
      <w:r w:rsidR="008342FB" w:rsidRPr="001C0D45">
        <w:rPr>
          <w:rFonts w:cstheme="minorHAnsi"/>
          <w:sz w:val="24"/>
          <w:szCs w:val="24"/>
        </w:rPr>
        <w:t xml:space="preserve"> </w:t>
      </w:r>
      <w:r w:rsidR="008342FB" w:rsidRPr="001C0D45">
        <w:rPr>
          <w:rFonts w:cstheme="minorHAnsi"/>
          <w:sz w:val="24"/>
          <w:szCs w:val="24"/>
        </w:rPr>
        <w:lastRenderedPageBreak/>
        <w:t>Shimadzu RF-20a</w:t>
      </w:r>
      <w:r w:rsidR="00454EA6" w:rsidRPr="001C0D45">
        <w:rPr>
          <w:rFonts w:cstheme="minorHAnsi"/>
          <w:sz w:val="24"/>
          <w:szCs w:val="24"/>
        </w:rPr>
        <w:t xml:space="preserve">, </w:t>
      </w:r>
      <w:r w:rsidR="008411D9">
        <w:rPr>
          <w:rFonts w:cstheme="minorHAnsi"/>
          <w:sz w:val="24"/>
          <w:szCs w:val="24"/>
        </w:rPr>
        <w:t xml:space="preserve">kuris būtų naudojamas </w:t>
      </w:r>
      <w:r w:rsidR="00047593">
        <w:rPr>
          <w:rFonts w:cstheme="minorHAnsi"/>
          <w:sz w:val="24"/>
          <w:szCs w:val="24"/>
        </w:rPr>
        <w:t xml:space="preserve">kartu </w:t>
      </w:r>
      <w:r w:rsidR="008411D9">
        <w:rPr>
          <w:rFonts w:cstheme="minorHAnsi"/>
          <w:sz w:val="24"/>
          <w:szCs w:val="24"/>
        </w:rPr>
        <w:t xml:space="preserve">su </w:t>
      </w:r>
      <w:r w:rsidR="00393109" w:rsidRPr="001C0D45">
        <w:rPr>
          <w:rFonts w:cstheme="minorHAnsi"/>
          <w:sz w:val="24"/>
          <w:szCs w:val="24"/>
        </w:rPr>
        <w:t xml:space="preserve">Paramos sutartimi </w:t>
      </w:r>
      <w:r w:rsidR="00454EA6" w:rsidRPr="001C0D45">
        <w:rPr>
          <w:rFonts w:cstheme="minorHAnsi"/>
          <w:sz w:val="24"/>
          <w:szCs w:val="24"/>
        </w:rPr>
        <w:t xml:space="preserve">gauta Sistema. </w:t>
      </w:r>
      <w:r w:rsidR="001C0D45">
        <w:rPr>
          <w:rFonts w:cstheme="minorHAnsi"/>
          <w:sz w:val="24"/>
          <w:szCs w:val="24"/>
        </w:rPr>
        <w:t>Perkančioji organizacija Tarnybai pa</w:t>
      </w:r>
      <w:r w:rsidR="0017677F">
        <w:rPr>
          <w:rFonts w:cstheme="minorHAnsi"/>
          <w:sz w:val="24"/>
          <w:szCs w:val="24"/>
        </w:rPr>
        <w:t>teikė papildomus paaiškinimus</w:t>
      </w:r>
      <w:r w:rsidR="00C649CB">
        <w:rPr>
          <w:rStyle w:val="FootnoteReference"/>
          <w:rFonts w:cstheme="minorHAnsi"/>
          <w:sz w:val="24"/>
          <w:szCs w:val="24"/>
        </w:rPr>
        <w:footnoteReference w:id="6"/>
      </w:r>
      <w:r w:rsidR="0017677F">
        <w:rPr>
          <w:rFonts w:cstheme="minorHAnsi"/>
          <w:sz w:val="24"/>
          <w:szCs w:val="24"/>
        </w:rPr>
        <w:t xml:space="preserve"> dėl </w:t>
      </w:r>
      <w:r w:rsidR="008411D9">
        <w:rPr>
          <w:rFonts w:cstheme="minorHAnsi"/>
          <w:sz w:val="24"/>
          <w:szCs w:val="24"/>
        </w:rPr>
        <w:t xml:space="preserve">poreikio ateityje vykdyti </w:t>
      </w:r>
      <w:r w:rsidR="00047593">
        <w:rPr>
          <w:rFonts w:cstheme="minorHAnsi"/>
          <w:sz w:val="24"/>
          <w:szCs w:val="24"/>
        </w:rPr>
        <w:t xml:space="preserve">kitus </w:t>
      </w:r>
      <w:r w:rsidR="001F1FF5">
        <w:rPr>
          <w:rFonts w:cstheme="minorHAnsi"/>
          <w:sz w:val="24"/>
          <w:szCs w:val="24"/>
        </w:rPr>
        <w:t>pirkim</w:t>
      </w:r>
      <w:r w:rsidR="008411D9">
        <w:rPr>
          <w:rFonts w:cstheme="minorHAnsi"/>
          <w:sz w:val="24"/>
          <w:szCs w:val="24"/>
        </w:rPr>
        <w:t xml:space="preserve">us, kurie reikalingi (būtini) siekiant užtikrinti </w:t>
      </w:r>
      <w:r w:rsidR="001F1FF5">
        <w:rPr>
          <w:rFonts w:cstheme="minorHAnsi"/>
          <w:sz w:val="24"/>
          <w:szCs w:val="24"/>
        </w:rPr>
        <w:t>S</w:t>
      </w:r>
      <w:r w:rsidR="006D583D">
        <w:rPr>
          <w:rFonts w:cstheme="minorHAnsi"/>
          <w:sz w:val="24"/>
          <w:szCs w:val="24"/>
        </w:rPr>
        <w:t xml:space="preserve">istemos </w:t>
      </w:r>
      <w:r w:rsidR="008411D9">
        <w:rPr>
          <w:rFonts w:cstheme="minorHAnsi"/>
          <w:sz w:val="24"/>
          <w:szCs w:val="24"/>
        </w:rPr>
        <w:t xml:space="preserve">tinkamą veikimą bei </w:t>
      </w:r>
      <w:r w:rsidR="00307AA7">
        <w:rPr>
          <w:rFonts w:cstheme="minorHAnsi"/>
          <w:sz w:val="24"/>
          <w:szCs w:val="24"/>
        </w:rPr>
        <w:t>eksploatavim</w:t>
      </w:r>
      <w:r w:rsidR="008411D9">
        <w:rPr>
          <w:rFonts w:cstheme="minorHAnsi"/>
          <w:sz w:val="24"/>
          <w:szCs w:val="24"/>
        </w:rPr>
        <w:t>ą</w:t>
      </w:r>
      <w:r w:rsidR="00047593">
        <w:rPr>
          <w:rFonts w:cstheme="minorHAnsi"/>
          <w:sz w:val="24"/>
          <w:szCs w:val="24"/>
        </w:rPr>
        <w:t xml:space="preserve"> ateityje</w:t>
      </w:r>
      <w:r w:rsidR="008411D9">
        <w:rPr>
          <w:rFonts w:cstheme="minorHAnsi"/>
          <w:sz w:val="24"/>
          <w:szCs w:val="24"/>
        </w:rPr>
        <w:t>, t. y. Perkančioji organizacija</w:t>
      </w:r>
      <w:r w:rsidR="001F1FF5">
        <w:rPr>
          <w:rFonts w:cstheme="minorHAnsi"/>
          <w:sz w:val="24"/>
          <w:szCs w:val="24"/>
        </w:rPr>
        <w:t xml:space="preserve"> </w:t>
      </w:r>
      <w:r w:rsidR="00047593">
        <w:rPr>
          <w:rFonts w:cstheme="minorHAnsi"/>
          <w:sz w:val="24"/>
          <w:szCs w:val="24"/>
        </w:rPr>
        <w:t>paaiškino</w:t>
      </w:r>
      <w:r w:rsidR="001F1FF5">
        <w:rPr>
          <w:rFonts w:cstheme="minorHAnsi"/>
          <w:sz w:val="24"/>
          <w:szCs w:val="24"/>
        </w:rPr>
        <w:t xml:space="preserve">, jog </w:t>
      </w:r>
      <w:r w:rsidR="005203F6">
        <w:rPr>
          <w:rFonts w:cstheme="minorHAnsi"/>
          <w:sz w:val="24"/>
          <w:szCs w:val="24"/>
        </w:rPr>
        <w:t xml:space="preserve">Sistemą planuoja naudoti ne mažiau kaip 10 metų ir </w:t>
      </w:r>
      <w:r w:rsidR="00024424">
        <w:rPr>
          <w:rFonts w:cstheme="minorHAnsi"/>
          <w:bCs/>
          <w:sz w:val="24"/>
          <w:szCs w:val="24"/>
        </w:rPr>
        <w:t>a</w:t>
      </w:r>
      <w:r w:rsidR="00024424" w:rsidRPr="00671C75">
        <w:rPr>
          <w:rFonts w:cstheme="minorHAnsi"/>
          <w:bCs/>
          <w:sz w:val="24"/>
          <w:szCs w:val="24"/>
        </w:rPr>
        <w:t>teityje</w:t>
      </w:r>
      <w:r w:rsidR="00217017">
        <w:rPr>
          <w:rFonts w:cstheme="minorHAnsi"/>
          <w:bCs/>
          <w:sz w:val="24"/>
          <w:szCs w:val="24"/>
        </w:rPr>
        <w:t xml:space="preserve">, atsižvelgiant į </w:t>
      </w:r>
      <w:r w:rsidR="008411D9">
        <w:rPr>
          <w:rFonts w:cstheme="minorHAnsi"/>
          <w:bCs/>
          <w:sz w:val="24"/>
          <w:szCs w:val="24"/>
        </w:rPr>
        <w:t>poreikį</w:t>
      </w:r>
      <w:r w:rsidR="00217017">
        <w:rPr>
          <w:rFonts w:cstheme="minorHAnsi"/>
          <w:bCs/>
          <w:sz w:val="24"/>
          <w:szCs w:val="24"/>
        </w:rPr>
        <w:t>,</w:t>
      </w:r>
      <w:r w:rsidR="008411D9">
        <w:rPr>
          <w:rFonts w:cstheme="minorHAnsi"/>
          <w:bCs/>
          <w:sz w:val="24"/>
          <w:szCs w:val="24"/>
        </w:rPr>
        <w:t xml:space="preserve"> </w:t>
      </w:r>
      <w:r w:rsidR="00024424" w:rsidRPr="00671C75">
        <w:rPr>
          <w:rFonts w:cstheme="minorHAnsi"/>
          <w:bCs/>
          <w:sz w:val="24"/>
          <w:szCs w:val="24"/>
        </w:rPr>
        <w:t>planuoja</w:t>
      </w:r>
      <w:r w:rsidR="008411D9">
        <w:rPr>
          <w:rFonts w:cstheme="minorHAnsi"/>
          <w:bCs/>
          <w:sz w:val="24"/>
          <w:szCs w:val="24"/>
        </w:rPr>
        <w:t xml:space="preserve"> </w:t>
      </w:r>
      <w:r w:rsidR="00024424" w:rsidRPr="00671C75">
        <w:rPr>
          <w:rFonts w:cstheme="minorHAnsi"/>
          <w:bCs/>
          <w:sz w:val="24"/>
          <w:szCs w:val="24"/>
        </w:rPr>
        <w:t>vykdyti</w:t>
      </w:r>
      <w:r w:rsidR="008411D9">
        <w:rPr>
          <w:rFonts w:cstheme="minorHAnsi"/>
          <w:bCs/>
          <w:sz w:val="24"/>
          <w:szCs w:val="24"/>
        </w:rPr>
        <w:t xml:space="preserve"> kitus</w:t>
      </w:r>
      <w:r w:rsidR="00024424" w:rsidRPr="00671C75">
        <w:rPr>
          <w:rFonts w:cstheme="minorHAnsi"/>
          <w:bCs/>
          <w:sz w:val="24"/>
          <w:szCs w:val="24"/>
        </w:rPr>
        <w:t xml:space="preserve"> pirkimus</w:t>
      </w:r>
      <w:r w:rsidR="00024424">
        <w:rPr>
          <w:rFonts w:cstheme="minorHAnsi"/>
          <w:bCs/>
          <w:sz w:val="24"/>
          <w:szCs w:val="24"/>
        </w:rPr>
        <w:t>,</w:t>
      </w:r>
      <w:r w:rsidR="00024424" w:rsidRPr="00671C75">
        <w:rPr>
          <w:rFonts w:cstheme="minorHAnsi"/>
          <w:bCs/>
          <w:sz w:val="24"/>
          <w:szCs w:val="24"/>
        </w:rPr>
        <w:t xml:space="preserve"> susijusius su atsarginių dalių įsigijimu, remontu, priežiūra ir aptarnavimu, kadangi poreikis atlikti chromatografines analizes, </w:t>
      </w:r>
      <w:r w:rsidR="008411D9">
        <w:rPr>
          <w:rFonts w:cstheme="minorHAnsi"/>
          <w:bCs/>
          <w:sz w:val="24"/>
          <w:szCs w:val="24"/>
        </w:rPr>
        <w:t xml:space="preserve">tokių analizių </w:t>
      </w:r>
      <w:r w:rsidR="00024424" w:rsidRPr="00671C75">
        <w:rPr>
          <w:rFonts w:cstheme="minorHAnsi"/>
          <w:bCs/>
          <w:sz w:val="24"/>
          <w:szCs w:val="24"/>
        </w:rPr>
        <w:t>skaičius ir nustatomų junginių spektras didėja</w:t>
      </w:r>
      <w:r w:rsidR="008411D9">
        <w:rPr>
          <w:rFonts w:cstheme="minorHAnsi"/>
          <w:bCs/>
          <w:sz w:val="24"/>
          <w:szCs w:val="24"/>
        </w:rPr>
        <w:t xml:space="preserve">. Perkančioji organizacija </w:t>
      </w:r>
      <w:r w:rsidR="00217017">
        <w:rPr>
          <w:rFonts w:cstheme="minorHAnsi"/>
          <w:bCs/>
          <w:sz w:val="24"/>
          <w:szCs w:val="24"/>
        </w:rPr>
        <w:t>nurodė</w:t>
      </w:r>
      <w:r w:rsidR="008411D9">
        <w:rPr>
          <w:rFonts w:cstheme="minorHAnsi"/>
          <w:bCs/>
          <w:sz w:val="24"/>
          <w:szCs w:val="24"/>
        </w:rPr>
        <w:t xml:space="preserve">, kad </w:t>
      </w:r>
      <w:r w:rsidR="00024424">
        <w:rPr>
          <w:rFonts w:cstheme="minorHAnsi"/>
          <w:bCs/>
          <w:sz w:val="24"/>
          <w:szCs w:val="24"/>
        </w:rPr>
        <w:t>a</w:t>
      </w:r>
      <w:r w:rsidR="00024424" w:rsidRPr="00671C75">
        <w:rPr>
          <w:rFonts w:cstheme="minorHAnsi"/>
          <w:bCs/>
          <w:sz w:val="24"/>
          <w:szCs w:val="24"/>
        </w:rPr>
        <w:t xml:space="preserve">teityje </w:t>
      </w:r>
      <w:r w:rsidR="008411D9">
        <w:rPr>
          <w:rFonts w:cstheme="minorHAnsi"/>
          <w:bCs/>
          <w:sz w:val="24"/>
          <w:szCs w:val="24"/>
        </w:rPr>
        <w:t xml:space="preserve">bus </w:t>
      </w:r>
      <w:r w:rsidR="00024424" w:rsidRPr="00671C75">
        <w:rPr>
          <w:rFonts w:cstheme="minorHAnsi"/>
          <w:bCs/>
          <w:sz w:val="24"/>
          <w:szCs w:val="24"/>
        </w:rPr>
        <w:t xml:space="preserve"> svarstoma galimybė įsigyti </w:t>
      </w:r>
      <w:r w:rsidR="008411D9">
        <w:rPr>
          <w:rFonts w:cstheme="minorHAnsi"/>
          <w:bCs/>
          <w:sz w:val="24"/>
          <w:szCs w:val="24"/>
        </w:rPr>
        <w:t xml:space="preserve">ir </w:t>
      </w:r>
      <w:r w:rsidR="00024424" w:rsidRPr="00671C75">
        <w:rPr>
          <w:rFonts w:cstheme="minorHAnsi"/>
          <w:bCs/>
          <w:sz w:val="24"/>
          <w:szCs w:val="24"/>
        </w:rPr>
        <w:t xml:space="preserve">kitus </w:t>
      </w:r>
      <w:r w:rsidR="008411D9">
        <w:rPr>
          <w:rFonts w:cstheme="minorHAnsi"/>
          <w:bCs/>
          <w:sz w:val="24"/>
          <w:szCs w:val="24"/>
        </w:rPr>
        <w:t xml:space="preserve">šiai Sistemai tinkančius </w:t>
      </w:r>
      <w:r w:rsidR="00024424" w:rsidRPr="00671C75">
        <w:rPr>
          <w:rFonts w:cstheme="minorHAnsi"/>
          <w:bCs/>
          <w:sz w:val="24"/>
          <w:szCs w:val="24"/>
        </w:rPr>
        <w:t xml:space="preserve">detektorius (garinančiojo šviesos sklaidos, masių spektrometrijos), jeigu </w:t>
      </w:r>
      <w:r w:rsidR="008411D9">
        <w:rPr>
          <w:rFonts w:cstheme="minorHAnsi"/>
          <w:bCs/>
          <w:sz w:val="24"/>
          <w:szCs w:val="24"/>
        </w:rPr>
        <w:t xml:space="preserve">iki to momento Perkančioji organizacija neturės </w:t>
      </w:r>
      <w:r w:rsidR="00024424" w:rsidRPr="00671C75">
        <w:rPr>
          <w:rFonts w:cstheme="minorHAnsi"/>
          <w:bCs/>
          <w:sz w:val="24"/>
          <w:szCs w:val="24"/>
        </w:rPr>
        <w:t>finansinių galimybių įsigyti naujo chromatografo</w:t>
      </w:r>
      <w:r w:rsidR="007A3BE1">
        <w:rPr>
          <w:rFonts w:cstheme="minorHAnsi"/>
          <w:bCs/>
          <w:sz w:val="24"/>
          <w:szCs w:val="24"/>
        </w:rPr>
        <w:t>,</w:t>
      </w:r>
      <w:r w:rsidR="00024424" w:rsidRPr="00671C75">
        <w:rPr>
          <w:rFonts w:cstheme="minorHAnsi"/>
          <w:bCs/>
          <w:sz w:val="24"/>
          <w:szCs w:val="24"/>
        </w:rPr>
        <w:t xml:space="preserve"> bet bus poreikis atlikti daugiau analizių</w:t>
      </w:r>
      <w:r w:rsidR="00217017">
        <w:rPr>
          <w:rFonts w:cstheme="minorHAnsi"/>
          <w:bCs/>
          <w:sz w:val="24"/>
          <w:szCs w:val="24"/>
        </w:rPr>
        <w:t xml:space="preserve"> (tyrimų)</w:t>
      </w:r>
      <w:r w:rsidR="00024424" w:rsidRPr="00671C75">
        <w:rPr>
          <w:rFonts w:cstheme="minorHAnsi"/>
          <w:bCs/>
          <w:sz w:val="24"/>
          <w:szCs w:val="24"/>
        </w:rPr>
        <w:t>.</w:t>
      </w:r>
    </w:p>
    <w:p w14:paraId="5292CE75" w14:textId="595A5A1C" w:rsidR="00757A95" w:rsidRDefault="008411D9" w:rsidP="000E7EF1">
      <w:pPr>
        <w:spacing w:after="0" w:line="240" w:lineRule="auto"/>
        <w:ind w:left="284" w:right="141" w:firstLine="850"/>
        <w:jc w:val="both"/>
        <w:rPr>
          <w:rFonts w:cstheme="minorHAnsi"/>
          <w:bCs/>
          <w:sz w:val="24"/>
          <w:szCs w:val="24"/>
        </w:rPr>
      </w:pPr>
      <w:r>
        <w:rPr>
          <w:rFonts w:cstheme="minorHAnsi"/>
          <w:sz w:val="24"/>
          <w:szCs w:val="24"/>
        </w:rPr>
        <w:t>Įvertinus aukščiau nurodyt</w:t>
      </w:r>
      <w:r w:rsidR="00217017">
        <w:rPr>
          <w:rFonts w:cstheme="minorHAnsi"/>
          <w:sz w:val="24"/>
          <w:szCs w:val="24"/>
        </w:rPr>
        <w:t>ą</w:t>
      </w:r>
      <w:r>
        <w:rPr>
          <w:rFonts w:cstheme="minorHAnsi"/>
          <w:sz w:val="24"/>
          <w:szCs w:val="24"/>
        </w:rPr>
        <w:t xml:space="preserve">, darytina išvada, </w:t>
      </w:r>
      <w:r w:rsidR="00FC22DD">
        <w:rPr>
          <w:rFonts w:cstheme="minorHAnsi"/>
          <w:sz w:val="24"/>
          <w:szCs w:val="24"/>
        </w:rPr>
        <w:t>jog</w:t>
      </w:r>
      <w:r>
        <w:rPr>
          <w:rFonts w:cstheme="minorHAnsi"/>
          <w:sz w:val="24"/>
          <w:szCs w:val="24"/>
        </w:rPr>
        <w:t xml:space="preserve"> šiuo konkrečiu atveju dėl Perkančiosios organizacijos ir </w:t>
      </w:r>
      <w:r w:rsidR="00217017">
        <w:rPr>
          <w:rFonts w:cstheme="minorHAnsi"/>
          <w:sz w:val="24"/>
          <w:szCs w:val="24"/>
        </w:rPr>
        <w:t>įmonės</w:t>
      </w:r>
      <w:r>
        <w:rPr>
          <w:rFonts w:cstheme="minorHAnsi"/>
          <w:sz w:val="24"/>
          <w:szCs w:val="24"/>
        </w:rPr>
        <w:t xml:space="preserve"> </w:t>
      </w:r>
      <w:r w:rsidRPr="008411D9">
        <w:rPr>
          <w:rFonts w:cstheme="minorHAnsi"/>
          <w:sz w:val="24"/>
          <w:szCs w:val="24"/>
        </w:rPr>
        <w:t>UAB „Arm Gate“</w:t>
      </w:r>
      <w:r w:rsidR="00FC22DD">
        <w:rPr>
          <w:rFonts w:cstheme="minorHAnsi"/>
          <w:sz w:val="24"/>
          <w:szCs w:val="24"/>
        </w:rPr>
        <w:t xml:space="preserve"> </w:t>
      </w:r>
      <w:r w:rsidR="00154733" w:rsidRPr="00154733">
        <w:rPr>
          <w:rFonts w:cstheme="minorHAnsi"/>
          <w:sz w:val="24"/>
          <w:szCs w:val="24"/>
        </w:rPr>
        <w:t>sudarytos Paramos sutarties</w:t>
      </w:r>
      <w:r w:rsidR="00035296">
        <w:rPr>
          <w:rFonts w:cstheme="minorHAnsi"/>
          <w:sz w:val="24"/>
          <w:szCs w:val="24"/>
        </w:rPr>
        <w:t xml:space="preserve">, </w:t>
      </w:r>
      <w:r w:rsidR="009C4B0A">
        <w:rPr>
          <w:rFonts w:cstheme="minorHAnsi"/>
          <w:sz w:val="24"/>
          <w:szCs w:val="24"/>
        </w:rPr>
        <w:t>su</w:t>
      </w:r>
      <w:r w:rsidR="005F1BD9">
        <w:rPr>
          <w:rFonts w:cstheme="minorHAnsi"/>
          <w:sz w:val="24"/>
          <w:szCs w:val="24"/>
        </w:rPr>
        <w:t>si</w:t>
      </w:r>
      <w:r w:rsidR="00217017">
        <w:rPr>
          <w:rFonts w:cstheme="minorHAnsi"/>
          <w:sz w:val="24"/>
          <w:szCs w:val="24"/>
        </w:rPr>
        <w:t>klostė tokia</w:t>
      </w:r>
      <w:r w:rsidR="005F1BD9">
        <w:rPr>
          <w:rFonts w:cstheme="minorHAnsi"/>
          <w:sz w:val="24"/>
          <w:szCs w:val="24"/>
        </w:rPr>
        <w:t xml:space="preserve"> situacija, kai</w:t>
      </w:r>
      <w:r w:rsidR="00FC22DD">
        <w:rPr>
          <w:rFonts w:cstheme="minorHAnsi"/>
          <w:sz w:val="24"/>
          <w:szCs w:val="24"/>
        </w:rPr>
        <w:t xml:space="preserve"> Pirkimu siekiamą įsigyti</w:t>
      </w:r>
      <w:r w:rsidR="005F1BD9">
        <w:rPr>
          <w:rFonts w:cstheme="minorHAnsi"/>
          <w:sz w:val="24"/>
          <w:szCs w:val="24"/>
        </w:rPr>
        <w:t xml:space="preserve"> </w:t>
      </w:r>
      <w:r w:rsidR="004D429C">
        <w:rPr>
          <w:rFonts w:cstheme="minorHAnsi"/>
          <w:sz w:val="24"/>
          <w:szCs w:val="24"/>
        </w:rPr>
        <w:t>prekę</w:t>
      </w:r>
      <w:r w:rsidR="00FC22DD">
        <w:rPr>
          <w:rFonts w:cstheme="minorHAnsi"/>
          <w:sz w:val="24"/>
          <w:szCs w:val="24"/>
        </w:rPr>
        <w:t xml:space="preserve"> </w:t>
      </w:r>
      <w:r w:rsidR="004D429C">
        <w:rPr>
          <w:rFonts w:cstheme="minorHAnsi"/>
          <w:sz w:val="24"/>
          <w:szCs w:val="24"/>
        </w:rPr>
        <w:t xml:space="preserve">bei </w:t>
      </w:r>
      <w:r w:rsidR="00DD371E">
        <w:rPr>
          <w:rFonts w:cstheme="minorHAnsi"/>
          <w:sz w:val="24"/>
          <w:szCs w:val="24"/>
        </w:rPr>
        <w:t xml:space="preserve">kitas Sistemos eksploatavimui būtinas dalis, </w:t>
      </w:r>
      <w:r w:rsidR="00FC22DD">
        <w:rPr>
          <w:rFonts w:cstheme="minorHAnsi"/>
          <w:sz w:val="24"/>
          <w:szCs w:val="24"/>
        </w:rPr>
        <w:t xml:space="preserve">Sistemos </w:t>
      </w:r>
      <w:r w:rsidR="00DD371E">
        <w:rPr>
          <w:rFonts w:cstheme="minorHAnsi"/>
          <w:sz w:val="24"/>
          <w:szCs w:val="24"/>
        </w:rPr>
        <w:t xml:space="preserve">priežiūros, remonto paslaugas </w:t>
      </w:r>
      <w:r w:rsidR="00991CB9">
        <w:rPr>
          <w:rFonts w:cstheme="minorHAnsi"/>
          <w:sz w:val="24"/>
          <w:szCs w:val="24"/>
        </w:rPr>
        <w:t xml:space="preserve">gali </w:t>
      </w:r>
      <w:r w:rsidR="00217017">
        <w:rPr>
          <w:rFonts w:cstheme="minorHAnsi"/>
          <w:sz w:val="24"/>
          <w:szCs w:val="24"/>
        </w:rPr>
        <w:t xml:space="preserve">ir ateityje </w:t>
      </w:r>
      <w:r w:rsidR="00FC22DD">
        <w:rPr>
          <w:rFonts w:cstheme="minorHAnsi"/>
          <w:sz w:val="24"/>
          <w:szCs w:val="24"/>
        </w:rPr>
        <w:t xml:space="preserve">galės </w:t>
      </w:r>
      <w:r w:rsidR="00991CB9">
        <w:rPr>
          <w:rFonts w:cstheme="minorHAnsi"/>
          <w:sz w:val="24"/>
          <w:szCs w:val="24"/>
        </w:rPr>
        <w:t xml:space="preserve">tiekti tik konkretus tiekėjas, t. y. </w:t>
      </w:r>
      <w:r w:rsidR="005A7ADF" w:rsidRPr="005A7ADF">
        <w:rPr>
          <w:rFonts w:cstheme="minorHAnsi"/>
          <w:sz w:val="24"/>
          <w:szCs w:val="24"/>
        </w:rPr>
        <w:t>UAB „Arm Gate“</w:t>
      </w:r>
      <w:r w:rsidR="00217017">
        <w:rPr>
          <w:rFonts w:cstheme="minorHAnsi"/>
          <w:sz w:val="24"/>
          <w:szCs w:val="24"/>
        </w:rPr>
        <w:t xml:space="preserve">, kuris šiuo atveju yra </w:t>
      </w:r>
      <w:r w:rsidR="005A7ADF">
        <w:rPr>
          <w:rFonts w:cstheme="minorHAnsi"/>
          <w:sz w:val="24"/>
          <w:szCs w:val="24"/>
        </w:rPr>
        <w:t>Paramos teikė</w:t>
      </w:r>
      <w:r w:rsidR="00134BBB">
        <w:rPr>
          <w:rFonts w:cstheme="minorHAnsi"/>
          <w:sz w:val="24"/>
          <w:szCs w:val="24"/>
        </w:rPr>
        <w:t>j</w:t>
      </w:r>
      <w:r w:rsidR="00715525">
        <w:rPr>
          <w:rFonts w:cstheme="minorHAnsi"/>
          <w:sz w:val="24"/>
          <w:szCs w:val="24"/>
        </w:rPr>
        <w:t>as</w:t>
      </w:r>
      <w:r w:rsidR="00134BBB">
        <w:rPr>
          <w:rFonts w:cstheme="minorHAnsi"/>
          <w:sz w:val="24"/>
          <w:szCs w:val="24"/>
        </w:rPr>
        <w:t xml:space="preserve"> ir Sistemos gamintojo atstov</w:t>
      </w:r>
      <w:r w:rsidR="00715525">
        <w:rPr>
          <w:rFonts w:cstheme="minorHAnsi"/>
          <w:sz w:val="24"/>
          <w:szCs w:val="24"/>
        </w:rPr>
        <w:t>as</w:t>
      </w:r>
      <w:r w:rsidR="003B1627">
        <w:rPr>
          <w:rFonts w:cstheme="minorHAnsi"/>
          <w:sz w:val="24"/>
          <w:szCs w:val="24"/>
        </w:rPr>
        <w:t>, nors rinkoje</w:t>
      </w:r>
      <w:r w:rsidR="00FC22DD">
        <w:rPr>
          <w:rFonts w:cstheme="minorHAnsi"/>
          <w:sz w:val="24"/>
          <w:szCs w:val="24"/>
        </w:rPr>
        <w:t>, kaip ir nurodo pati Perkančioji organizacija,</w:t>
      </w:r>
      <w:r w:rsidR="003B1627">
        <w:rPr>
          <w:rFonts w:cstheme="minorHAnsi"/>
          <w:sz w:val="24"/>
          <w:szCs w:val="24"/>
        </w:rPr>
        <w:t xml:space="preserve"> yra ir kitų </w:t>
      </w:r>
      <w:r w:rsidR="00FC22DD">
        <w:rPr>
          <w:rFonts w:cstheme="minorHAnsi"/>
          <w:sz w:val="24"/>
          <w:szCs w:val="24"/>
        </w:rPr>
        <w:t xml:space="preserve">gamintojų bei </w:t>
      </w:r>
      <w:r w:rsidR="003B1627">
        <w:rPr>
          <w:rFonts w:cstheme="minorHAnsi"/>
          <w:sz w:val="24"/>
          <w:szCs w:val="24"/>
        </w:rPr>
        <w:t>tiekėjų, kurie gal</w:t>
      </w:r>
      <w:r w:rsidR="00FC22DD">
        <w:rPr>
          <w:rFonts w:cstheme="minorHAnsi"/>
          <w:sz w:val="24"/>
          <w:szCs w:val="24"/>
        </w:rPr>
        <w:t>i</w:t>
      </w:r>
      <w:r w:rsidR="003B1627">
        <w:rPr>
          <w:rFonts w:cstheme="minorHAnsi"/>
          <w:sz w:val="24"/>
          <w:szCs w:val="24"/>
        </w:rPr>
        <w:t xml:space="preserve"> pasiūlyti </w:t>
      </w:r>
      <w:r w:rsidR="00AA49AD">
        <w:rPr>
          <w:rFonts w:cstheme="minorHAnsi"/>
          <w:sz w:val="24"/>
          <w:szCs w:val="24"/>
        </w:rPr>
        <w:t xml:space="preserve">kitų gamintojų </w:t>
      </w:r>
      <w:r w:rsidR="00F00F4D">
        <w:rPr>
          <w:rFonts w:cstheme="minorHAnsi"/>
          <w:sz w:val="24"/>
          <w:szCs w:val="24"/>
        </w:rPr>
        <w:t>s</w:t>
      </w:r>
      <w:r w:rsidR="006F6D05">
        <w:rPr>
          <w:rFonts w:cstheme="minorHAnsi"/>
          <w:sz w:val="24"/>
          <w:szCs w:val="24"/>
        </w:rPr>
        <w:t>istemas</w:t>
      </w:r>
      <w:r w:rsidR="00217017">
        <w:rPr>
          <w:rFonts w:cstheme="minorHAnsi"/>
          <w:sz w:val="24"/>
          <w:szCs w:val="24"/>
        </w:rPr>
        <w:t xml:space="preserve"> (alternatyvius sprendimus)</w:t>
      </w:r>
      <w:r w:rsidR="00294275">
        <w:rPr>
          <w:rFonts w:cstheme="minorHAnsi"/>
          <w:sz w:val="24"/>
          <w:szCs w:val="24"/>
        </w:rPr>
        <w:t>, kurios būt</w:t>
      </w:r>
      <w:r w:rsidR="00DD61FF">
        <w:rPr>
          <w:rFonts w:cstheme="minorHAnsi"/>
          <w:sz w:val="24"/>
          <w:szCs w:val="24"/>
        </w:rPr>
        <w:t>ų</w:t>
      </w:r>
      <w:r w:rsidR="00294275">
        <w:rPr>
          <w:rFonts w:cstheme="minorHAnsi"/>
          <w:sz w:val="24"/>
          <w:szCs w:val="24"/>
        </w:rPr>
        <w:t xml:space="preserve"> tinkamos Perkančiajai organizacijai</w:t>
      </w:r>
      <w:r w:rsidR="006F6D05">
        <w:rPr>
          <w:rFonts w:cstheme="minorHAnsi"/>
          <w:sz w:val="24"/>
          <w:szCs w:val="24"/>
        </w:rPr>
        <w:t xml:space="preserve">. </w:t>
      </w:r>
      <w:r w:rsidR="00294275">
        <w:rPr>
          <w:rFonts w:cstheme="minorHAnsi"/>
          <w:sz w:val="24"/>
          <w:szCs w:val="24"/>
        </w:rPr>
        <w:t xml:space="preserve">Įvertinus </w:t>
      </w:r>
      <w:r w:rsidR="006F6D05">
        <w:rPr>
          <w:rFonts w:cstheme="minorHAnsi"/>
          <w:sz w:val="24"/>
          <w:szCs w:val="24"/>
        </w:rPr>
        <w:t xml:space="preserve">Perkančiosios organizacijos pateiktą </w:t>
      </w:r>
      <w:r w:rsidR="00470445">
        <w:rPr>
          <w:rFonts w:cstheme="minorHAnsi"/>
          <w:sz w:val="24"/>
          <w:szCs w:val="24"/>
        </w:rPr>
        <w:t xml:space="preserve">papildomą </w:t>
      </w:r>
      <w:r w:rsidR="006F6D05">
        <w:rPr>
          <w:rFonts w:cstheme="minorHAnsi"/>
          <w:sz w:val="24"/>
          <w:szCs w:val="24"/>
        </w:rPr>
        <w:t>informaciją</w:t>
      </w:r>
      <w:r w:rsidR="000E7EF1">
        <w:rPr>
          <w:rStyle w:val="FootnoteReference"/>
          <w:rFonts w:cstheme="minorHAnsi"/>
          <w:sz w:val="24"/>
          <w:szCs w:val="24"/>
        </w:rPr>
        <w:footnoteReference w:id="7"/>
      </w:r>
      <w:r w:rsidR="006F6D05">
        <w:rPr>
          <w:rFonts w:cstheme="minorHAnsi"/>
          <w:sz w:val="24"/>
          <w:szCs w:val="24"/>
        </w:rPr>
        <w:t xml:space="preserve">, </w:t>
      </w:r>
      <w:r w:rsidR="00294275">
        <w:rPr>
          <w:rFonts w:cstheme="minorHAnsi"/>
          <w:sz w:val="24"/>
          <w:szCs w:val="24"/>
        </w:rPr>
        <w:t xml:space="preserve">nustatyta, kad </w:t>
      </w:r>
      <w:r w:rsidR="000E7EF1">
        <w:rPr>
          <w:rFonts w:cstheme="minorHAnsi"/>
          <w:sz w:val="24"/>
          <w:szCs w:val="24"/>
        </w:rPr>
        <w:t xml:space="preserve">rinkoje yra siūlomi </w:t>
      </w:r>
      <w:r w:rsidR="000E7EF1" w:rsidRPr="000E7EF1">
        <w:rPr>
          <w:rFonts w:cstheme="minorHAnsi"/>
          <w:bCs/>
          <w:sz w:val="24"/>
          <w:szCs w:val="24"/>
        </w:rPr>
        <w:t>Shimadzu, Waters, Thermo Scientific, Agilent, PerkinElmer gamintojų chromatografai</w:t>
      </w:r>
      <w:r w:rsidR="00F150B8">
        <w:rPr>
          <w:rStyle w:val="FootnoteReference"/>
          <w:rFonts w:cstheme="minorHAnsi"/>
          <w:bCs/>
          <w:sz w:val="24"/>
          <w:szCs w:val="24"/>
        </w:rPr>
        <w:footnoteReference w:id="8"/>
      </w:r>
      <w:r w:rsidR="00966DEE">
        <w:rPr>
          <w:rFonts w:cstheme="minorHAnsi"/>
          <w:bCs/>
          <w:sz w:val="24"/>
          <w:szCs w:val="24"/>
        </w:rPr>
        <w:t xml:space="preserve">, o </w:t>
      </w:r>
      <w:r w:rsidR="00470445">
        <w:rPr>
          <w:rFonts w:cstheme="minorHAnsi"/>
          <w:bCs/>
          <w:sz w:val="24"/>
          <w:szCs w:val="24"/>
        </w:rPr>
        <w:t>Perkanč</w:t>
      </w:r>
      <w:r w:rsidR="008C0A42">
        <w:rPr>
          <w:rFonts w:cstheme="minorHAnsi"/>
          <w:bCs/>
          <w:sz w:val="24"/>
          <w:szCs w:val="24"/>
        </w:rPr>
        <w:t xml:space="preserve">iosios organizacijos poreikius atitiktų ir kitų gamintojų chromatografai, tačiau </w:t>
      </w:r>
      <w:r w:rsidR="00217017">
        <w:rPr>
          <w:rFonts w:cstheme="minorHAnsi"/>
          <w:bCs/>
          <w:sz w:val="24"/>
          <w:szCs w:val="24"/>
        </w:rPr>
        <w:t xml:space="preserve">šiuo atveju </w:t>
      </w:r>
      <w:r w:rsidR="008C0A42">
        <w:rPr>
          <w:rFonts w:cstheme="minorHAnsi"/>
          <w:bCs/>
          <w:sz w:val="24"/>
          <w:szCs w:val="24"/>
        </w:rPr>
        <w:t xml:space="preserve">gamintojo pasirinkimą </w:t>
      </w:r>
      <w:r w:rsidR="00294275">
        <w:rPr>
          <w:rFonts w:cstheme="minorHAnsi"/>
          <w:bCs/>
          <w:sz w:val="24"/>
          <w:szCs w:val="24"/>
        </w:rPr>
        <w:t xml:space="preserve">iš dalies </w:t>
      </w:r>
      <w:r w:rsidR="00BC125D">
        <w:rPr>
          <w:rFonts w:cstheme="minorHAnsi"/>
          <w:bCs/>
          <w:sz w:val="24"/>
          <w:szCs w:val="24"/>
        </w:rPr>
        <w:t>lemia ir mokslininko analitiko</w:t>
      </w:r>
      <w:r w:rsidR="00294275">
        <w:rPr>
          <w:rFonts w:cstheme="minorHAnsi"/>
          <w:bCs/>
          <w:sz w:val="24"/>
          <w:szCs w:val="24"/>
        </w:rPr>
        <w:t>, kuris dirba su šia įranga</w:t>
      </w:r>
      <w:r w:rsidR="00217017">
        <w:rPr>
          <w:rFonts w:cstheme="minorHAnsi"/>
          <w:bCs/>
          <w:sz w:val="24"/>
          <w:szCs w:val="24"/>
        </w:rPr>
        <w:t xml:space="preserve"> (sistema)</w:t>
      </w:r>
      <w:r w:rsidR="00294275">
        <w:rPr>
          <w:rFonts w:cstheme="minorHAnsi"/>
          <w:bCs/>
          <w:sz w:val="24"/>
          <w:szCs w:val="24"/>
        </w:rPr>
        <w:t>, gebėjimas</w:t>
      </w:r>
      <w:r w:rsidR="00BC125D">
        <w:rPr>
          <w:rFonts w:cstheme="minorHAnsi"/>
          <w:bCs/>
          <w:sz w:val="24"/>
          <w:szCs w:val="24"/>
        </w:rPr>
        <w:t xml:space="preserve"> valdyti įrangą, suprasti jos veikimą, programinę įrangą.</w:t>
      </w:r>
      <w:r w:rsidR="00AE08BA">
        <w:rPr>
          <w:rFonts w:cstheme="minorHAnsi"/>
          <w:bCs/>
          <w:sz w:val="24"/>
          <w:szCs w:val="24"/>
        </w:rPr>
        <w:t xml:space="preserve"> Perkančioji </w:t>
      </w:r>
      <w:r w:rsidR="004404DF">
        <w:rPr>
          <w:rFonts w:cstheme="minorHAnsi"/>
          <w:bCs/>
          <w:sz w:val="24"/>
          <w:szCs w:val="24"/>
        </w:rPr>
        <w:t xml:space="preserve">organizacija </w:t>
      </w:r>
      <w:r w:rsidR="00294275">
        <w:rPr>
          <w:rFonts w:cstheme="minorHAnsi"/>
          <w:bCs/>
          <w:sz w:val="24"/>
          <w:szCs w:val="24"/>
        </w:rPr>
        <w:t>pažymi,</w:t>
      </w:r>
      <w:r w:rsidR="004404DF">
        <w:rPr>
          <w:rFonts w:cstheme="minorHAnsi"/>
          <w:bCs/>
          <w:sz w:val="24"/>
          <w:szCs w:val="24"/>
        </w:rPr>
        <w:t xml:space="preserve"> jog jeigu tiekėjas įsipareigotų apmokyti mokslininkus analitikus dirbti su kito gamintojo įranga ir padėt</w:t>
      </w:r>
      <w:r w:rsidR="00217017">
        <w:rPr>
          <w:rFonts w:cstheme="minorHAnsi"/>
          <w:bCs/>
          <w:sz w:val="24"/>
          <w:szCs w:val="24"/>
        </w:rPr>
        <w:t>ų</w:t>
      </w:r>
      <w:r w:rsidR="004404DF">
        <w:rPr>
          <w:rFonts w:cstheme="minorHAnsi"/>
          <w:bCs/>
          <w:sz w:val="24"/>
          <w:szCs w:val="24"/>
        </w:rPr>
        <w:t xml:space="preserve"> parengti metodus visoms analizėms, kurios yra vykdomos </w:t>
      </w:r>
      <w:r w:rsidR="00217017">
        <w:rPr>
          <w:rFonts w:cstheme="minorHAnsi"/>
          <w:bCs/>
          <w:sz w:val="24"/>
          <w:szCs w:val="24"/>
        </w:rPr>
        <w:t>Perkančiojoje organizacijoje</w:t>
      </w:r>
      <w:r w:rsidR="004404DF">
        <w:rPr>
          <w:rFonts w:cstheme="minorHAnsi"/>
          <w:bCs/>
          <w:sz w:val="24"/>
          <w:szCs w:val="24"/>
        </w:rPr>
        <w:t xml:space="preserve">, tuomet kito tiekėjo pasiūlymas </w:t>
      </w:r>
      <w:r w:rsidR="00BC063A">
        <w:rPr>
          <w:rFonts w:cstheme="minorHAnsi"/>
          <w:bCs/>
          <w:sz w:val="24"/>
          <w:szCs w:val="24"/>
        </w:rPr>
        <w:t>paramos pagrindu suteikti kito gamintojo chromatografą būtų tinkamas.</w:t>
      </w:r>
    </w:p>
    <w:p w14:paraId="696A59E2" w14:textId="7A3FBCE2" w:rsidR="002D568C" w:rsidRDefault="0082582B" w:rsidP="002D568C">
      <w:pPr>
        <w:spacing w:after="0" w:line="240" w:lineRule="auto"/>
        <w:ind w:left="284" w:right="141" w:firstLine="850"/>
        <w:jc w:val="both"/>
        <w:rPr>
          <w:rFonts w:cstheme="minorHAnsi"/>
          <w:sz w:val="24"/>
          <w:szCs w:val="24"/>
        </w:rPr>
      </w:pPr>
      <w:r w:rsidRPr="0082582B">
        <w:rPr>
          <w:rFonts w:cstheme="minorHAnsi"/>
          <w:sz w:val="24"/>
          <w:szCs w:val="24"/>
        </w:rPr>
        <w:t>ESTT</w:t>
      </w:r>
      <w:r>
        <w:rPr>
          <w:rFonts w:cstheme="minorHAnsi"/>
          <w:sz w:val="24"/>
          <w:szCs w:val="24"/>
        </w:rPr>
        <w:t xml:space="preserve"> </w:t>
      </w:r>
      <w:r w:rsidR="00BC0FAC">
        <w:rPr>
          <w:rFonts w:cstheme="minorHAnsi"/>
          <w:sz w:val="24"/>
          <w:szCs w:val="24"/>
        </w:rPr>
        <w:t xml:space="preserve">2025-01-09 prejudicinio sprendimo byloje Nr. </w:t>
      </w:r>
      <w:r w:rsidR="007E4A5E" w:rsidRPr="007E4A5E">
        <w:rPr>
          <w:rFonts w:cstheme="minorHAnsi"/>
          <w:sz w:val="24"/>
          <w:szCs w:val="24"/>
        </w:rPr>
        <w:t>Byloje C</w:t>
      </w:r>
      <w:r w:rsidR="007E4A5E" w:rsidRPr="007E4A5E">
        <w:rPr>
          <w:rFonts w:ascii="Cambria Math" w:hAnsi="Cambria Math" w:cs="Cambria Math"/>
          <w:sz w:val="24"/>
          <w:szCs w:val="24"/>
        </w:rPr>
        <w:t>‑</w:t>
      </w:r>
      <w:r w:rsidR="007E4A5E" w:rsidRPr="007E4A5E">
        <w:rPr>
          <w:rFonts w:cstheme="minorHAnsi"/>
          <w:sz w:val="24"/>
          <w:szCs w:val="24"/>
        </w:rPr>
        <w:t>578/23</w:t>
      </w:r>
      <w:r w:rsidR="007E4A5E">
        <w:rPr>
          <w:rFonts w:cstheme="minorHAnsi"/>
          <w:sz w:val="24"/>
          <w:szCs w:val="24"/>
        </w:rPr>
        <w:t xml:space="preserve"> </w:t>
      </w:r>
      <w:r w:rsidR="004A3516">
        <w:rPr>
          <w:rFonts w:cstheme="minorHAnsi"/>
          <w:sz w:val="24"/>
          <w:szCs w:val="24"/>
        </w:rPr>
        <w:t xml:space="preserve">sprendė klausimą </w:t>
      </w:r>
      <w:r w:rsidR="00F1350D">
        <w:rPr>
          <w:rFonts w:cstheme="minorHAnsi"/>
          <w:sz w:val="24"/>
          <w:szCs w:val="24"/>
        </w:rPr>
        <w:t>ar vertinant</w:t>
      </w:r>
      <w:r w:rsidR="00C81E56">
        <w:rPr>
          <w:rFonts w:cstheme="minorHAnsi"/>
          <w:sz w:val="24"/>
          <w:szCs w:val="24"/>
        </w:rPr>
        <w:t xml:space="preserve"> neskelbiamų derybų taikymo sąlygą, t. y.</w:t>
      </w:r>
      <w:r w:rsidR="00294275">
        <w:rPr>
          <w:rFonts w:cstheme="minorHAnsi"/>
          <w:sz w:val="24"/>
          <w:szCs w:val="24"/>
        </w:rPr>
        <w:t>,</w:t>
      </w:r>
      <w:r w:rsidR="00C81E56">
        <w:rPr>
          <w:rFonts w:cstheme="minorHAnsi"/>
          <w:sz w:val="24"/>
          <w:szCs w:val="24"/>
        </w:rPr>
        <w:t xml:space="preserve"> </w:t>
      </w:r>
      <w:r w:rsidR="009B34FA">
        <w:rPr>
          <w:rFonts w:cstheme="minorHAnsi"/>
          <w:sz w:val="24"/>
          <w:szCs w:val="24"/>
        </w:rPr>
        <w:t>ar perkančioji organizacija savo veiksmais nesukūrė išskirtinumo padėties</w:t>
      </w:r>
      <w:r w:rsidR="000A0558">
        <w:rPr>
          <w:rFonts w:cstheme="minorHAnsi"/>
          <w:sz w:val="24"/>
          <w:szCs w:val="24"/>
        </w:rPr>
        <w:t xml:space="preserve">, reikia atsižvelgti į pirminės sutarties, kurios pagrindu buvo sudarytos vėlesnės viešojo pirkimo sutartys, sudarymo teisines ir faktines aplinkybes. </w:t>
      </w:r>
      <w:r w:rsidR="00EB1471">
        <w:rPr>
          <w:rFonts w:cstheme="minorHAnsi"/>
          <w:sz w:val="24"/>
          <w:szCs w:val="24"/>
        </w:rPr>
        <w:t xml:space="preserve">ESTT </w:t>
      </w:r>
      <w:r w:rsidR="00294275">
        <w:rPr>
          <w:rFonts w:cstheme="minorHAnsi"/>
          <w:sz w:val="24"/>
          <w:szCs w:val="24"/>
        </w:rPr>
        <w:t>šioje</w:t>
      </w:r>
      <w:r w:rsidR="009B10B6">
        <w:rPr>
          <w:rFonts w:cstheme="minorHAnsi"/>
          <w:sz w:val="24"/>
          <w:szCs w:val="24"/>
        </w:rPr>
        <w:t xml:space="preserve"> byloje </w:t>
      </w:r>
      <w:r w:rsidR="00294275">
        <w:rPr>
          <w:rFonts w:cstheme="minorHAnsi"/>
          <w:sz w:val="24"/>
          <w:szCs w:val="24"/>
        </w:rPr>
        <w:t>pažymėjo</w:t>
      </w:r>
      <w:r w:rsidR="009B10B6">
        <w:rPr>
          <w:rFonts w:cstheme="minorHAnsi"/>
          <w:sz w:val="24"/>
          <w:szCs w:val="24"/>
        </w:rPr>
        <w:t xml:space="preserve">, jog </w:t>
      </w:r>
      <w:bookmarkStart w:id="3" w:name="_Hlk188361853"/>
      <w:r w:rsidR="009B10B6">
        <w:rPr>
          <w:rFonts w:cstheme="minorHAnsi"/>
          <w:sz w:val="24"/>
          <w:szCs w:val="24"/>
        </w:rPr>
        <w:t>perkančioji organizacija privalo padaryti viską</w:t>
      </w:r>
      <w:r w:rsidR="001279E8">
        <w:rPr>
          <w:rFonts w:cstheme="minorHAnsi"/>
          <w:sz w:val="24"/>
          <w:szCs w:val="24"/>
        </w:rPr>
        <w:t xml:space="preserve">, ko iš jos galima pagrįstai tikėtis, kad </w:t>
      </w:r>
      <w:bookmarkStart w:id="4" w:name="_Hlk188360189"/>
      <w:r w:rsidR="001279E8">
        <w:rPr>
          <w:rFonts w:cstheme="minorHAnsi"/>
          <w:sz w:val="24"/>
          <w:szCs w:val="24"/>
        </w:rPr>
        <w:t>išvengtų neskelbiamų derybų taikymo</w:t>
      </w:r>
      <w:r w:rsidR="00F40E70">
        <w:rPr>
          <w:rFonts w:cstheme="minorHAnsi"/>
          <w:sz w:val="24"/>
          <w:szCs w:val="24"/>
        </w:rPr>
        <w:t xml:space="preserve"> ir taikytų atviresnę rinkai procedūrą</w:t>
      </w:r>
      <w:bookmarkEnd w:id="4"/>
      <w:bookmarkEnd w:id="3"/>
      <w:r w:rsidR="005010D1">
        <w:rPr>
          <w:rFonts w:cstheme="minorHAnsi"/>
          <w:sz w:val="24"/>
          <w:szCs w:val="24"/>
        </w:rPr>
        <w:t>, t y. „&lt;...&gt;</w:t>
      </w:r>
      <w:r w:rsidR="002D568C">
        <w:rPr>
          <w:rFonts w:cstheme="minorHAnsi"/>
          <w:sz w:val="24"/>
          <w:szCs w:val="24"/>
        </w:rPr>
        <w:t xml:space="preserve"> </w:t>
      </w:r>
      <w:r w:rsidR="002D568C" w:rsidRPr="002D568C">
        <w:rPr>
          <w:rFonts w:cstheme="minorHAnsi"/>
          <w:sz w:val="24"/>
          <w:szCs w:val="24"/>
        </w:rPr>
        <w:t xml:space="preserve">siekdama pateisinti derybų be išankstinio skelbimo apie pirkimą procedūros taikymą, kaip tai suprantama pagal šią nuostatą, perkančioji organizacija </w:t>
      </w:r>
      <w:bookmarkStart w:id="5" w:name="_Hlk188362023"/>
      <w:r w:rsidR="002D568C" w:rsidRPr="002D568C">
        <w:rPr>
          <w:rFonts w:cstheme="minorHAnsi"/>
          <w:sz w:val="24"/>
          <w:szCs w:val="24"/>
        </w:rPr>
        <w:t>negali remtis išimtinių teisių apsauga, kai tokios apsaugos priežastis priklauso nuo jos</w:t>
      </w:r>
      <w:bookmarkEnd w:id="5"/>
      <w:r w:rsidR="002D568C" w:rsidRPr="002D568C">
        <w:rPr>
          <w:rFonts w:cstheme="minorHAnsi"/>
          <w:sz w:val="24"/>
          <w:szCs w:val="24"/>
        </w:rPr>
        <w:t>. Toks priklausymas vertinamas atsižvelgiant ne tik į faktines ir teisines sutarties dėl pirmosios paslaugos sudarymo aplinkybes, bet ir į visas aplinkybes, būdingas laikotarpiui nuo šios sutarties sudarymo dienos iki dienos, kai perkančioji organizacija pasirenka procedūrą, kurią taikys sudarydama paskesnę viešojo pirkimo sutartį.</w:t>
      </w:r>
      <w:r w:rsidR="005010D1">
        <w:rPr>
          <w:rFonts w:cstheme="minorHAnsi"/>
          <w:sz w:val="24"/>
          <w:szCs w:val="24"/>
        </w:rPr>
        <w:t>“</w:t>
      </w:r>
    </w:p>
    <w:p w14:paraId="4C4C5014" w14:textId="17AEA432" w:rsidR="00425B97" w:rsidRDefault="00294275" w:rsidP="00151CD0">
      <w:pPr>
        <w:spacing w:after="0" w:line="240" w:lineRule="auto"/>
        <w:ind w:left="284" w:right="141" w:firstLine="850"/>
        <w:jc w:val="both"/>
        <w:rPr>
          <w:rFonts w:cstheme="minorHAnsi"/>
          <w:sz w:val="24"/>
          <w:szCs w:val="24"/>
        </w:rPr>
      </w:pPr>
      <w:r>
        <w:rPr>
          <w:rFonts w:cstheme="minorHAnsi"/>
          <w:sz w:val="24"/>
          <w:szCs w:val="24"/>
        </w:rPr>
        <w:t xml:space="preserve">Apibendrinant nurodytą, konstatuotina, kad </w:t>
      </w:r>
      <w:r w:rsidR="00F1553A">
        <w:rPr>
          <w:rFonts w:cstheme="minorHAnsi"/>
          <w:sz w:val="24"/>
          <w:szCs w:val="24"/>
        </w:rPr>
        <w:t xml:space="preserve">Perkančioji organizacija nepagrindė ir neįrodė, jog </w:t>
      </w:r>
      <w:r w:rsidR="00E625F9">
        <w:rPr>
          <w:rFonts w:cstheme="minorHAnsi"/>
          <w:sz w:val="24"/>
          <w:szCs w:val="24"/>
        </w:rPr>
        <w:t xml:space="preserve">rinkoje </w:t>
      </w:r>
      <w:r>
        <w:rPr>
          <w:rFonts w:cstheme="minorHAnsi"/>
          <w:sz w:val="24"/>
          <w:szCs w:val="24"/>
        </w:rPr>
        <w:t xml:space="preserve">nėra ir </w:t>
      </w:r>
      <w:r w:rsidR="00E625F9">
        <w:rPr>
          <w:rFonts w:cstheme="minorHAnsi"/>
          <w:sz w:val="24"/>
          <w:szCs w:val="24"/>
        </w:rPr>
        <w:t xml:space="preserve">neatsirastų kitų tiekėjų, kurie būtų suinteresuoti </w:t>
      </w:r>
      <w:r>
        <w:rPr>
          <w:rFonts w:cstheme="minorHAnsi"/>
          <w:sz w:val="24"/>
          <w:szCs w:val="24"/>
        </w:rPr>
        <w:t>su</w:t>
      </w:r>
      <w:r w:rsidR="00441CAE">
        <w:rPr>
          <w:rFonts w:cstheme="minorHAnsi"/>
          <w:sz w:val="24"/>
          <w:szCs w:val="24"/>
        </w:rPr>
        <w:t>t</w:t>
      </w:r>
      <w:r>
        <w:rPr>
          <w:rFonts w:cstheme="minorHAnsi"/>
          <w:sz w:val="24"/>
          <w:szCs w:val="24"/>
        </w:rPr>
        <w:t>eikti</w:t>
      </w:r>
      <w:r w:rsidR="00441CAE">
        <w:rPr>
          <w:rFonts w:cstheme="minorHAnsi"/>
          <w:sz w:val="24"/>
          <w:szCs w:val="24"/>
        </w:rPr>
        <w:t xml:space="preserve"> Perkančiajai organizacijai </w:t>
      </w:r>
      <w:r>
        <w:rPr>
          <w:rFonts w:cstheme="minorHAnsi"/>
          <w:sz w:val="24"/>
          <w:szCs w:val="24"/>
        </w:rPr>
        <w:t>jos poreikius</w:t>
      </w:r>
      <w:r w:rsidR="00894070">
        <w:rPr>
          <w:rFonts w:cstheme="minorHAnsi"/>
          <w:sz w:val="24"/>
          <w:szCs w:val="24"/>
        </w:rPr>
        <w:t xml:space="preserve"> atitinkančią bei</w:t>
      </w:r>
      <w:r>
        <w:rPr>
          <w:rFonts w:cstheme="minorHAnsi"/>
          <w:sz w:val="24"/>
          <w:szCs w:val="24"/>
        </w:rPr>
        <w:t xml:space="preserve"> </w:t>
      </w:r>
      <w:r w:rsidR="00217017">
        <w:rPr>
          <w:rFonts w:cstheme="minorHAnsi"/>
          <w:sz w:val="24"/>
          <w:szCs w:val="24"/>
        </w:rPr>
        <w:t xml:space="preserve">tyrimų ir </w:t>
      </w:r>
      <w:r w:rsidR="0021219D">
        <w:rPr>
          <w:rFonts w:cstheme="minorHAnsi"/>
          <w:sz w:val="24"/>
          <w:szCs w:val="24"/>
        </w:rPr>
        <w:t>analizių vykdymui reikalingą s</w:t>
      </w:r>
      <w:r w:rsidR="005F0417">
        <w:rPr>
          <w:rFonts w:cstheme="minorHAnsi"/>
          <w:sz w:val="24"/>
          <w:szCs w:val="24"/>
        </w:rPr>
        <w:t>istemą</w:t>
      </w:r>
      <w:r w:rsidR="0021219D">
        <w:rPr>
          <w:rFonts w:cstheme="minorHAnsi"/>
          <w:sz w:val="24"/>
          <w:szCs w:val="24"/>
        </w:rPr>
        <w:t xml:space="preserve">, </w:t>
      </w:r>
      <w:r w:rsidR="00894070">
        <w:rPr>
          <w:rFonts w:cstheme="minorHAnsi"/>
          <w:sz w:val="24"/>
          <w:szCs w:val="24"/>
        </w:rPr>
        <w:t>teiktų</w:t>
      </w:r>
      <w:r w:rsidR="005F0417">
        <w:rPr>
          <w:rFonts w:cstheme="minorHAnsi"/>
          <w:sz w:val="24"/>
          <w:szCs w:val="24"/>
        </w:rPr>
        <w:t xml:space="preserve"> </w:t>
      </w:r>
      <w:r w:rsidR="00FD3599">
        <w:rPr>
          <w:rFonts w:cstheme="minorHAnsi"/>
          <w:sz w:val="24"/>
          <w:szCs w:val="24"/>
        </w:rPr>
        <w:t xml:space="preserve">eksploatacijai </w:t>
      </w:r>
      <w:r w:rsidR="009C0CC1">
        <w:rPr>
          <w:rFonts w:cstheme="minorHAnsi"/>
          <w:sz w:val="24"/>
          <w:szCs w:val="24"/>
        </w:rPr>
        <w:t xml:space="preserve">reikalingas detales, </w:t>
      </w:r>
      <w:r w:rsidR="0021219D">
        <w:rPr>
          <w:rFonts w:cstheme="minorHAnsi"/>
          <w:sz w:val="24"/>
          <w:szCs w:val="24"/>
        </w:rPr>
        <w:t>suteikt</w:t>
      </w:r>
      <w:r w:rsidR="00894070">
        <w:rPr>
          <w:rFonts w:cstheme="minorHAnsi"/>
          <w:sz w:val="24"/>
          <w:szCs w:val="24"/>
        </w:rPr>
        <w:t>ų</w:t>
      </w:r>
      <w:r w:rsidR="0021219D">
        <w:rPr>
          <w:rFonts w:cstheme="minorHAnsi"/>
          <w:sz w:val="24"/>
          <w:szCs w:val="24"/>
        </w:rPr>
        <w:t xml:space="preserve"> sistemos </w:t>
      </w:r>
      <w:r w:rsidR="009C0CC1">
        <w:rPr>
          <w:rFonts w:cstheme="minorHAnsi"/>
          <w:sz w:val="24"/>
          <w:szCs w:val="24"/>
        </w:rPr>
        <w:t>aptarnavimo, priežiūros ir remonto paslaugas</w:t>
      </w:r>
      <w:r w:rsidR="00FA0CF2">
        <w:rPr>
          <w:rFonts w:cstheme="minorHAnsi"/>
          <w:sz w:val="24"/>
          <w:szCs w:val="24"/>
        </w:rPr>
        <w:t xml:space="preserve"> </w:t>
      </w:r>
      <w:r w:rsidR="0021219D">
        <w:rPr>
          <w:rFonts w:cstheme="minorHAnsi"/>
          <w:sz w:val="24"/>
          <w:szCs w:val="24"/>
        </w:rPr>
        <w:t>s</w:t>
      </w:r>
      <w:r w:rsidR="000A5AD0">
        <w:rPr>
          <w:rFonts w:cstheme="minorHAnsi"/>
          <w:sz w:val="24"/>
          <w:szCs w:val="24"/>
        </w:rPr>
        <w:t xml:space="preserve">istemos </w:t>
      </w:r>
      <w:r w:rsidR="00CB60BD">
        <w:rPr>
          <w:rFonts w:cstheme="minorHAnsi"/>
          <w:sz w:val="24"/>
          <w:szCs w:val="24"/>
        </w:rPr>
        <w:t>eksploatacijos laikotarpiu</w:t>
      </w:r>
      <w:r w:rsidR="009C0CC1">
        <w:rPr>
          <w:rFonts w:cstheme="minorHAnsi"/>
          <w:sz w:val="24"/>
          <w:szCs w:val="24"/>
        </w:rPr>
        <w:t xml:space="preserve">. </w:t>
      </w:r>
      <w:r w:rsidR="00DB500F">
        <w:rPr>
          <w:rFonts w:cstheme="minorHAnsi"/>
          <w:sz w:val="24"/>
          <w:szCs w:val="24"/>
        </w:rPr>
        <w:t>N</w:t>
      </w:r>
      <w:r w:rsidR="00894070">
        <w:rPr>
          <w:rFonts w:cstheme="minorHAnsi"/>
          <w:sz w:val="24"/>
          <w:szCs w:val="24"/>
        </w:rPr>
        <w:t xml:space="preserve">ustatyta, kad šiuo </w:t>
      </w:r>
      <w:r w:rsidR="0073413F">
        <w:rPr>
          <w:rFonts w:cstheme="minorHAnsi"/>
          <w:sz w:val="24"/>
          <w:szCs w:val="24"/>
        </w:rPr>
        <w:t xml:space="preserve">atveju </w:t>
      </w:r>
      <w:r w:rsidR="00CA4FFF">
        <w:rPr>
          <w:rFonts w:cstheme="minorHAnsi"/>
          <w:sz w:val="24"/>
          <w:szCs w:val="24"/>
        </w:rPr>
        <w:t xml:space="preserve">dėl Perkančiosios organizacijos bei </w:t>
      </w:r>
      <w:r w:rsidR="009771EF" w:rsidRPr="009771EF">
        <w:rPr>
          <w:rFonts w:cstheme="minorHAnsi"/>
          <w:sz w:val="24"/>
          <w:szCs w:val="24"/>
        </w:rPr>
        <w:t>UAB „Arm Gate“</w:t>
      </w:r>
      <w:r w:rsidR="009771EF">
        <w:rPr>
          <w:rFonts w:cstheme="minorHAnsi"/>
          <w:sz w:val="24"/>
          <w:szCs w:val="24"/>
        </w:rPr>
        <w:t xml:space="preserve"> </w:t>
      </w:r>
      <w:r w:rsidR="009500B9">
        <w:rPr>
          <w:rFonts w:cstheme="minorHAnsi"/>
          <w:sz w:val="24"/>
          <w:szCs w:val="24"/>
        </w:rPr>
        <w:t>sudarytos Paramos sutarties susi</w:t>
      </w:r>
      <w:r w:rsidR="00217017">
        <w:rPr>
          <w:rFonts w:cstheme="minorHAnsi"/>
          <w:sz w:val="24"/>
          <w:szCs w:val="24"/>
        </w:rPr>
        <w:t>klostė tokia</w:t>
      </w:r>
      <w:r w:rsidR="00894070">
        <w:rPr>
          <w:rFonts w:cstheme="minorHAnsi"/>
          <w:sz w:val="24"/>
          <w:szCs w:val="24"/>
        </w:rPr>
        <w:t xml:space="preserve"> </w:t>
      </w:r>
      <w:r w:rsidR="009500B9">
        <w:rPr>
          <w:rFonts w:cstheme="minorHAnsi"/>
          <w:sz w:val="24"/>
          <w:szCs w:val="24"/>
        </w:rPr>
        <w:t>situacija</w:t>
      </w:r>
      <w:r w:rsidR="005E43BB">
        <w:rPr>
          <w:rFonts w:cstheme="minorHAnsi"/>
          <w:sz w:val="24"/>
          <w:szCs w:val="24"/>
        </w:rPr>
        <w:t xml:space="preserve">, kai </w:t>
      </w:r>
      <w:r w:rsidR="00C54D9F">
        <w:rPr>
          <w:rFonts w:cstheme="minorHAnsi"/>
          <w:sz w:val="24"/>
          <w:szCs w:val="24"/>
        </w:rPr>
        <w:t>Pirkimu siekiamą įsigyti f</w:t>
      </w:r>
      <w:r w:rsidR="00C54D9F" w:rsidRPr="00C54D9F">
        <w:rPr>
          <w:rFonts w:cstheme="minorHAnsi"/>
          <w:sz w:val="24"/>
          <w:szCs w:val="24"/>
        </w:rPr>
        <w:t>luorescencijos detektori</w:t>
      </w:r>
      <w:r w:rsidR="00C54D9F">
        <w:rPr>
          <w:rFonts w:cstheme="minorHAnsi"/>
          <w:sz w:val="24"/>
          <w:szCs w:val="24"/>
        </w:rPr>
        <w:t>ų</w:t>
      </w:r>
      <w:r w:rsidR="00C54D9F" w:rsidRPr="00C54D9F">
        <w:rPr>
          <w:rFonts w:cstheme="minorHAnsi"/>
          <w:sz w:val="24"/>
          <w:szCs w:val="24"/>
        </w:rPr>
        <w:t xml:space="preserve"> Shimadzu RF-20a</w:t>
      </w:r>
      <w:r w:rsidR="006007A3">
        <w:rPr>
          <w:rFonts w:cstheme="minorHAnsi"/>
          <w:sz w:val="24"/>
          <w:szCs w:val="24"/>
        </w:rPr>
        <w:t xml:space="preserve"> g</w:t>
      </w:r>
      <w:r w:rsidR="00A30F68">
        <w:rPr>
          <w:rFonts w:cstheme="minorHAnsi"/>
          <w:sz w:val="24"/>
          <w:szCs w:val="24"/>
        </w:rPr>
        <w:t>ali tiekti tik konkretus tiekėjas, paramos teikėjas UAB „Arm Gate“</w:t>
      </w:r>
      <w:r w:rsidR="00A0050C">
        <w:rPr>
          <w:rFonts w:cstheme="minorHAnsi"/>
          <w:sz w:val="24"/>
          <w:szCs w:val="24"/>
        </w:rPr>
        <w:t xml:space="preserve">, nors rinkoje yra </w:t>
      </w:r>
      <w:r w:rsidR="00217017">
        <w:rPr>
          <w:rFonts w:cstheme="minorHAnsi"/>
          <w:sz w:val="24"/>
          <w:szCs w:val="24"/>
        </w:rPr>
        <w:t xml:space="preserve">ir </w:t>
      </w:r>
      <w:r w:rsidR="00A0050C">
        <w:rPr>
          <w:rFonts w:cstheme="minorHAnsi"/>
          <w:sz w:val="24"/>
          <w:szCs w:val="24"/>
        </w:rPr>
        <w:t xml:space="preserve">kitų </w:t>
      </w:r>
      <w:r w:rsidR="00894070">
        <w:rPr>
          <w:rFonts w:cstheme="minorHAnsi"/>
          <w:sz w:val="24"/>
          <w:szCs w:val="24"/>
        </w:rPr>
        <w:t xml:space="preserve">Perkančiosios </w:t>
      </w:r>
      <w:r w:rsidR="00FA0CF2">
        <w:rPr>
          <w:rFonts w:cstheme="minorHAnsi"/>
          <w:sz w:val="24"/>
          <w:szCs w:val="24"/>
        </w:rPr>
        <w:t xml:space="preserve">organizacijos </w:t>
      </w:r>
      <w:r w:rsidR="00894070">
        <w:rPr>
          <w:rFonts w:cstheme="minorHAnsi"/>
          <w:sz w:val="24"/>
          <w:szCs w:val="24"/>
        </w:rPr>
        <w:t xml:space="preserve">poreikius atitinkančių </w:t>
      </w:r>
      <w:r w:rsidR="006E595C">
        <w:rPr>
          <w:rFonts w:cstheme="minorHAnsi"/>
          <w:sz w:val="24"/>
          <w:szCs w:val="24"/>
        </w:rPr>
        <w:t>sistemų bei jų sudėtinių dalių gamintojų</w:t>
      </w:r>
      <w:r w:rsidR="00894070">
        <w:rPr>
          <w:rFonts w:cstheme="minorHAnsi"/>
          <w:sz w:val="24"/>
          <w:szCs w:val="24"/>
        </w:rPr>
        <w:t xml:space="preserve"> ir tiekėjų</w:t>
      </w:r>
      <w:r w:rsidR="009771EF" w:rsidRPr="009771EF">
        <w:rPr>
          <w:rFonts w:cstheme="minorHAnsi"/>
          <w:sz w:val="24"/>
          <w:szCs w:val="24"/>
        </w:rPr>
        <w:t>.</w:t>
      </w:r>
      <w:r w:rsidR="00A30F68">
        <w:rPr>
          <w:rFonts w:cstheme="minorHAnsi"/>
          <w:sz w:val="24"/>
          <w:szCs w:val="24"/>
        </w:rPr>
        <w:t xml:space="preserve"> </w:t>
      </w:r>
      <w:r w:rsidR="001930EC" w:rsidRPr="001930EC">
        <w:rPr>
          <w:rFonts w:cstheme="minorHAnsi"/>
          <w:sz w:val="24"/>
          <w:szCs w:val="24"/>
        </w:rPr>
        <w:t xml:space="preserve">Įstatymo 17 straipsnio, reglamentuojančio pagrindinius viešųjų </w:t>
      </w:r>
      <w:r w:rsidR="001930EC" w:rsidRPr="001930EC">
        <w:rPr>
          <w:rFonts w:cstheme="minorHAnsi"/>
          <w:sz w:val="24"/>
          <w:szCs w:val="24"/>
        </w:rPr>
        <w:lastRenderedPageBreak/>
        <w:t>pirkimų principus, 3 dalyje nustatyta, jog „Planuojant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sidR="00F71F16">
        <w:rPr>
          <w:rFonts w:cstheme="minorHAnsi"/>
          <w:sz w:val="24"/>
          <w:szCs w:val="24"/>
        </w:rPr>
        <w:t xml:space="preserve"> </w:t>
      </w:r>
      <w:r w:rsidR="00894070" w:rsidRPr="00502056">
        <w:rPr>
          <w:rFonts w:cstheme="minorHAnsi"/>
          <w:sz w:val="24"/>
          <w:szCs w:val="24"/>
        </w:rPr>
        <w:t xml:space="preserve">Tarnyba pažymi, kad </w:t>
      </w:r>
      <w:r w:rsidR="009659CD" w:rsidRPr="00502056">
        <w:rPr>
          <w:rFonts w:cstheme="minorHAnsi"/>
          <w:sz w:val="24"/>
          <w:szCs w:val="24"/>
        </w:rPr>
        <w:t>Perkančioji organizacija</w:t>
      </w:r>
      <w:r w:rsidR="00C37DEE" w:rsidRPr="00502056">
        <w:rPr>
          <w:rFonts w:cstheme="minorHAnsi"/>
          <w:sz w:val="24"/>
          <w:szCs w:val="24"/>
        </w:rPr>
        <w:t>, sudarydama Pa</w:t>
      </w:r>
      <w:r w:rsidR="0004148A" w:rsidRPr="00502056">
        <w:rPr>
          <w:rFonts w:cstheme="minorHAnsi"/>
          <w:sz w:val="24"/>
          <w:szCs w:val="24"/>
        </w:rPr>
        <w:t>r</w:t>
      </w:r>
      <w:r w:rsidR="00C37DEE" w:rsidRPr="00502056">
        <w:rPr>
          <w:rFonts w:cstheme="minorHAnsi"/>
          <w:sz w:val="24"/>
          <w:szCs w:val="24"/>
        </w:rPr>
        <w:t>a</w:t>
      </w:r>
      <w:r w:rsidR="00FA0CF2" w:rsidRPr="00502056">
        <w:rPr>
          <w:rFonts w:cstheme="minorHAnsi"/>
          <w:sz w:val="24"/>
          <w:szCs w:val="24"/>
        </w:rPr>
        <w:t>m</w:t>
      </w:r>
      <w:r w:rsidR="00C37DEE" w:rsidRPr="00502056">
        <w:rPr>
          <w:rFonts w:cstheme="minorHAnsi"/>
          <w:sz w:val="24"/>
          <w:szCs w:val="24"/>
        </w:rPr>
        <w:t xml:space="preserve">os sutartį, </w:t>
      </w:r>
      <w:r w:rsidR="0019118B" w:rsidRPr="00502056">
        <w:rPr>
          <w:rFonts w:cstheme="minorHAnsi"/>
          <w:sz w:val="24"/>
          <w:szCs w:val="24"/>
        </w:rPr>
        <w:t xml:space="preserve">galėjo </w:t>
      </w:r>
      <w:r w:rsidR="00046B0C" w:rsidRPr="00502056">
        <w:rPr>
          <w:rFonts w:cstheme="minorHAnsi"/>
          <w:sz w:val="24"/>
          <w:szCs w:val="24"/>
        </w:rPr>
        <w:t xml:space="preserve">ir </w:t>
      </w:r>
      <w:r w:rsidR="00894070" w:rsidRPr="00502056">
        <w:rPr>
          <w:rFonts w:cstheme="minorHAnsi"/>
          <w:sz w:val="24"/>
          <w:szCs w:val="24"/>
        </w:rPr>
        <w:t xml:space="preserve">turėjo </w:t>
      </w:r>
      <w:r w:rsidR="0019118B" w:rsidRPr="00502056">
        <w:rPr>
          <w:rFonts w:cstheme="minorHAnsi"/>
          <w:sz w:val="24"/>
          <w:szCs w:val="24"/>
        </w:rPr>
        <w:t xml:space="preserve">numatyti </w:t>
      </w:r>
      <w:r w:rsidR="005F78CE" w:rsidRPr="00502056">
        <w:rPr>
          <w:rFonts w:cstheme="minorHAnsi"/>
          <w:sz w:val="24"/>
          <w:szCs w:val="24"/>
        </w:rPr>
        <w:t>bei į</w:t>
      </w:r>
      <w:r w:rsidR="00894070" w:rsidRPr="00502056">
        <w:rPr>
          <w:rFonts w:cstheme="minorHAnsi"/>
          <w:sz w:val="24"/>
          <w:szCs w:val="24"/>
        </w:rPr>
        <w:t>sivertinti</w:t>
      </w:r>
      <w:r w:rsidR="005F78CE" w:rsidRPr="00502056">
        <w:rPr>
          <w:rFonts w:cstheme="minorHAnsi"/>
          <w:sz w:val="24"/>
          <w:szCs w:val="24"/>
        </w:rPr>
        <w:t xml:space="preserve"> </w:t>
      </w:r>
      <w:r w:rsidR="00C37DEE" w:rsidRPr="00502056">
        <w:rPr>
          <w:rFonts w:cstheme="minorHAnsi"/>
          <w:sz w:val="24"/>
          <w:szCs w:val="24"/>
        </w:rPr>
        <w:t xml:space="preserve">aplinkybes, dėl kurių </w:t>
      </w:r>
      <w:r w:rsidR="00894070" w:rsidRPr="00502056">
        <w:rPr>
          <w:rFonts w:cstheme="minorHAnsi"/>
          <w:sz w:val="24"/>
          <w:szCs w:val="24"/>
        </w:rPr>
        <w:t xml:space="preserve">šiuo atveju </w:t>
      </w:r>
      <w:r w:rsidR="00217017" w:rsidRPr="00502056">
        <w:rPr>
          <w:rFonts w:cstheme="minorHAnsi"/>
          <w:sz w:val="24"/>
          <w:szCs w:val="24"/>
        </w:rPr>
        <w:t xml:space="preserve">bei ateityje </w:t>
      </w:r>
      <w:r w:rsidR="00894070" w:rsidRPr="00502056">
        <w:rPr>
          <w:rFonts w:cstheme="minorHAnsi"/>
          <w:sz w:val="24"/>
          <w:szCs w:val="24"/>
        </w:rPr>
        <w:t xml:space="preserve">Pirkimo objektą gali tiekti </w:t>
      </w:r>
      <w:r w:rsidR="005122AF" w:rsidRPr="00502056">
        <w:rPr>
          <w:rFonts w:cstheme="minorHAnsi"/>
          <w:sz w:val="24"/>
          <w:szCs w:val="24"/>
        </w:rPr>
        <w:t>tik konkretus tiekėjas</w:t>
      </w:r>
      <w:r w:rsidR="00EE6FC0" w:rsidRPr="00502056">
        <w:rPr>
          <w:rFonts w:cstheme="minorHAnsi"/>
          <w:sz w:val="24"/>
          <w:szCs w:val="24"/>
        </w:rPr>
        <w:t xml:space="preserve">, t. y. </w:t>
      </w:r>
      <w:r w:rsidR="00046B0C" w:rsidRPr="00502056">
        <w:rPr>
          <w:rFonts w:cstheme="minorHAnsi"/>
          <w:sz w:val="24"/>
          <w:szCs w:val="24"/>
        </w:rPr>
        <w:t>Tarnybos nuomone</w:t>
      </w:r>
      <w:r w:rsidR="00217017" w:rsidRPr="00502056">
        <w:rPr>
          <w:rFonts w:cstheme="minorHAnsi"/>
          <w:sz w:val="24"/>
          <w:szCs w:val="24"/>
        </w:rPr>
        <w:t>,</w:t>
      </w:r>
      <w:r w:rsidR="00046B0C" w:rsidRPr="00502056">
        <w:rPr>
          <w:rFonts w:cstheme="minorHAnsi"/>
          <w:sz w:val="24"/>
          <w:szCs w:val="24"/>
        </w:rPr>
        <w:t xml:space="preserve"> </w:t>
      </w:r>
      <w:r w:rsidR="00D462D1" w:rsidRPr="00502056">
        <w:rPr>
          <w:rFonts w:cstheme="minorHAnsi"/>
          <w:sz w:val="24"/>
          <w:szCs w:val="24"/>
        </w:rPr>
        <w:t xml:space="preserve">Perkančioji </w:t>
      </w:r>
      <w:r w:rsidR="00D462D1" w:rsidRPr="00DE19F3">
        <w:rPr>
          <w:rFonts w:cstheme="minorHAnsi"/>
          <w:sz w:val="24"/>
          <w:szCs w:val="24"/>
        </w:rPr>
        <w:t xml:space="preserve">organizacija </w:t>
      </w:r>
      <w:r w:rsidR="00046B0C" w:rsidRPr="00DE19F3">
        <w:rPr>
          <w:rFonts w:cstheme="minorHAnsi"/>
          <w:sz w:val="24"/>
          <w:szCs w:val="24"/>
        </w:rPr>
        <w:t>nesiėmė būtinų veiksmų</w:t>
      </w:r>
      <w:r w:rsidR="00217017" w:rsidRPr="00DE19F3">
        <w:rPr>
          <w:rFonts w:cstheme="minorHAnsi"/>
          <w:sz w:val="24"/>
          <w:szCs w:val="24"/>
        </w:rPr>
        <w:t xml:space="preserve"> ir priemonių</w:t>
      </w:r>
      <w:r w:rsidR="00046B0C" w:rsidRPr="00DE19F3">
        <w:rPr>
          <w:rFonts w:cstheme="minorHAnsi"/>
          <w:sz w:val="24"/>
          <w:szCs w:val="24"/>
        </w:rPr>
        <w:t xml:space="preserve">, kad būtų išvengta neskelbiamų derybų taikymo, todėl negali remtis </w:t>
      </w:r>
      <w:r w:rsidR="00BB3C46" w:rsidRPr="00DE19F3">
        <w:rPr>
          <w:rFonts w:cstheme="minorHAnsi"/>
          <w:sz w:val="24"/>
          <w:szCs w:val="24"/>
        </w:rPr>
        <w:t xml:space="preserve">neskelbiamų derybų </w:t>
      </w:r>
      <w:r w:rsidR="0018477B" w:rsidRPr="00DE19F3">
        <w:rPr>
          <w:rFonts w:cstheme="minorHAnsi"/>
          <w:sz w:val="24"/>
          <w:szCs w:val="24"/>
        </w:rPr>
        <w:t>išimtimi</w:t>
      </w:r>
      <w:r w:rsidR="00046B0C" w:rsidRPr="00DE19F3">
        <w:rPr>
          <w:rFonts w:cstheme="minorHAnsi"/>
          <w:sz w:val="24"/>
          <w:szCs w:val="24"/>
        </w:rPr>
        <w:t xml:space="preserve">, kai tokios </w:t>
      </w:r>
      <w:r w:rsidR="00BB3C46" w:rsidRPr="00DE19F3">
        <w:rPr>
          <w:rFonts w:cstheme="minorHAnsi"/>
          <w:sz w:val="24"/>
          <w:szCs w:val="24"/>
        </w:rPr>
        <w:t>išimties</w:t>
      </w:r>
      <w:r w:rsidR="00046B0C" w:rsidRPr="00DE19F3">
        <w:rPr>
          <w:rFonts w:cstheme="minorHAnsi"/>
          <w:sz w:val="24"/>
          <w:szCs w:val="24"/>
        </w:rPr>
        <w:t xml:space="preserve"> priežastis priklauso nuo </w:t>
      </w:r>
      <w:r w:rsidR="00217017" w:rsidRPr="00DE19F3">
        <w:rPr>
          <w:rFonts w:cstheme="minorHAnsi"/>
          <w:sz w:val="24"/>
          <w:szCs w:val="24"/>
        </w:rPr>
        <w:t xml:space="preserve">pačios </w:t>
      </w:r>
      <w:r w:rsidR="00046B0C" w:rsidRPr="00DE19F3">
        <w:rPr>
          <w:rFonts w:cstheme="minorHAnsi"/>
          <w:sz w:val="24"/>
          <w:szCs w:val="24"/>
        </w:rPr>
        <w:t>Perkančiosios organizacijos. Pasirašius</w:t>
      </w:r>
      <w:r w:rsidR="006C3510" w:rsidRPr="00DE19F3">
        <w:rPr>
          <w:rFonts w:cstheme="minorHAnsi"/>
          <w:sz w:val="24"/>
          <w:szCs w:val="24"/>
        </w:rPr>
        <w:t>i</w:t>
      </w:r>
      <w:r w:rsidR="00046B0C">
        <w:rPr>
          <w:rFonts w:cstheme="minorHAnsi"/>
          <w:sz w:val="24"/>
          <w:szCs w:val="24"/>
        </w:rPr>
        <w:t xml:space="preserve"> Paramos sutartį</w:t>
      </w:r>
      <w:r w:rsidR="00046B0C" w:rsidRPr="00046B0C">
        <w:rPr>
          <w:rFonts w:cstheme="minorHAnsi"/>
          <w:sz w:val="24"/>
          <w:szCs w:val="24"/>
        </w:rPr>
        <w:t xml:space="preserve"> </w:t>
      </w:r>
      <w:r w:rsidR="00046B0C">
        <w:rPr>
          <w:rFonts w:cstheme="minorHAnsi"/>
          <w:sz w:val="24"/>
          <w:szCs w:val="24"/>
        </w:rPr>
        <w:t>Perkančioji organizacija sukūrė tokią situaciją, kad</w:t>
      </w:r>
      <w:r w:rsidR="00AD7E09">
        <w:rPr>
          <w:rFonts w:cstheme="minorHAnsi"/>
          <w:sz w:val="24"/>
          <w:szCs w:val="24"/>
        </w:rPr>
        <w:t xml:space="preserve"> </w:t>
      </w:r>
      <w:r w:rsidR="00425B97">
        <w:rPr>
          <w:rFonts w:cstheme="minorHAnsi"/>
          <w:sz w:val="24"/>
          <w:szCs w:val="24"/>
        </w:rPr>
        <w:t>kiti tiekėjai</w:t>
      </w:r>
      <w:r w:rsidR="00942A41">
        <w:rPr>
          <w:rFonts w:cstheme="minorHAnsi"/>
          <w:sz w:val="24"/>
          <w:szCs w:val="24"/>
        </w:rPr>
        <w:t>, galintys pasiūlyti kitų gamintojų sistemas</w:t>
      </w:r>
      <w:r w:rsidR="00056429">
        <w:rPr>
          <w:rFonts w:cstheme="minorHAnsi"/>
          <w:sz w:val="24"/>
          <w:szCs w:val="24"/>
        </w:rPr>
        <w:t xml:space="preserve"> bei jų sudėtines</w:t>
      </w:r>
      <w:r w:rsidR="00DC1EA8">
        <w:rPr>
          <w:rFonts w:cstheme="minorHAnsi"/>
          <w:sz w:val="24"/>
          <w:szCs w:val="24"/>
        </w:rPr>
        <w:t xml:space="preserve"> </w:t>
      </w:r>
      <w:r w:rsidR="00056429">
        <w:rPr>
          <w:rFonts w:cstheme="minorHAnsi"/>
          <w:sz w:val="24"/>
          <w:szCs w:val="24"/>
        </w:rPr>
        <w:t>dalis</w:t>
      </w:r>
      <w:r w:rsidR="00942A41">
        <w:rPr>
          <w:rFonts w:cstheme="minorHAnsi"/>
          <w:sz w:val="24"/>
          <w:szCs w:val="24"/>
        </w:rPr>
        <w:t xml:space="preserve">, </w:t>
      </w:r>
      <w:r w:rsidR="00425B97">
        <w:rPr>
          <w:rFonts w:cstheme="minorHAnsi"/>
          <w:sz w:val="24"/>
          <w:szCs w:val="24"/>
        </w:rPr>
        <w:t xml:space="preserve">neteko galimybės </w:t>
      </w:r>
      <w:r w:rsidR="00942A41">
        <w:rPr>
          <w:rFonts w:cstheme="minorHAnsi"/>
          <w:sz w:val="24"/>
          <w:szCs w:val="24"/>
        </w:rPr>
        <w:t xml:space="preserve">varžytis </w:t>
      </w:r>
      <w:r w:rsidR="003C02E0">
        <w:rPr>
          <w:rFonts w:cstheme="minorHAnsi"/>
          <w:sz w:val="24"/>
          <w:szCs w:val="24"/>
        </w:rPr>
        <w:t xml:space="preserve">dėl </w:t>
      </w:r>
      <w:r w:rsidR="00046B0C">
        <w:rPr>
          <w:rFonts w:cstheme="minorHAnsi"/>
          <w:sz w:val="24"/>
          <w:szCs w:val="24"/>
        </w:rPr>
        <w:t>s</w:t>
      </w:r>
      <w:r w:rsidR="003C02E0" w:rsidRPr="003C02E0">
        <w:rPr>
          <w:rFonts w:cstheme="minorHAnsi"/>
          <w:sz w:val="24"/>
          <w:szCs w:val="24"/>
        </w:rPr>
        <w:t>istem</w:t>
      </w:r>
      <w:r w:rsidR="003C02E0">
        <w:rPr>
          <w:rFonts w:cstheme="minorHAnsi"/>
          <w:sz w:val="24"/>
          <w:szCs w:val="24"/>
        </w:rPr>
        <w:t>os</w:t>
      </w:r>
      <w:r w:rsidR="003C02E0" w:rsidRPr="003C02E0">
        <w:rPr>
          <w:rFonts w:cstheme="minorHAnsi"/>
          <w:sz w:val="24"/>
          <w:szCs w:val="24"/>
        </w:rPr>
        <w:t xml:space="preserve"> bei jos eksploatacijai reikaling</w:t>
      </w:r>
      <w:r w:rsidR="003C02E0">
        <w:rPr>
          <w:rFonts w:cstheme="minorHAnsi"/>
          <w:sz w:val="24"/>
          <w:szCs w:val="24"/>
        </w:rPr>
        <w:t>ų</w:t>
      </w:r>
      <w:r w:rsidR="003C02E0" w:rsidRPr="003C02E0">
        <w:rPr>
          <w:rFonts w:cstheme="minorHAnsi"/>
          <w:sz w:val="24"/>
          <w:szCs w:val="24"/>
        </w:rPr>
        <w:t xml:space="preserve"> detal</w:t>
      </w:r>
      <w:r w:rsidR="003C02E0">
        <w:rPr>
          <w:rFonts w:cstheme="minorHAnsi"/>
          <w:sz w:val="24"/>
          <w:szCs w:val="24"/>
        </w:rPr>
        <w:t>ių</w:t>
      </w:r>
      <w:r w:rsidR="003C02E0" w:rsidRPr="003C02E0">
        <w:rPr>
          <w:rFonts w:cstheme="minorHAnsi"/>
          <w:sz w:val="24"/>
          <w:szCs w:val="24"/>
        </w:rPr>
        <w:t>, aptarnavimo, priežiūros ir remonto paslaug</w:t>
      </w:r>
      <w:r w:rsidR="00256197">
        <w:rPr>
          <w:rFonts w:cstheme="minorHAnsi"/>
          <w:sz w:val="24"/>
          <w:szCs w:val="24"/>
        </w:rPr>
        <w:t>ų</w:t>
      </w:r>
      <w:r w:rsidR="003C02E0" w:rsidRPr="003C02E0">
        <w:rPr>
          <w:rFonts w:cstheme="minorHAnsi"/>
          <w:sz w:val="24"/>
          <w:szCs w:val="24"/>
        </w:rPr>
        <w:t>, Sistemos eksploatacijos laikotarpiu</w:t>
      </w:r>
      <w:r w:rsidR="00256197">
        <w:rPr>
          <w:rFonts w:cstheme="minorHAnsi"/>
          <w:sz w:val="24"/>
          <w:szCs w:val="24"/>
        </w:rPr>
        <w:t>, teikimo.</w:t>
      </w:r>
    </w:p>
    <w:p w14:paraId="2C0ECB82" w14:textId="27D9F8E8" w:rsidR="001930EC" w:rsidRPr="001930EC" w:rsidRDefault="001930EC" w:rsidP="001930EC">
      <w:pPr>
        <w:spacing w:after="0" w:line="240" w:lineRule="auto"/>
        <w:ind w:left="284" w:right="141" w:firstLine="850"/>
        <w:jc w:val="both"/>
        <w:rPr>
          <w:rFonts w:cstheme="minorHAnsi"/>
          <w:sz w:val="24"/>
          <w:szCs w:val="24"/>
        </w:rPr>
      </w:pPr>
      <w:r w:rsidRPr="001930EC">
        <w:rPr>
          <w:rFonts w:cstheme="minorHAnsi"/>
          <w:sz w:val="24"/>
          <w:szCs w:val="24"/>
        </w:rPr>
        <w:t xml:space="preserve">Įvertinusi aukščiau išdėstytas aplinkybes ir vadovaudamasi Įstatymo 95 straipsnio 2 dalies </w:t>
      </w:r>
      <w:r w:rsidR="006C6171" w:rsidRPr="006C6171">
        <w:rPr>
          <w:rFonts w:cstheme="minorHAnsi"/>
          <w:sz w:val="24"/>
          <w:szCs w:val="24"/>
        </w:rPr>
        <w:t>7</w:t>
      </w:r>
      <w:r w:rsidRPr="001930EC">
        <w:rPr>
          <w:rFonts w:cstheme="minorHAnsi"/>
          <w:sz w:val="24"/>
          <w:szCs w:val="24"/>
        </w:rPr>
        <w:t xml:space="preserve"> punkto nuostatomis, Tarnyba neturi pagrindo sutikti, kad </w:t>
      </w:r>
      <w:r w:rsidR="00046B0C">
        <w:rPr>
          <w:rFonts w:cstheme="minorHAnsi"/>
          <w:sz w:val="24"/>
          <w:szCs w:val="24"/>
        </w:rPr>
        <w:t xml:space="preserve">Perkančioji organizacija Pirkimą </w:t>
      </w:r>
      <w:r w:rsidRPr="001930EC">
        <w:rPr>
          <w:rFonts w:cstheme="minorHAnsi"/>
          <w:sz w:val="24"/>
          <w:szCs w:val="24"/>
        </w:rPr>
        <w:t xml:space="preserve">vykdytų neskelbiamų derybų būdu, vadovaujantis Įstatymo 71 straipsnio 1 dalies 2 punkto </w:t>
      </w:r>
      <w:r w:rsidR="006C6171" w:rsidRPr="006C6171">
        <w:rPr>
          <w:rFonts w:cstheme="minorHAnsi"/>
          <w:sz w:val="24"/>
          <w:szCs w:val="24"/>
        </w:rPr>
        <w:t>b</w:t>
      </w:r>
      <w:r w:rsidRPr="001930EC">
        <w:rPr>
          <w:rFonts w:cstheme="minorHAnsi"/>
          <w:sz w:val="24"/>
          <w:szCs w:val="24"/>
        </w:rPr>
        <w:t>) papunkčio nuostatomis.</w:t>
      </w:r>
    </w:p>
    <w:p w14:paraId="299EAF21" w14:textId="77777777" w:rsidR="00342188" w:rsidRPr="00342188" w:rsidRDefault="00342188" w:rsidP="00342188">
      <w:pPr>
        <w:spacing w:after="0" w:line="240" w:lineRule="auto"/>
        <w:ind w:left="284" w:right="141" w:firstLine="850"/>
        <w:jc w:val="both"/>
        <w:rPr>
          <w:rFonts w:eastAsia="Calibri" w:cstheme="minorHAnsi"/>
          <w:sz w:val="24"/>
          <w:szCs w:val="24"/>
        </w:rPr>
      </w:pPr>
      <w:r w:rsidRPr="00342188">
        <w:rPr>
          <w:rFonts w:eastAsia="Calibri"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2B33F2CA" w14:textId="77777777" w:rsidR="000F5E9F" w:rsidRPr="00342188" w:rsidRDefault="000F5E9F" w:rsidP="000F5E9F">
      <w:pPr>
        <w:spacing w:after="0" w:line="240" w:lineRule="auto"/>
        <w:ind w:left="284" w:right="141" w:firstLine="850"/>
        <w:jc w:val="both"/>
        <w:rPr>
          <w:rFonts w:eastAsia="Calibri" w:cstheme="minorHAnsi"/>
          <w:sz w:val="24"/>
          <w:szCs w:val="24"/>
        </w:rPr>
      </w:pPr>
    </w:p>
    <w:p w14:paraId="02F5F346" w14:textId="77777777" w:rsidR="000F5E9F" w:rsidRPr="00342188" w:rsidRDefault="000F5E9F" w:rsidP="000F5E9F">
      <w:pPr>
        <w:spacing w:after="0" w:line="240" w:lineRule="auto"/>
        <w:ind w:left="284" w:right="141" w:firstLine="850"/>
        <w:jc w:val="both"/>
        <w:rPr>
          <w:rFonts w:cstheme="minorHAnsi"/>
          <w:sz w:val="24"/>
          <w:szCs w:val="24"/>
        </w:rPr>
      </w:pPr>
    </w:p>
    <w:p w14:paraId="30826746" w14:textId="77777777" w:rsidR="000F5E9F" w:rsidRPr="001A6EEE" w:rsidRDefault="000F5E9F" w:rsidP="000F5E9F">
      <w:pPr>
        <w:spacing w:after="0" w:line="240" w:lineRule="auto"/>
        <w:ind w:left="284" w:right="141" w:firstLine="850"/>
        <w:jc w:val="both"/>
        <w:rPr>
          <w:rFonts w:cstheme="minorHAnsi"/>
          <w:sz w:val="24"/>
          <w:szCs w:val="24"/>
        </w:rPr>
      </w:pPr>
    </w:p>
    <w:p w14:paraId="15C0ADAB" w14:textId="77777777" w:rsidR="000F5E9F" w:rsidRPr="001A6EEE" w:rsidRDefault="000F5E9F" w:rsidP="000F5E9F">
      <w:pPr>
        <w:tabs>
          <w:tab w:val="left" w:pos="1134"/>
        </w:tabs>
        <w:spacing w:after="0"/>
        <w:ind w:left="284"/>
        <w:jc w:val="both"/>
        <w:rPr>
          <w:rFonts w:cstheme="minorHAnsi"/>
          <w:sz w:val="24"/>
          <w:szCs w:val="24"/>
        </w:rPr>
      </w:pPr>
      <w:r w:rsidRPr="001A6EEE">
        <w:rPr>
          <w:rFonts w:cstheme="minorHAnsi"/>
          <w:sz w:val="24"/>
          <w:szCs w:val="24"/>
        </w:rPr>
        <w:t>Direktorius</w:t>
      </w:r>
      <w:r w:rsidRPr="001A6EEE">
        <w:rPr>
          <w:rFonts w:cstheme="minorHAnsi"/>
          <w:sz w:val="24"/>
          <w:szCs w:val="24"/>
        </w:rPr>
        <w:tab/>
      </w:r>
      <w:r w:rsidRPr="001A6EEE">
        <w:rPr>
          <w:rFonts w:cstheme="minorHAnsi"/>
          <w:sz w:val="24"/>
          <w:szCs w:val="24"/>
        </w:rPr>
        <w:tab/>
      </w:r>
      <w:r w:rsidRPr="001A6EEE">
        <w:rPr>
          <w:rFonts w:cstheme="minorHAnsi"/>
          <w:sz w:val="24"/>
          <w:szCs w:val="24"/>
        </w:rPr>
        <w:tab/>
      </w:r>
      <w:r w:rsidRPr="001A6EEE">
        <w:rPr>
          <w:rFonts w:eastAsia="Times New Roman" w:cstheme="minorHAnsi"/>
          <w:sz w:val="24"/>
          <w:szCs w:val="24"/>
        </w:rPr>
        <w:tab/>
      </w:r>
      <w:r w:rsidRPr="001A6EEE">
        <w:rPr>
          <w:rFonts w:eastAsia="Times New Roman" w:cstheme="minorHAnsi"/>
          <w:sz w:val="24"/>
          <w:szCs w:val="24"/>
        </w:rPr>
        <w:tab/>
        <w:t xml:space="preserve">          Darius Vedrickas </w:t>
      </w:r>
    </w:p>
    <w:bookmarkEnd w:id="0"/>
    <w:sectPr w:rsidR="000F5E9F" w:rsidRPr="001A6EEE" w:rsidSect="00DC15CE">
      <w:headerReference w:type="even" r:id="rId10"/>
      <w:headerReference w:type="default" r:id="rId11"/>
      <w:footerReference w:type="first" r:id="rId12"/>
      <w:pgSz w:w="11907" w:h="16840" w:code="9"/>
      <w:pgMar w:top="851" w:right="567" w:bottom="1134" w:left="1134"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9FA74" w14:textId="77777777" w:rsidR="00F36C57" w:rsidRDefault="00F36C57">
      <w:pPr>
        <w:spacing w:after="0" w:line="240" w:lineRule="auto"/>
      </w:pPr>
      <w:r>
        <w:separator/>
      </w:r>
    </w:p>
  </w:endnote>
  <w:endnote w:type="continuationSeparator" w:id="0">
    <w:p w14:paraId="3D2DCB8D" w14:textId="77777777" w:rsidR="00F36C57" w:rsidRDefault="00F36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E9EC" w14:textId="1727615F"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7C5DE27D" w14:textId="5CCF451D"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38C6DB02" w14:textId="169B4DF1"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hyperlink r:id="rId1" w:history="1">
      <w:r w:rsidRPr="004948EF">
        <w:rPr>
          <w:rStyle w:val="Hyperlink"/>
          <w:rFonts w:ascii="Times New Roman" w:hAnsi="Times New Roman" w:cs="Times New Roman"/>
          <w:sz w:val="20"/>
          <w:szCs w:val="20"/>
        </w:rPr>
        <w:t>http://www.vpt.lrv.lt</w:t>
      </w:r>
    </w:hyperlink>
    <w:r w:rsidRPr="004948EF">
      <w:rPr>
        <w:rFonts w:ascii="Times New Roman" w:hAnsi="Times New Roman" w:cs="Times New Roman"/>
        <w:sz w:val="20"/>
        <w:szCs w:val="20"/>
      </w:rPr>
      <w:tab/>
      <w:t xml:space="preserve">         El. p. </w:t>
    </w:r>
    <w:hyperlink r:id="rId2" w:history="1">
      <w:r w:rsidRPr="004948EF">
        <w:rPr>
          <w:rStyle w:val="Hyperlink"/>
          <w:rFonts w:ascii="Times New Roman" w:hAnsi="Times New Roman" w:cs="Times New Roman"/>
          <w:sz w:val="20"/>
          <w:szCs w:val="20"/>
        </w:rPr>
        <w:t>info@vpt.lt</w:t>
      </w:r>
    </w:hyperlink>
    <w:r w:rsidRPr="004948EF">
      <w:rPr>
        <w:rFonts w:ascii="Times New Roman" w:hAnsi="Times New Roman" w:cs="Times New Roman"/>
        <w:sz w:val="20"/>
        <w:szCs w:val="20"/>
      </w:rPr>
      <w:t xml:space="preserve">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Kodas 188656261                                   </w:t>
    </w:r>
  </w:p>
  <w:p w14:paraId="3FCCB079" w14:textId="77777777" w:rsidR="00A55C18" w:rsidRPr="004948EF" w:rsidRDefault="00A55C18" w:rsidP="00A55C18">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201FBE" w:rsidRPr="00B375CF" w:rsidRDefault="00201FBE" w:rsidP="00201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2DA03" w14:textId="77777777" w:rsidR="00F36C57" w:rsidRDefault="00F36C57">
      <w:pPr>
        <w:spacing w:after="0" w:line="240" w:lineRule="auto"/>
      </w:pPr>
      <w:r>
        <w:separator/>
      </w:r>
    </w:p>
  </w:footnote>
  <w:footnote w:type="continuationSeparator" w:id="0">
    <w:p w14:paraId="3A2F5E11" w14:textId="77777777" w:rsidR="00F36C57" w:rsidRDefault="00F36C57">
      <w:pPr>
        <w:spacing w:after="0" w:line="240" w:lineRule="auto"/>
      </w:pPr>
      <w:r>
        <w:continuationSeparator/>
      </w:r>
    </w:p>
  </w:footnote>
  <w:footnote w:id="1">
    <w:p w14:paraId="5FD29BFA" w14:textId="77777777" w:rsidR="00F53D1E" w:rsidRPr="00FB0334" w:rsidRDefault="00F53D1E" w:rsidP="00F53D1E">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FB0334">
        <w:rPr>
          <w:rFonts w:cstheme="minorHAnsi"/>
        </w:rPr>
        <w:t>Patvirtintos Viešųjų pirkimų tarnybos direktoriaus 2017 m. birželio 29 d. įsakymu Nr. 1S-99.</w:t>
      </w:r>
    </w:p>
  </w:footnote>
  <w:footnote w:id="2">
    <w:p w14:paraId="7A88F66F" w14:textId="77777777" w:rsidR="006E00CC" w:rsidRDefault="006E00CC" w:rsidP="006E00CC">
      <w:pPr>
        <w:pStyle w:val="FootnoteText"/>
      </w:pPr>
      <w:r>
        <w:rPr>
          <w:rStyle w:val="FootnoteReference"/>
        </w:rPr>
        <w:footnoteRef/>
      </w:r>
      <w:r>
        <w:t xml:space="preserve"> </w:t>
      </w:r>
      <w:r w:rsidRPr="00D56DA7">
        <w:t>Viešojo pirkimo „Skaitmeninė laboratorinė įranga“ komisij</w:t>
      </w:r>
      <w:r>
        <w:t>os (toliau – Komisija)</w:t>
      </w:r>
      <w:r w:rsidRPr="00D56DA7">
        <w:t xml:space="preserve"> 2024-12-02</w:t>
      </w:r>
      <w:r>
        <w:t xml:space="preserve"> protokolas Nr. 1.</w:t>
      </w:r>
    </w:p>
  </w:footnote>
  <w:footnote w:id="3">
    <w:p w14:paraId="50A8BEBB" w14:textId="177FFA25" w:rsidR="005C654F" w:rsidRPr="008D267E" w:rsidRDefault="005C654F" w:rsidP="005C654F">
      <w:pPr>
        <w:pStyle w:val="FootnoteText"/>
        <w:rPr>
          <w:rFonts w:cstheme="minorHAnsi"/>
        </w:rPr>
      </w:pPr>
      <w:r>
        <w:rPr>
          <w:rStyle w:val="FootnoteReference"/>
        </w:rPr>
        <w:footnoteRef/>
      </w:r>
      <w:r>
        <w:t xml:space="preserve"> </w:t>
      </w:r>
      <w:r w:rsidRPr="008D267E">
        <w:rPr>
          <w:rFonts w:cstheme="minorHAnsi"/>
        </w:rPr>
        <w:t>Perkančioji organizacija 2024-12-27 raštu Nr. VDU-SR-961 „Dėl papildomų dokumentų ir paaiškinimų pateikimo“ atsisakė neskelbiamų derybų pagrindą grįsti Įstatymo 71 straipsnio 3 dalies 2 punktu, kuris buvo nurodytas Komisijos 2024-12-02 protokole Nr. 1.</w:t>
      </w:r>
    </w:p>
  </w:footnote>
  <w:footnote w:id="4">
    <w:p w14:paraId="6B8D4E69" w14:textId="772C387F" w:rsidR="006C2309" w:rsidRPr="008D267E" w:rsidRDefault="006C2309">
      <w:pPr>
        <w:pStyle w:val="FootnoteText"/>
        <w:rPr>
          <w:rFonts w:cstheme="minorHAnsi"/>
        </w:rPr>
      </w:pPr>
      <w:r w:rsidRPr="008D267E">
        <w:rPr>
          <w:rStyle w:val="FootnoteReference"/>
          <w:rFonts w:cstheme="minorHAnsi"/>
        </w:rPr>
        <w:footnoteRef/>
      </w:r>
      <w:r w:rsidRPr="008D267E">
        <w:rPr>
          <w:rFonts w:cstheme="minorHAnsi"/>
        </w:rPr>
        <w:t xml:space="preserve"> </w:t>
      </w:r>
      <w:r w:rsidR="008D267E" w:rsidRPr="008D267E">
        <w:rPr>
          <w:rFonts w:cstheme="minorHAnsi"/>
        </w:rPr>
        <w:t>Žr. nuoroda Nr. 2.</w:t>
      </w:r>
    </w:p>
  </w:footnote>
  <w:footnote w:id="5">
    <w:p w14:paraId="23FF1025" w14:textId="57309F93" w:rsidR="000F5E9F" w:rsidRPr="008D267E" w:rsidRDefault="000F5E9F" w:rsidP="000F5E9F">
      <w:pPr>
        <w:pStyle w:val="FootnoteText"/>
        <w:jc w:val="both"/>
        <w:rPr>
          <w:rFonts w:cstheme="minorHAnsi"/>
        </w:rPr>
      </w:pPr>
      <w:r w:rsidRPr="008D267E">
        <w:rPr>
          <w:rStyle w:val="FootnoteReference"/>
          <w:rFonts w:cstheme="minorHAnsi"/>
        </w:rPr>
        <w:footnoteRef/>
      </w:r>
      <w:r w:rsidRPr="008D267E">
        <w:rPr>
          <w:rFonts w:cstheme="minorHAnsi"/>
        </w:rPr>
        <w:t xml:space="preserve"> ESTT 2005 m. sausio 13 d. sprendimas Komisija prieš Ispaniją, C-84/03; ESTT 2009 m. birželio 4 d. sprendimas Komisija prieš Graikiją, C-250/07 ir kt.</w:t>
      </w:r>
    </w:p>
  </w:footnote>
  <w:footnote w:id="6">
    <w:p w14:paraId="6B12C240" w14:textId="2F83FA41" w:rsidR="00C649CB" w:rsidRDefault="00C649CB">
      <w:pPr>
        <w:pStyle w:val="FootnoteText"/>
      </w:pPr>
      <w:r>
        <w:rPr>
          <w:rStyle w:val="FootnoteReference"/>
        </w:rPr>
        <w:footnoteRef/>
      </w:r>
      <w:r>
        <w:t xml:space="preserve"> Perkančiosios organizacijos </w:t>
      </w:r>
      <w:r w:rsidRPr="00AE225A">
        <w:t>2024-01-08</w:t>
      </w:r>
      <w:r>
        <w:t xml:space="preserve"> raštas Nr. </w:t>
      </w:r>
      <w:r w:rsidRPr="00AE225A">
        <w:t>VDU-SR-36</w:t>
      </w:r>
      <w:r>
        <w:t xml:space="preserve"> „Dėl papildomų dokumentų ir paaiškinimų pateikimo“.</w:t>
      </w:r>
    </w:p>
  </w:footnote>
  <w:footnote w:id="7">
    <w:p w14:paraId="5BABD8AB" w14:textId="3FFC9224" w:rsidR="000E7EF1" w:rsidRDefault="000E7EF1">
      <w:pPr>
        <w:pStyle w:val="FootnoteText"/>
      </w:pPr>
      <w:r>
        <w:rPr>
          <w:rStyle w:val="FootnoteReference"/>
        </w:rPr>
        <w:footnoteRef/>
      </w:r>
      <w:r>
        <w:t xml:space="preserve"> </w:t>
      </w:r>
      <w:r w:rsidR="00C649CB">
        <w:t xml:space="preserve">Žr. </w:t>
      </w:r>
      <w:r w:rsidR="00E40555">
        <w:t>6 nuoroda.</w:t>
      </w:r>
    </w:p>
  </w:footnote>
  <w:footnote w:id="8">
    <w:p w14:paraId="49B50BAB" w14:textId="3DCB3805" w:rsidR="00F150B8" w:rsidRDefault="00F150B8">
      <w:pPr>
        <w:pStyle w:val="FootnoteText"/>
      </w:pPr>
      <w:r>
        <w:rPr>
          <w:rStyle w:val="FootnoteReference"/>
        </w:rPr>
        <w:footnoteRef/>
      </w:r>
      <w:r>
        <w:t xml:space="preserve"> </w:t>
      </w:r>
      <w:r w:rsidR="00757A95">
        <w:t>„</w:t>
      </w:r>
      <w:r w:rsidR="00757A95" w:rsidRPr="000E7EF1">
        <w:rPr>
          <w:bCs/>
        </w:rPr>
        <w:t>Gamintojų siūlomos sistemos skirstomos į jonų mainų, dujų ir skysčių chromatografijos sistemas</w:t>
      </w:r>
      <w:r w:rsidR="00757A95" w:rsidRPr="00757A95">
        <w:rPr>
          <w:bCs/>
        </w:rPr>
        <w:t>, o c</w:t>
      </w:r>
      <w:r w:rsidR="00757A95" w:rsidRPr="000E7EF1">
        <w:rPr>
          <w:bCs/>
        </w:rPr>
        <w:t>hromatografų modeliai priklauso nuo metodų pasirinkimo pagal tai kokius junginius yra siekiama identifikuoti</w:t>
      </w:r>
      <w:r w:rsidR="00954143">
        <w:rPr>
          <w:bCs/>
        </w:rPr>
        <w:t xml:space="preserve"> &lt;</w:t>
      </w:r>
      <w:r w:rsidR="004A1F55">
        <w:rPr>
          <w:bCs/>
        </w:rPr>
        <w:t>.</w:t>
      </w:r>
      <w:r w:rsidR="00757A95">
        <w:rPr>
          <w:bCs/>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201FBE"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201FBE" w:rsidRDefault="00201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201FBE"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01FBE" w:rsidRDefault="00201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FE645B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0634B"/>
    <w:multiLevelType w:val="hybridMultilevel"/>
    <w:tmpl w:val="B9C6589E"/>
    <w:lvl w:ilvl="0" w:tplc="F46EE0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11508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8064006">
    <w:abstractNumId w:val="0"/>
  </w:num>
  <w:num w:numId="3" w16cid:durableId="1658457815">
    <w:abstractNumId w:val="4"/>
  </w:num>
  <w:num w:numId="4" w16cid:durableId="1675379250">
    <w:abstractNumId w:val="0"/>
  </w:num>
  <w:num w:numId="5" w16cid:durableId="213008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0005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1057202">
    <w:abstractNumId w:val="3"/>
  </w:num>
  <w:num w:numId="8" w16cid:durableId="263616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76"/>
    <w:rsid w:val="00001AF1"/>
    <w:rsid w:val="00007426"/>
    <w:rsid w:val="0000795D"/>
    <w:rsid w:val="00007E39"/>
    <w:rsid w:val="000109DE"/>
    <w:rsid w:val="0001383A"/>
    <w:rsid w:val="00013D6B"/>
    <w:rsid w:val="000235EA"/>
    <w:rsid w:val="00023BB9"/>
    <w:rsid w:val="00024424"/>
    <w:rsid w:val="000247A2"/>
    <w:rsid w:val="00026F51"/>
    <w:rsid w:val="00031AA1"/>
    <w:rsid w:val="00034134"/>
    <w:rsid w:val="000346B0"/>
    <w:rsid w:val="00035296"/>
    <w:rsid w:val="000367A4"/>
    <w:rsid w:val="00036A1A"/>
    <w:rsid w:val="00037BC1"/>
    <w:rsid w:val="0004148A"/>
    <w:rsid w:val="00041E40"/>
    <w:rsid w:val="0004399C"/>
    <w:rsid w:val="00046B0C"/>
    <w:rsid w:val="00047593"/>
    <w:rsid w:val="00047A87"/>
    <w:rsid w:val="00052C92"/>
    <w:rsid w:val="00053836"/>
    <w:rsid w:val="00054B12"/>
    <w:rsid w:val="000555F7"/>
    <w:rsid w:val="00056429"/>
    <w:rsid w:val="00057427"/>
    <w:rsid w:val="00057F5A"/>
    <w:rsid w:val="00060915"/>
    <w:rsid w:val="00061D6F"/>
    <w:rsid w:val="00062EEB"/>
    <w:rsid w:val="00065134"/>
    <w:rsid w:val="00066E27"/>
    <w:rsid w:val="00066E90"/>
    <w:rsid w:val="00072683"/>
    <w:rsid w:val="00073BB9"/>
    <w:rsid w:val="00074D30"/>
    <w:rsid w:val="00075EF6"/>
    <w:rsid w:val="0008528D"/>
    <w:rsid w:val="000864FD"/>
    <w:rsid w:val="0008781D"/>
    <w:rsid w:val="0009012B"/>
    <w:rsid w:val="000907EE"/>
    <w:rsid w:val="00091F36"/>
    <w:rsid w:val="00093FC9"/>
    <w:rsid w:val="00095093"/>
    <w:rsid w:val="000961E0"/>
    <w:rsid w:val="000A01B4"/>
    <w:rsid w:val="000A0558"/>
    <w:rsid w:val="000A1623"/>
    <w:rsid w:val="000A2896"/>
    <w:rsid w:val="000A4621"/>
    <w:rsid w:val="000A5AD0"/>
    <w:rsid w:val="000A5AD1"/>
    <w:rsid w:val="000A686D"/>
    <w:rsid w:val="000B0107"/>
    <w:rsid w:val="000B2F97"/>
    <w:rsid w:val="000B2FF7"/>
    <w:rsid w:val="000B39C8"/>
    <w:rsid w:val="000C19B7"/>
    <w:rsid w:val="000C4049"/>
    <w:rsid w:val="000D2B9E"/>
    <w:rsid w:val="000D2D59"/>
    <w:rsid w:val="000D5124"/>
    <w:rsid w:val="000D7557"/>
    <w:rsid w:val="000D76C2"/>
    <w:rsid w:val="000E237F"/>
    <w:rsid w:val="000E365F"/>
    <w:rsid w:val="000E4C54"/>
    <w:rsid w:val="000E5ADB"/>
    <w:rsid w:val="000E69A7"/>
    <w:rsid w:val="000E6D19"/>
    <w:rsid w:val="000E7EF1"/>
    <w:rsid w:val="000F5E9F"/>
    <w:rsid w:val="000F6A38"/>
    <w:rsid w:val="000F708F"/>
    <w:rsid w:val="00100B19"/>
    <w:rsid w:val="001014E7"/>
    <w:rsid w:val="00101D97"/>
    <w:rsid w:val="00103C18"/>
    <w:rsid w:val="001045DD"/>
    <w:rsid w:val="00104B76"/>
    <w:rsid w:val="0010614B"/>
    <w:rsid w:val="00112684"/>
    <w:rsid w:val="00113011"/>
    <w:rsid w:val="001217B9"/>
    <w:rsid w:val="0012235A"/>
    <w:rsid w:val="0012489C"/>
    <w:rsid w:val="001279E8"/>
    <w:rsid w:val="00132CAB"/>
    <w:rsid w:val="0013392F"/>
    <w:rsid w:val="00134BBB"/>
    <w:rsid w:val="00137E3C"/>
    <w:rsid w:val="001406A0"/>
    <w:rsid w:val="00141416"/>
    <w:rsid w:val="00141EC9"/>
    <w:rsid w:val="001501C4"/>
    <w:rsid w:val="00150F16"/>
    <w:rsid w:val="00151CD0"/>
    <w:rsid w:val="00153544"/>
    <w:rsid w:val="00154733"/>
    <w:rsid w:val="00154F87"/>
    <w:rsid w:val="00161BEE"/>
    <w:rsid w:val="001655E4"/>
    <w:rsid w:val="0017677F"/>
    <w:rsid w:val="0018108B"/>
    <w:rsid w:val="00181EF8"/>
    <w:rsid w:val="001823D5"/>
    <w:rsid w:val="0018477B"/>
    <w:rsid w:val="00185B75"/>
    <w:rsid w:val="00187128"/>
    <w:rsid w:val="00187BD8"/>
    <w:rsid w:val="0019118B"/>
    <w:rsid w:val="00192521"/>
    <w:rsid w:val="001930EC"/>
    <w:rsid w:val="00193249"/>
    <w:rsid w:val="00193A9A"/>
    <w:rsid w:val="001942D0"/>
    <w:rsid w:val="001956C8"/>
    <w:rsid w:val="00196361"/>
    <w:rsid w:val="001968F8"/>
    <w:rsid w:val="001A19A0"/>
    <w:rsid w:val="001A568A"/>
    <w:rsid w:val="001A6EEE"/>
    <w:rsid w:val="001B4AE3"/>
    <w:rsid w:val="001B5B43"/>
    <w:rsid w:val="001C0205"/>
    <w:rsid w:val="001C0D45"/>
    <w:rsid w:val="001C2E32"/>
    <w:rsid w:val="001C5924"/>
    <w:rsid w:val="001D7AD1"/>
    <w:rsid w:val="001E24B3"/>
    <w:rsid w:val="001E3561"/>
    <w:rsid w:val="001E539D"/>
    <w:rsid w:val="001E58F1"/>
    <w:rsid w:val="001E5917"/>
    <w:rsid w:val="001E6A1D"/>
    <w:rsid w:val="001E7504"/>
    <w:rsid w:val="001F039B"/>
    <w:rsid w:val="001F0A65"/>
    <w:rsid w:val="001F1FF5"/>
    <w:rsid w:val="001F21BB"/>
    <w:rsid w:val="001F5723"/>
    <w:rsid w:val="001F66AF"/>
    <w:rsid w:val="001F6770"/>
    <w:rsid w:val="002005C6"/>
    <w:rsid w:val="00200CEE"/>
    <w:rsid w:val="00201FBE"/>
    <w:rsid w:val="002032D8"/>
    <w:rsid w:val="002045DD"/>
    <w:rsid w:val="0021219D"/>
    <w:rsid w:val="00215EC1"/>
    <w:rsid w:val="00217017"/>
    <w:rsid w:val="00221834"/>
    <w:rsid w:val="00224816"/>
    <w:rsid w:val="00226C93"/>
    <w:rsid w:val="00227411"/>
    <w:rsid w:val="002362BE"/>
    <w:rsid w:val="00236B7C"/>
    <w:rsid w:val="00237BD2"/>
    <w:rsid w:val="002479B5"/>
    <w:rsid w:val="00247A77"/>
    <w:rsid w:val="00253AA0"/>
    <w:rsid w:val="00254F93"/>
    <w:rsid w:val="00255307"/>
    <w:rsid w:val="002553A1"/>
    <w:rsid w:val="00256197"/>
    <w:rsid w:val="002633EE"/>
    <w:rsid w:val="00263DBA"/>
    <w:rsid w:val="00263E4F"/>
    <w:rsid w:val="00267761"/>
    <w:rsid w:val="00267DBF"/>
    <w:rsid w:val="00270DAE"/>
    <w:rsid w:val="00270EBF"/>
    <w:rsid w:val="002711C3"/>
    <w:rsid w:val="00273107"/>
    <w:rsid w:val="00280680"/>
    <w:rsid w:val="00280ECD"/>
    <w:rsid w:val="00284FA0"/>
    <w:rsid w:val="00285673"/>
    <w:rsid w:val="0029132D"/>
    <w:rsid w:val="00293C7E"/>
    <w:rsid w:val="00294275"/>
    <w:rsid w:val="00296520"/>
    <w:rsid w:val="00297EA6"/>
    <w:rsid w:val="002A2A0A"/>
    <w:rsid w:val="002A3684"/>
    <w:rsid w:val="002A3D47"/>
    <w:rsid w:val="002A50B1"/>
    <w:rsid w:val="002B00C9"/>
    <w:rsid w:val="002B05D3"/>
    <w:rsid w:val="002B1D26"/>
    <w:rsid w:val="002B32D7"/>
    <w:rsid w:val="002B41E1"/>
    <w:rsid w:val="002B5126"/>
    <w:rsid w:val="002C399D"/>
    <w:rsid w:val="002C3D7C"/>
    <w:rsid w:val="002C50CA"/>
    <w:rsid w:val="002C69F2"/>
    <w:rsid w:val="002D0979"/>
    <w:rsid w:val="002D568C"/>
    <w:rsid w:val="002D5A76"/>
    <w:rsid w:val="002D5EA7"/>
    <w:rsid w:val="002D619F"/>
    <w:rsid w:val="002E1195"/>
    <w:rsid w:val="002E1B27"/>
    <w:rsid w:val="002E3895"/>
    <w:rsid w:val="002E44D7"/>
    <w:rsid w:val="002E4DA0"/>
    <w:rsid w:val="002E5B40"/>
    <w:rsid w:val="002E7C20"/>
    <w:rsid w:val="002F1D80"/>
    <w:rsid w:val="00300469"/>
    <w:rsid w:val="00301CF6"/>
    <w:rsid w:val="00303555"/>
    <w:rsid w:val="003044E6"/>
    <w:rsid w:val="00305E5E"/>
    <w:rsid w:val="003078EB"/>
    <w:rsid w:val="00307AA7"/>
    <w:rsid w:val="0031378D"/>
    <w:rsid w:val="003212D8"/>
    <w:rsid w:val="003217F3"/>
    <w:rsid w:val="00322B33"/>
    <w:rsid w:val="00324194"/>
    <w:rsid w:val="00331283"/>
    <w:rsid w:val="00333C7C"/>
    <w:rsid w:val="00335678"/>
    <w:rsid w:val="00340684"/>
    <w:rsid w:val="00341780"/>
    <w:rsid w:val="00342188"/>
    <w:rsid w:val="003443BE"/>
    <w:rsid w:val="0034591B"/>
    <w:rsid w:val="0035197B"/>
    <w:rsid w:val="00356555"/>
    <w:rsid w:val="00357462"/>
    <w:rsid w:val="003575FB"/>
    <w:rsid w:val="003602FF"/>
    <w:rsid w:val="00362014"/>
    <w:rsid w:val="00367F34"/>
    <w:rsid w:val="0037209E"/>
    <w:rsid w:val="003730A2"/>
    <w:rsid w:val="003739F0"/>
    <w:rsid w:val="003759B3"/>
    <w:rsid w:val="0037679C"/>
    <w:rsid w:val="003824C1"/>
    <w:rsid w:val="0038591F"/>
    <w:rsid w:val="00385E7A"/>
    <w:rsid w:val="0039090C"/>
    <w:rsid w:val="00391B29"/>
    <w:rsid w:val="00393109"/>
    <w:rsid w:val="00393212"/>
    <w:rsid w:val="00397F4F"/>
    <w:rsid w:val="003A1CD3"/>
    <w:rsid w:val="003A5385"/>
    <w:rsid w:val="003B10EE"/>
    <w:rsid w:val="003B1229"/>
    <w:rsid w:val="003B1627"/>
    <w:rsid w:val="003B321B"/>
    <w:rsid w:val="003C02E0"/>
    <w:rsid w:val="003C2BF3"/>
    <w:rsid w:val="003C3188"/>
    <w:rsid w:val="003C3F8E"/>
    <w:rsid w:val="003C5115"/>
    <w:rsid w:val="003C68F0"/>
    <w:rsid w:val="003D1173"/>
    <w:rsid w:val="003D2E27"/>
    <w:rsid w:val="003D389D"/>
    <w:rsid w:val="003D455C"/>
    <w:rsid w:val="003D61B1"/>
    <w:rsid w:val="003E24C2"/>
    <w:rsid w:val="003E4388"/>
    <w:rsid w:val="003E584E"/>
    <w:rsid w:val="003E5B1A"/>
    <w:rsid w:val="003E6898"/>
    <w:rsid w:val="003F2B14"/>
    <w:rsid w:val="003F4DFF"/>
    <w:rsid w:val="0040275D"/>
    <w:rsid w:val="004045AD"/>
    <w:rsid w:val="00405A43"/>
    <w:rsid w:val="00406E07"/>
    <w:rsid w:val="0041101D"/>
    <w:rsid w:val="00411F4E"/>
    <w:rsid w:val="00411FFF"/>
    <w:rsid w:val="00415370"/>
    <w:rsid w:val="00416CC7"/>
    <w:rsid w:val="00421460"/>
    <w:rsid w:val="00425842"/>
    <w:rsid w:val="00425B97"/>
    <w:rsid w:val="00425E7C"/>
    <w:rsid w:val="004265A1"/>
    <w:rsid w:val="0043239D"/>
    <w:rsid w:val="00434A1C"/>
    <w:rsid w:val="00435F85"/>
    <w:rsid w:val="004404DF"/>
    <w:rsid w:val="00441CAE"/>
    <w:rsid w:val="004436E3"/>
    <w:rsid w:val="00446EE3"/>
    <w:rsid w:val="00450276"/>
    <w:rsid w:val="004502D8"/>
    <w:rsid w:val="00450B4F"/>
    <w:rsid w:val="00454EA6"/>
    <w:rsid w:val="004579AB"/>
    <w:rsid w:val="00461A54"/>
    <w:rsid w:val="00461D92"/>
    <w:rsid w:val="00462D13"/>
    <w:rsid w:val="004632A0"/>
    <w:rsid w:val="00463AFE"/>
    <w:rsid w:val="00464698"/>
    <w:rsid w:val="00464BF4"/>
    <w:rsid w:val="0047021F"/>
    <w:rsid w:val="00470445"/>
    <w:rsid w:val="004707A8"/>
    <w:rsid w:val="00472B92"/>
    <w:rsid w:val="0047369B"/>
    <w:rsid w:val="0047636F"/>
    <w:rsid w:val="00477A52"/>
    <w:rsid w:val="00477B5E"/>
    <w:rsid w:val="00477EF5"/>
    <w:rsid w:val="0048076F"/>
    <w:rsid w:val="00484049"/>
    <w:rsid w:val="00485C8F"/>
    <w:rsid w:val="00487E60"/>
    <w:rsid w:val="00490407"/>
    <w:rsid w:val="00492606"/>
    <w:rsid w:val="00492904"/>
    <w:rsid w:val="0049457A"/>
    <w:rsid w:val="00496492"/>
    <w:rsid w:val="004A1F55"/>
    <w:rsid w:val="004A3516"/>
    <w:rsid w:val="004A5DD2"/>
    <w:rsid w:val="004A7607"/>
    <w:rsid w:val="004B0FBF"/>
    <w:rsid w:val="004B1809"/>
    <w:rsid w:val="004B2426"/>
    <w:rsid w:val="004B2C65"/>
    <w:rsid w:val="004B449C"/>
    <w:rsid w:val="004B46F9"/>
    <w:rsid w:val="004B7A95"/>
    <w:rsid w:val="004B7E0D"/>
    <w:rsid w:val="004C05A1"/>
    <w:rsid w:val="004C218F"/>
    <w:rsid w:val="004C2923"/>
    <w:rsid w:val="004C36B1"/>
    <w:rsid w:val="004C76BF"/>
    <w:rsid w:val="004C7A85"/>
    <w:rsid w:val="004C7BCF"/>
    <w:rsid w:val="004D3BF4"/>
    <w:rsid w:val="004D429C"/>
    <w:rsid w:val="004D4AF6"/>
    <w:rsid w:val="004D4DD6"/>
    <w:rsid w:val="004D5BD6"/>
    <w:rsid w:val="004D5D02"/>
    <w:rsid w:val="004D6916"/>
    <w:rsid w:val="004D6CE8"/>
    <w:rsid w:val="004E17D9"/>
    <w:rsid w:val="004E6368"/>
    <w:rsid w:val="004E68BC"/>
    <w:rsid w:val="004E690C"/>
    <w:rsid w:val="004E7669"/>
    <w:rsid w:val="004F15ED"/>
    <w:rsid w:val="004F1A24"/>
    <w:rsid w:val="004F7328"/>
    <w:rsid w:val="005002FC"/>
    <w:rsid w:val="005010D1"/>
    <w:rsid w:val="00501FCE"/>
    <w:rsid w:val="00502056"/>
    <w:rsid w:val="0050297B"/>
    <w:rsid w:val="00506829"/>
    <w:rsid w:val="00510D48"/>
    <w:rsid w:val="005122AF"/>
    <w:rsid w:val="0051371C"/>
    <w:rsid w:val="00514029"/>
    <w:rsid w:val="0051480C"/>
    <w:rsid w:val="00517032"/>
    <w:rsid w:val="005203F6"/>
    <w:rsid w:val="00524376"/>
    <w:rsid w:val="00524808"/>
    <w:rsid w:val="00526EFD"/>
    <w:rsid w:val="00531B29"/>
    <w:rsid w:val="00533A35"/>
    <w:rsid w:val="00533EF3"/>
    <w:rsid w:val="00537AB8"/>
    <w:rsid w:val="00540EBB"/>
    <w:rsid w:val="00541F84"/>
    <w:rsid w:val="00542139"/>
    <w:rsid w:val="00542488"/>
    <w:rsid w:val="00542EA0"/>
    <w:rsid w:val="00551DBC"/>
    <w:rsid w:val="0055372F"/>
    <w:rsid w:val="00556378"/>
    <w:rsid w:val="00556D42"/>
    <w:rsid w:val="0056156A"/>
    <w:rsid w:val="0056333D"/>
    <w:rsid w:val="005639CD"/>
    <w:rsid w:val="00563D9A"/>
    <w:rsid w:val="00565E2A"/>
    <w:rsid w:val="00566911"/>
    <w:rsid w:val="00567BBC"/>
    <w:rsid w:val="00573C82"/>
    <w:rsid w:val="00582125"/>
    <w:rsid w:val="00584259"/>
    <w:rsid w:val="00591CE6"/>
    <w:rsid w:val="00592C28"/>
    <w:rsid w:val="00594806"/>
    <w:rsid w:val="00594FBC"/>
    <w:rsid w:val="005969B3"/>
    <w:rsid w:val="005971E4"/>
    <w:rsid w:val="005A58FD"/>
    <w:rsid w:val="005A69F2"/>
    <w:rsid w:val="005A7652"/>
    <w:rsid w:val="005A7ADF"/>
    <w:rsid w:val="005B082E"/>
    <w:rsid w:val="005B14F1"/>
    <w:rsid w:val="005B1A1E"/>
    <w:rsid w:val="005B2E78"/>
    <w:rsid w:val="005B3D93"/>
    <w:rsid w:val="005B410C"/>
    <w:rsid w:val="005B6514"/>
    <w:rsid w:val="005B7560"/>
    <w:rsid w:val="005B7E22"/>
    <w:rsid w:val="005C1487"/>
    <w:rsid w:val="005C654F"/>
    <w:rsid w:val="005C6BA7"/>
    <w:rsid w:val="005D021E"/>
    <w:rsid w:val="005D64A7"/>
    <w:rsid w:val="005D6D1A"/>
    <w:rsid w:val="005E2235"/>
    <w:rsid w:val="005E3B47"/>
    <w:rsid w:val="005E43BB"/>
    <w:rsid w:val="005E647C"/>
    <w:rsid w:val="005E6A28"/>
    <w:rsid w:val="005E7A4E"/>
    <w:rsid w:val="005E7C14"/>
    <w:rsid w:val="005F0417"/>
    <w:rsid w:val="005F1BD9"/>
    <w:rsid w:val="005F45EF"/>
    <w:rsid w:val="005F53EC"/>
    <w:rsid w:val="005F5B22"/>
    <w:rsid w:val="005F5C2F"/>
    <w:rsid w:val="005F78CE"/>
    <w:rsid w:val="00600707"/>
    <w:rsid w:val="006007A3"/>
    <w:rsid w:val="00602977"/>
    <w:rsid w:val="00604162"/>
    <w:rsid w:val="00604C78"/>
    <w:rsid w:val="006061C2"/>
    <w:rsid w:val="0060644D"/>
    <w:rsid w:val="006073CB"/>
    <w:rsid w:val="00607ADE"/>
    <w:rsid w:val="00610B83"/>
    <w:rsid w:val="00612509"/>
    <w:rsid w:val="0061410A"/>
    <w:rsid w:val="00615FF6"/>
    <w:rsid w:val="006173EC"/>
    <w:rsid w:val="00620378"/>
    <w:rsid w:val="00621C6C"/>
    <w:rsid w:val="00622D9A"/>
    <w:rsid w:val="00622E6B"/>
    <w:rsid w:val="00632672"/>
    <w:rsid w:val="00632876"/>
    <w:rsid w:val="00632923"/>
    <w:rsid w:val="006329E8"/>
    <w:rsid w:val="0063455B"/>
    <w:rsid w:val="00635396"/>
    <w:rsid w:val="00641A0F"/>
    <w:rsid w:val="00642459"/>
    <w:rsid w:val="006441CE"/>
    <w:rsid w:val="006455B3"/>
    <w:rsid w:val="00645FFA"/>
    <w:rsid w:val="0065256E"/>
    <w:rsid w:val="006564C8"/>
    <w:rsid w:val="006571B4"/>
    <w:rsid w:val="00660950"/>
    <w:rsid w:val="00661F93"/>
    <w:rsid w:val="00663A6E"/>
    <w:rsid w:val="00663CDA"/>
    <w:rsid w:val="00671C75"/>
    <w:rsid w:val="0067212A"/>
    <w:rsid w:val="00674ACF"/>
    <w:rsid w:val="006765E6"/>
    <w:rsid w:val="0067766B"/>
    <w:rsid w:val="00677AC8"/>
    <w:rsid w:val="006804FC"/>
    <w:rsid w:val="00680E1A"/>
    <w:rsid w:val="00681EA1"/>
    <w:rsid w:val="00685F7B"/>
    <w:rsid w:val="00690912"/>
    <w:rsid w:val="00690CE4"/>
    <w:rsid w:val="0069415E"/>
    <w:rsid w:val="006946E4"/>
    <w:rsid w:val="00696315"/>
    <w:rsid w:val="00697A61"/>
    <w:rsid w:val="006A1DA5"/>
    <w:rsid w:val="006A2CB9"/>
    <w:rsid w:val="006A49A9"/>
    <w:rsid w:val="006A551C"/>
    <w:rsid w:val="006B2EC9"/>
    <w:rsid w:val="006B61A2"/>
    <w:rsid w:val="006B75E2"/>
    <w:rsid w:val="006C162E"/>
    <w:rsid w:val="006C1C16"/>
    <w:rsid w:val="006C2309"/>
    <w:rsid w:val="006C3510"/>
    <w:rsid w:val="006C56FB"/>
    <w:rsid w:val="006C578E"/>
    <w:rsid w:val="006C5D81"/>
    <w:rsid w:val="006C6171"/>
    <w:rsid w:val="006C6B1E"/>
    <w:rsid w:val="006D358A"/>
    <w:rsid w:val="006D520E"/>
    <w:rsid w:val="006D56F7"/>
    <w:rsid w:val="006D583D"/>
    <w:rsid w:val="006E00CC"/>
    <w:rsid w:val="006E08CF"/>
    <w:rsid w:val="006E3BD6"/>
    <w:rsid w:val="006E4940"/>
    <w:rsid w:val="006E4C64"/>
    <w:rsid w:val="006E595C"/>
    <w:rsid w:val="006E59FB"/>
    <w:rsid w:val="006E62E7"/>
    <w:rsid w:val="006E65EB"/>
    <w:rsid w:val="006E7C09"/>
    <w:rsid w:val="006F0D8D"/>
    <w:rsid w:val="006F1EEF"/>
    <w:rsid w:val="006F3F8F"/>
    <w:rsid w:val="006F4100"/>
    <w:rsid w:val="006F4331"/>
    <w:rsid w:val="006F4459"/>
    <w:rsid w:val="006F4886"/>
    <w:rsid w:val="006F58F7"/>
    <w:rsid w:val="006F6D05"/>
    <w:rsid w:val="00706770"/>
    <w:rsid w:val="007104CB"/>
    <w:rsid w:val="00712253"/>
    <w:rsid w:val="00713BD4"/>
    <w:rsid w:val="00715525"/>
    <w:rsid w:val="00720122"/>
    <w:rsid w:val="00720986"/>
    <w:rsid w:val="00721260"/>
    <w:rsid w:val="00721C3E"/>
    <w:rsid w:val="00722950"/>
    <w:rsid w:val="00731041"/>
    <w:rsid w:val="0073413F"/>
    <w:rsid w:val="007345AD"/>
    <w:rsid w:val="00736A29"/>
    <w:rsid w:val="007419E4"/>
    <w:rsid w:val="00746AF4"/>
    <w:rsid w:val="007472E7"/>
    <w:rsid w:val="00747437"/>
    <w:rsid w:val="00754637"/>
    <w:rsid w:val="0075595F"/>
    <w:rsid w:val="00757477"/>
    <w:rsid w:val="00757A7F"/>
    <w:rsid w:val="00757A95"/>
    <w:rsid w:val="00760E4F"/>
    <w:rsid w:val="00762D77"/>
    <w:rsid w:val="007673E9"/>
    <w:rsid w:val="00767A9F"/>
    <w:rsid w:val="0077174F"/>
    <w:rsid w:val="00773109"/>
    <w:rsid w:val="00774B26"/>
    <w:rsid w:val="00774C2A"/>
    <w:rsid w:val="0077576D"/>
    <w:rsid w:val="0077716E"/>
    <w:rsid w:val="007905C9"/>
    <w:rsid w:val="007921D0"/>
    <w:rsid w:val="00795C88"/>
    <w:rsid w:val="00796DA6"/>
    <w:rsid w:val="007A3BE1"/>
    <w:rsid w:val="007A6854"/>
    <w:rsid w:val="007A7A82"/>
    <w:rsid w:val="007B2643"/>
    <w:rsid w:val="007B2CD2"/>
    <w:rsid w:val="007B3F9A"/>
    <w:rsid w:val="007C406D"/>
    <w:rsid w:val="007C4C17"/>
    <w:rsid w:val="007C4FEF"/>
    <w:rsid w:val="007C698D"/>
    <w:rsid w:val="007D07BF"/>
    <w:rsid w:val="007D3DF3"/>
    <w:rsid w:val="007D56DF"/>
    <w:rsid w:val="007D62DC"/>
    <w:rsid w:val="007D7F28"/>
    <w:rsid w:val="007E3CE1"/>
    <w:rsid w:val="007E4A5E"/>
    <w:rsid w:val="007E63C9"/>
    <w:rsid w:val="007F2BF2"/>
    <w:rsid w:val="007F3254"/>
    <w:rsid w:val="007F3E17"/>
    <w:rsid w:val="007F4F8C"/>
    <w:rsid w:val="008023B0"/>
    <w:rsid w:val="008023F7"/>
    <w:rsid w:val="008056A9"/>
    <w:rsid w:val="0081389A"/>
    <w:rsid w:val="008164D6"/>
    <w:rsid w:val="008175E2"/>
    <w:rsid w:val="008206C8"/>
    <w:rsid w:val="008233B0"/>
    <w:rsid w:val="0082582B"/>
    <w:rsid w:val="00826F11"/>
    <w:rsid w:val="008273D7"/>
    <w:rsid w:val="008342FB"/>
    <w:rsid w:val="00836106"/>
    <w:rsid w:val="00840EDC"/>
    <w:rsid w:val="008411D9"/>
    <w:rsid w:val="008467E9"/>
    <w:rsid w:val="00846A67"/>
    <w:rsid w:val="008510A4"/>
    <w:rsid w:val="008514E4"/>
    <w:rsid w:val="00852442"/>
    <w:rsid w:val="00852998"/>
    <w:rsid w:val="0085363F"/>
    <w:rsid w:val="008563E1"/>
    <w:rsid w:val="008578A2"/>
    <w:rsid w:val="00857A58"/>
    <w:rsid w:val="0086312F"/>
    <w:rsid w:val="00864253"/>
    <w:rsid w:val="00873286"/>
    <w:rsid w:val="00874877"/>
    <w:rsid w:val="00874A78"/>
    <w:rsid w:val="0087649C"/>
    <w:rsid w:val="00877469"/>
    <w:rsid w:val="00880943"/>
    <w:rsid w:val="0088297C"/>
    <w:rsid w:val="00887050"/>
    <w:rsid w:val="00890962"/>
    <w:rsid w:val="00890F57"/>
    <w:rsid w:val="00893918"/>
    <w:rsid w:val="00894070"/>
    <w:rsid w:val="0089477A"/>
    <w:rsid w:val="008A1798"/>
    <w:rsid w:val="008A6BF7"/>
    <w:rsid w:val="008B0A85"/>
    <w:rsid w:val="008B0BE4"/>
    <w:rsid w:val="008B0F48"/>
    <w:rsid w:val="008B38CC"/>
    <w:rsid w:val="008B3EB1"/>
    <w:rsid w:val="008B421A"/>
    <w:rsid w:val="008B642B"/>
    <w:rsid w:val="008B649C"/>
    <w:rsid w:val="008B702B"/>
    <w:rsid w:val="008B742E"/>
    <w:rsid w:val="008C0A42"/>
    <w:rsid w:val="008C284F"/>
    <w:rsid w:val="008C2B30"/>
    <w:rsid w:val="008C52DD"/>
    <w:rsid w:val="008D0DD8"/>
    <w:rsid w:val="008D267E"/>
    <w:rsid w:val="008E09F9"/>
    <w:rsid w:val="008E1231"/>
    <w:rsid w:val="008E2597"/>
    <w:rsid w:val="008E42F3"/>
    <w:rsid w:val="008E5131"/>
    <w:rsid w:val="008E6B8E"/>
    <w:rsid w:val="008E7600"/>
    <w:rsid w:val="008F17D9"/>
    <w:rsid w:val="008F5EAE"/>
    <w:rsid w:val="0090399B"/>
    <w:rsid w:val="00903FE6"/>
    <w:rsid w:val="009056FF"/>
    <w:rsid w:val="00907333"/>
    <w:rsid w:val="00914535"/>
    <w:rsid w:val="009159D8"/>
    <w:rsid w:val="00915DB5"/>
    <w:rsid w:val="00923D61"/>
    <w:rsid w:val="009252B9"/>
    <w:rsid w:val="009265DC"/>
    <w:rsid w:val="00930CC4"/>
    <w:rsid w:val="009369E0"/>
    <w:rsid w:val="009400D5"/>
    <w:rsid w:val="00941D37"/>
    <w:rsid w:val="00942934"/>
    <w:rsid w:val="00942A41"/>
    <w:rsid w:val="00943D15"/>
    <w:rsid w:val="00946694"/>
    <w:rsid w:val="009500B9"/>
    <w:rsid w:val="00953D13"/>
    <w:rsid w:val="00954143"/>
    <w:rsid w:val="00955045"/>
    <w:rsid w:val="00955B69"/>
    <w:rsid w:val="009566DA"/>
    <w:rsid w:val="00960E06"/>
    <w:rsid w:val="009659CD"/>
    <w:rsid w:val="00966DEE"/>
    <w:rsid w:val="00967AED"/>
    <w:rsid w:val="009716DC"/>
    <w:rsid w:val="009741C4"/>
    <w:rsid w:val="0097500C"/>
    <w:rsid w:val="00975993"/>
    <w:rsid w:val="00975AB4"/>
    <w:rsid w:val="009771EF"/>
    <w:rsid w:val="00977249"/>
    <w:rsid w:val="009807DF"/>
    <w:rsid w:val="009844EB"/>
    <w:rsid w:val="009868FF"/>
    <w:rsid w:val="0099148B"/>
    <w:rsid w:val="00991CB9"/>
    <w:rsid w:val="009950CD"/>
    <w:rsid w:val="009957B6"/>
    <w:rsid w:val="009A0509"/>
    <w:rsid w:val="009A0BA1"/>
    <w:rsid w:val="009A133B"/>
    <w:rsid w:val="009A201A"/>
    <w:rsid w:val="009A2480"/>
    <w:rsid w:val="009A26CD"/>
    <w:rsid w:val="009A4A3E"/>
    <w:rsid w:val="009A4A8A"/>
    <w:rsid w:val="009A504E"/>
    <w:rsid w:val="009A56C9"/>
    <w:rsid w:val="009A6E5B"/>
    <w:rsid w:val="009B0E5B"/>
    <w:rsid w:val="009B10B6"/>
    <w:rsid w:val="009B16B8"/>
    <w:rsid w:val="009B1E6A"/>
    <w:rsid w:val="009B34FA"/>
    <w:rsid w:val="009B555C"/>
    <w:rsid w:val="009B6010"/>
    <w:rsid w:val="009B62E5"/>
    <w:rsid w:val="009C08E9"/>
    <w:rsid w:val="009C0CC1"/>
    <w:rsid w:val="009C21BD"/>
    <w:rsid w:val="009C2D88"/>
    <w:rsid w:val="009C2F96"/>
    <w:rsid w:val="009C305D"/>
    <w:rsid w:val="009C43EE"/>
    <w:rsid w:val="009C4B0A"/>
    <w:rsid w:val="009C614D"/>
    <w:rsid w:val="009D0F4A"/>
    <w:rsid w:val="009D109C"/>
    <w:rsid w:val="009E230A"/>
    <w:rsid w:val="009E3283"/>
    <w:rsid w:val="009E5707"/>
    <w:rsid w:val="009E6ADB"/>
    <w:rsid w:val="009F0156"/>
    <w:rsid w:val="009F1086"/>
    <w:rsid w:val="009F17F6"/>
    <w:rsid w:val="009F2478"/>
    <w:rsid w:val="009F3C12"/>
    <w:rsid w:val="00A0050C"/>
    <w:rsid w:val="00A03092"/>
    <w:rsid w:val="00A04140"/>
    <w:rsid w:val="00A04FE7"/>
    <w:rsid w:val="00A06139"/>
    <w:rsid w:val="00A115F4"/>
    <w:rsid w:val="00A12FAC"/>
    <w:rsid w:val="00A14C68"/>
    <w:rsid w:val="00A151EF"/>
    <w:rsid w:val="00A152FF"/>
    <w:rsid w:val="00A23E61"/>
    <w:rsid w:val="00A252EC"/>
    <w:rsid w:val="00A30A6D"/>
    <w:rsid w:val="00A30F68"/>
    <w:rsid w:val="00A35EEB"/>
    <w:rsid w:val="00A458CE"/>
    <w:rsid w:val="00A46900"/>
    <w:rsid w:val="00A46FA7"/>
    <w:rsid w:val="00A47FC1"/>
    <w:rsid w:val="00A50FC2"/>
    <w:rsid w:val="00A510B2"/>
    <w:rsid w:val="00A52EE3"/>
    <w:rsid w:val="00A53E5E"/>
    <w:rsid w:val="00A54CDE"/>
    <w:rsid w:val="00A55C18"/>
    <w:rsid w:val="00A55D51"/>
    <w:rsid w:val="00A62503"/>
    <w:rsid w:val="00A62DC6"/>
    <w:rsid w:val="00A63BF0"/>
    <w:rsid w:val="00A64CA2"/>
    <w:rsid w:val="00A67326"/>
    <w:rsid w:val="00A71426"/>
    <w:rsid w:val="00A7230D"/>
    <w:rsid w:val="00A72425"/>
    <w:rsid w:val="00A745EF"/>
    <w:rsid w:val="00A75945"/>
    <w:rsid w:val="00A80CD8"/>
    <w:rsid w:val="00A84060"/>
    <w:rsid w:val="00A84FA1"/>
    <w:rsid w:val="00A874AA"/>
    <w:rsid w:val="00A90DC5"/>
    <w:rsid w:val="00A936D3"/>
    <w:rsid w:val="00A952AC"/>
    <w:rsid w:val="00A96F78"/>
    <w:rsid w:val="00AA06BF"/>
    <w:rsid w:val="00AA432F"/>
    <w:rsid w:val="00AA49AD"/>
    <w:rsid w:val="00AA6F61"/>
    <w:rsid w:val="00AA7024"/>
    <w:rsid w:val="00AB1E18"/>
    <w:rsid w:val="00AB270B"/>
    <w:rsid w:val="00AB354E"/>
    <w:rsid w:val="00AB5DFE"/>
    <w:rsid w:val="00AB650F"/>
    <w:rsid w:val="00AC1131"/>
    <w:rsid w:val="00AC22B0"/>
    <w:rsid w:val="00AC4A7D"/>
    <w:rsid w:val="00AC624D"/>
    <w:rsid w:val="00AD0497"/>
    <w:rsid w:val="00AD406C"/>
    <w:rsid w:val="00AD4A34"/>
    <w:rsid w:val="00AD5090"/>
    <w:rsid w:val="00AD7E09"/>
    <w:rsid w:val="00AE0802"/>
    <w:rsid w:val="00AE08BA"/>
    <w:rsid w:val="00AE1353"/>
    <w:rsid w:val="00AE225A"/>
    <w:rsid w:val="00AE345B"/>
    <w:rsid w:val="00AE7F52"/>
    <w:rsid w:val="00AF2110"/>
    <w:rsid w:val="00B02132"/>
    <w:rsid w:val="00B0594A"/>
    <w:rsid w:val="00B05F14"/>
    <w:rsid w:val="00B06288"/>
    <w:rsid w:val="00B10261"/>
    <w:rsid w:val="00B10C63"/>
    <w:rsid w:val="00B16FC1"/>
    <w:rsid w:val="00B21446"/>
    <w:rsid w:val="00B21A75"/>
    <w:rsid w:val="00B223D3"/>
    <w:rsid w:val="00B23909"/>
    <w:rsid w:val="00B26101"/>
    <w:rsid w:val="00B30A70"/>
    <w:rsid w:val="00B46413"/>
    <w:rsid w:val="00B4644A"/>
    <w:rsid w:val="00B464FB"/>
    <w:rsid w:val="00B514A4"/>
    <w:rsid w:val="00B54F69"/>
    <w:rsid w:val="00B5549A"/>
    <w:rsid w:val="00B573F4"/>
    <w:rsid w:val="00B6264E"/>
    <w:rsid w:val="00B630C1"/>
    <w:rsid w:val="00B63D6B"/>
    <w:rsid w:val="00B64000"/>
    <w:rsid w:val="00B6490C"/>
    <w:rsid w:val="00B72FD4"/>
    <w:rsid w:val="00B80E6B"/>
    <w:rsid w:val="00B8326A"/>
    <w:rsid w:val="00B9171D"/>
    <w:rsid w:val="00B9227E"/>
    <w:rsid w:val="00B959E1"/>
    <w:rsid w:val="00B97110"/>
    <w:rsid w:val="00BA08A3"/>
    <w:rsid w:val="00BA284C"/>
    <w:rsid w:val="00BA2F2C"/>
    <w:rsid w:val="00BA38CA"/>
    <w:rsid w:val="00BA6767"/>
    <w:rsid w:val="00BB1106"/>
    <w:rsid w:val="00BB2AC2"/>
    <w:rsid w:val="00BB3C46"/>
    <w:rsid w:val="00BB3DE6"/>
    <w:rsid w:val="00BB59EB"/>
    <w:rsid w:val="00BB74D4"/>
    <w:rsid w:val="00BB7A89"/>
    <w:rsid w:val="00BC063A"/>
    <w:rsid w:val="00BC0814"/>
    <w:rsid w:val="00BC0FAC"/>
    <w:rsid w:val="00BC125D"/>
    <w:rsid w:val="00BC1946"/>
    <w:rsid w:val="00BC2F11"/>
    <w:rsid w:val="00BC350E"/>
    <w:rsid w:val="00BC4196"/>
    <w:rsid w:val="00BC6335"/>
    <w:rsid w:val="00BD1C62"/>
    <w:rsid w:val="00BD2458"/>
    <w:rsid w:val="00BD4C36"/>
    <w:rsid w:val="00BD7260"/>
    <w:rsid w:val="00BE0DE2"/>
    <w:rsid w:val="00BE173C"/>
    <w:rsid w:val="00BE2DDD"/>
    <w:rsid w:val="00BE5272"/>
    <w:rsid w:val="00BE56EB"/>
    <w:rsid w:val="00BE60A5"/>
    <w:rsid w:val="00BF119F"/>
    <w:rsid w:val="00BF1A66"/>
    <w:rsid w:val="00BF20A7"/>
    <w:rsid w:val="00BF6B3C"/>
    <w:rsid w:val="00BF7D6C"/>
    <w:rsid w:val="00C00762"/>
    <w:rsid w:val="00C04C18"/>
    <w:rsid w:val="00C0585A"/>
    <w:rsid w:val="00C06EAD"/>
    <w:rsid w:val="00C070E0"/>
    <w:rsid w:val="00C13934"/>
    <w:rsid w:val="00C16168"/>
    <w:rsid w:val="00C1666C"/>
    <w:rsid w:val="00C16C93"/>
    <w:rsid w:val="00C2082E"/>
    <w:rsid w:val="00C20AE2"/>
    <w:rsid w:val="00C2606A"/>
    <w:rsid w:val="00C303D5"/>
    <w:rsid w:val="00C30F1F"/>
    <w:rsid w:val="00C31393"/>
    <w:rsid w:val="00C32408"/>
    <w:rsid w:val="00C32508"/>
    <w:rsid w:val="00C33B14"/>
    <w:rsid w:val="00C35DBA"/>
    <w:rsid w:val="00C37DEE"/>
    <w:rsid w:val="00C37FD6"/>
    <w:rsid w:val="00C417DD"/>
    <w:rsid w:val="00C41975"/>
    <w:rsid w:val="00C458A7"/>
    <w:rsid w:val="00C45C81"/>
    <w:rsid w:val="00C47D92"/>
    <w:rsid w:val="00C47FF9"/>
    <w:rsid w:val="00C500D1"/>
    <w:rsid w:val="00C54D9F"/>
    <w:rsid w:val="00C5705A"/>
    <w:rsid w:val="00C572C4"/>
    <w:rsid w:val="00C57A7E"/>
    <w:rsid w:val="00C60596"/>
    <w:rsid w:val="00C63BCC"/>
    <w:rsid w:val="00C649CB"/>
    <w:rsid w:val="00C655BE"/>
    <w:rsid w:val="00C65FDC"/>
    <w:rsid w:val="00C67D69"/>
    <w:rsid w:val="00C723D3"/>
    <w:rsid w:val="00C725BF"/>
    <w:rsid w:val="00C77D50"/>
    <w:rsid w:val="00C81E56"/>
    <w:rsid w:val="00C81F55"/>
    <w:rsid w:val="00C85C11"/>
    <w:rsid w:val="00C9152C"/>
    <w:rsid w:val="00C924D5"/>
    <w:rsid w:val="00C9358F"/>
    <w:rsid w:val="00C946DE"/>
    <w:rsid w:val="00CA1640"/>
    <w:rsid w:val="00CA2B8C"/>
    <w:rsid w:val="00CA39E8"/>
    <w:rsid w:val="00CA4FFF"/>
    <w:rsid w:val="00CA694F"/>
    <w:rsid w:val="00CB199B"/>
    <w:rsid w:val="00CB2396"/>
    <w:rsid w:val="00CB2E76"/>
    <w:rsid w:val="00CB32A1"/>
    <w:rsid w:val="00CB60BD"/>
    <w:rsid w:val="00CB7400"/>
    <w:rsid w:val="00CC2DC0"/>
    <w:rsid w:val="00CC3F8E"/>
    <w:rsid w:val="00CC4C3C"/>
    <w:rsid w:val="00CC4C43"/>
    <w:rsid w:val="00CD1181"/>
    <w:rsid w:val="00CD11D6"/>
    <w:rsid w:val="00CD2967"/>
    <w:rsid w:val="00CD52A9"/>
    <w:rsid w:val="00CE22A2"/>
    <w:rsid w:val="00CE4987"/>
    <w:rsid w:val="00CE7EBE"/>
    <w:rsid w:val="00CF38A6"/>
    <w:rsid w:val="00CF3C1F"/>
    <w:rsid w:val="00D010B7"/>
    <w:rsid w:val="00D013D7"/>
    <w:rsid w:val="00D01F1E"/>
    <w:rsid w:val="00D06393"/>
    <w:rsid w:val="00D115A0"/>
    <w:rsid w:val="00D1202B"/>
    <w:rsid w:val="00D1411C"/>
    <w:rsid w:val="00D1510C"/>
    <w:rsid w:val="00D152D2"/>
    <w:rsid w:val="00D15D9F"/>
    <w:rsid w:val="00D201BE"/>
    <w:rsid w:val="00D20C45"/>
    <w:rsid w:val="00D20F19"/>
    <w:rsid w:val="00D21505"/>
    <w:rsid w:val="00D21D10"/>
    <w:rsid w:val="00D2359F"/>
    <w:rsid w:val="00D249B7"/>
    <w:rsid w:val="00D24B35"/>
    <w:rsid w:val="00D24E3B"/>
    <w:rsid w:val="00D31C61"/>
    <w:rsid w:val="00D343EC"/>
    <w:rsid w:val="00D34C9F"/>
    <w:rsid w:val="00D34E4B"/>
    <w:rsid w:val="00D36348"/>
    <w:rsid w:val="00D43264"/>
    <w:rsid w:val="00D462D1"/>
    <w:rsid w:val="00D5041E"/>
    <w:rsid w:val="00D50EEE"/>
    <w:rsid w:val="00D54E95"/>
    <w:rsid w:val="00D56DA7"/>
    <w:rsid w:val="00D60BF5"/>
    <w:rsid w:val="00D61722"/>
    <w:rsid w:val="00D61BB6"/>
    <w:rsid w:val="00D62280"/>
    <w:rsid w:val="00D64F89"/>
    <w:rsid w:val="00D70215"/>
    <w:rsid w:val="00D7449E"/>
    <w:rsid w:val="00D74A03"/>
    <w:rsid w:val="00D75A50"/>
    <w:rsid w:val="00D76BD1"/>
    <w:rsid w:val="00D80716"/>
    <w:rsid w:val="00D80CC9"/>
    <w:rsid w:val="00D80E6A"/>
    <w:rsid w:val="00D871EC"/>
    <w:rsid w:val="00D901D7"/>
    <w:rsid w:val="00D911DB"/>
    <w:rsid w:val="00D92660"/>
    <w:rsid w:val="00D95DE8"/>
    <w:rsid w:val="00DA1613"/>
    <w:rsid w:val="00DA45C8"/>
    <w:rsid w:val="00DA5092"/>
    <w:rsid w:val="00DA70F2"/>
    <w:rsid w:val="00DB064A"/>
    <w:rsid w:val="00DB4688"/>
    <w:rsid w:val="00DB500F"/>
    <w:rsid w:val="00DB65B1"/>
    <w:rsid w:val="00DB76A7"/>
    <w:rsid w:val="00DB77E5"/>
    <w:rsid w:val="00DC0421"/>
    <w:rsid w:val="00DC15CE"/>
    <w:rsid w:val="00DC1697"/>
    <w:rsid w:val="00DC1EA8"/>
    <w:rsid w:val="00DC2F49"/>
    <w:rsid w:val="00DC30F0"/>
    <w:rsid w:val="00DC44EA"/>
    <w:rsid w:val="00DC5A68"/>
    <w:rsid w:val="00DC6F86"/>
    <w:rsid w:val="00DD0F66"/>
    <w:rsid w:val="00DD371E"/>
    <w:rsid w:val="00DD61FF"/>
    <w:rsid w:val="00DD6AE2"/>
    <w:rsid w:val="00DE08FC"/>
    <w:rsid w:val="00DE19F3"/>
    <w:rsid w:val="00DE1DA0"/>
    <w:rsid w:val="00DE25BA"/>
    <w:rsid w:val="00DE42CA"/>
    <w:rsid w:val="00DE4EF4"/>
    <w:rsid w:val="00DE5BF4"/>
    <w:rsid w:val="00DF44AF"/>
    <w:rsid w:val="00DF6E27"/>
    <w:rsid w:val="00E04DD5"/>
    <w:rsid w:val="00E0636B"/>
    <w:rsid w:val="00E06A53"/>
    <w:rsid w:val="00E07FEB"/>
    <w:rsid w:val="00E15DE9"/>
    <w:rsid w:val="00E166DA"/>
    <w:rsid w:val="00E25EF0"/>
    <w:rsid w:val="00E30033"/>
    <w:rsid w:val="00E30D25"/>
    <w:rsid w:val="00E344F5"/>
    <w:rsid w:val="00E357A2"/>
    <w:rsid w:val="00E3602F"/>
    <w:rsid w:val="00E40555"/>
    <w:rsid w:val="00E4075E"/>
    <w:rsid w:val="00E41300"/>
    <w:rsid w:val="00E4164F"/>
    <w:rsid w:val="00E421EF"/>
    <w:rsid w:val="00E4408D"/>
    <w:rsid w:val="00E440CF"/>
    <w:rsid w:val="00E45453"/>
    <w:rsid w:val="00E45EC7"/>
    <w:rsid w:val="00E46A15"/>
    <w:rsid w:val="00E53B42"/>
    <w:rsid w:val="00E548A4"/>
    <w:rsid w:val="00E54A48"/>
    <w:rsid w:val="00E57B51"/>
    <w:rsid w:val="00E57C2B"/>
    <w:rsid w:val="00E61763"/>
    <w:rsid w:val="00E625F9"/>
    <w:rsid w:val="00E636AF"/>
    <w:rsid w:val="00E63846"/>
    <w:rsid w:val="00E638CC"/>
    <w:rsid w:val="00E6771C"/>
    <w:rsid w:val="00E7109E"/>
    <w:rsid w:val="00E73D99"/>
    <w:rsid w:val="00E73E5C"/>
    <w:rsid w:val="00E743CA"/>
    <w:rsid w:val="00E744F1"/>
    <w:rsid w:val="00E77319"/>
    <w:rsid w:val="00E83E81"/>
    <w:rsid w:val="00E87AAD"/>
    <w:rsid w:val="00E91C96"/>
    <w:rsid w:val="00E93D50"/>
    <w:rsid w:val="00E9400D"/>
    <w:rsid w:val="00EA4363"/>
    <w:rsid w:val="00EA4C23"/>
    <w:rsid w:val="00EB07B7"/>
    <w:rsid w:val="00EB1011"/>
    <w:rsid w:val="00EB1471"/>
    <w:rsid w:val="00EB163C"/>
    <w:rsid w:val="00EB5CAC"/>
    <w:rsid w:val="00EB73F2"/>
    <w:rsid w:val="00EC2359"/>
    <w:rsid w:val="00EC2CD4"/>
    <w:rsid w:val="00EC31EE"/>
    <w:rsid w:val="00EC47F6"/>
    <w:rsid w:val="00EC7595"/>
    <w:rsid w:val="00EC7966"/>
    <w:rsid w:val="00ED5D82"/>
    <w:rsid w:val="00EE17CA"/>
    <w:rsid w:val="00EE398A"/>
    <w:rsid w:val="00EE485D"/>
    <w:rsid w:val="00EE4B5D"/>
    <w:rsid w:val="00EE5CAA"/>
    <w:rsid w:val="00EE6FC0"/>
    <w:rsid w:val="00EE7EA2"/>
    <w:rsid w:val="00EF28E5"/>
    <w:rsid w:val="00EF28F6"/>
    <w:rsid w:val="00EF3E40"/>
    <w:rsid w:val="00EF49E2"/>
    <w:rsid w:val="00EF5312"/>
    <w:rsid w:val="00EF62E6"/>
    <w:rsid w:val="00EF6474"/>
    <w:rsid w:val="00EF7FA6"/>
    <w:rsid w:val="00F00F4D"/>
    <w:rsid w:val="00F040E1"/>
    <w:rsid w:val="00F04538"/>
    <w:rsid w:val="00F12B35"/>
    <w:rsid w:val="00F1350D"/>
    <w:rsid w:val="00F13FDF"/>
    <w:rsid w:val="00F143A0"/>
    <w:rsid w:val="00F150B8"/>
    <w:rsid w:val="00F1553A"/>
    <w:rsid w:val="00F16A06"/>
    <w:rsid w:val="00F17BFC"/>
    <w:rsid w:val="00F2100E"/>
    <w:rsid w:val="00F22060"/>
    <w:rsid w:val="00F334A9"/>
    <w:rsid w:val="00F34C13"/>
    <w:rsid w:val="00F36C57"/>
    <w:rsid w:val="00F37190"/>
    <w:rsid w:val="00F3795D"/>
    <w:rsid w:val="00F40E70"/>
    <w:rsid w:val="00F477E9"/>
    <w:rsid w:val="00F50AAE"/>
    <w:rsid w:val="00F50DC7"/>
    <w:rsid w:val="00F510D0"/>
    <w:rsid w:val="00F52218"/>
    <w:rsid w:val="00F5261A"/>
    <w:rsid w:val="00F53D1E"/>
    <w:rsid w:val="00F54B2B"/>
    <w:rsid w:val="00F56982"/>
    <w:rsid w:val="00F57847"/>
    <w:rsid w:val="00F60792"/>
    <w:rsid w:val="00F6110E"/>
    <w:rsid w:val="00F61EFA"/>
    <w:rsid w:val="00F62DD6"/>
    <w:rsid w:val="00F64F22"/>
    <w:rsid w:val="00F668C6"/>
    <w:rsid w:val="00F71F16"/>
    <w:rsid w:val="00F73639"/>
    <w:rsid w:val="00F73665"/>
    <w:rsid w:val="00F74129"/>
    <w:rsid w:val="00F75D9F"/>
    <w:rsid w:val="00F845AE"/>
    <w:rsid w:val="00F849E2"/>
    <w:rsid w:val="00F853B6"/>
    <w:rsid w:val="00F87EED"/>
    <w:rsid w:val="00F93588"/>
    <w:rsid w:val="00F94BE3"/>
    <w:rsid w:val="00FA0CF2"/>
    <w:rsid w:val="00FA15D8"/>
    <w:rsid w:val="00FA420E"/>
    <w:rsid w:val="00FA53E1"/>
    <w:rsid w:val="00FA5922"/>
    <w:rsid w:val="00FA5ECB"/>
    <w:rsid w:val="00FA6B7A"/>
    <w:rsid w:val="00FB038D"/>
    <w:rsid w:val="00FB2560"/>
    <w:rsid w:val="00FB64A8"/>
    <w:rsid w:val="00FC0A35"/>
    <w:rsid w:val="00FC22DD"/>
    <w:rsid w:val="00FC3756"/>
    <w:rsid w:val="00FC5772"/>
    <w:rsid w:val="00FC5BE7"/>
    <w:rsid w:val="00FC6D30"/>
    <w:rsid w:val="00FD04D4"/>
    <w:rsid w:val="00FD2C29"/>
    <w:rsid w:val="00FD3599"/>
    <w:rsid w:val="00FD596D"/>
    <w:rsid w:val="00FD6495"/>
    <w:rsid w:val="00FE0C1B"/>
    <w:rsid w:val="00FE0F6C"/>
    <w:rsid w:val="00FE0FCA"/>
    <w:rsid w:val="00FE5A94"/>
    <w:rsid w:val="00FE7B2E"/>
    <w:rsid w:val="00FF0700"/>
    <w:rsid w:val="00FF08F0"/>
    <w:rsid w:val="00FF35FC"/>
    <w:rsid w:val="00FF61D2"/>
    <w:rsid w:val="00FF75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docId w15:val="{9259716E-6916-4DC4-80E7-66C986EA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paragraph" w:styleId="Heading1">
    <w:name w:val="heading 1"/>
    <w:basedOn w:val="Normal"/>
    <w:next w:val="Normal"/>
    <w:link w:val="Heading1Char"/>
    <w:qFormat/>
    <w:rsid w:val="00774C2A"/>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Heading1Char">
    <w:name w:val="Heading 1 Char"/>
    <w:basedOn w:val="DefaultParagraphFont"/>
    <w:link w:val="Heading1"/>
    <w:rsid w:val="00774C2A"/>
    <w:rPr>
      <w:rFonts w:ascii="Times New Roman" w:eastAsia="Times New Roman" w:hAnsi="Times New Roman" w:cs="Times New Roman"/>
      <w:b/>
      <w:bCs/>
      <w:sz w:val="32"/>
      <w:szCs w:val="32"/>
    </w:rPr>
  </w:style>
  <w:style w:type="character" w:styleId="UnresolvedMention">
    <w:name w:val="Unresolved Mention"/>
    <w:basedOn w:val="DefaultParagraphFont"/>
    <w:uiPriority w:val="99"/>
    <w:semiHidden/>
    <w:unhideWhenUsed/>
    <w:rsid w:val="004E68BC"/>
    <w:rPr>
      <w:color w:val="605E5C"/>
      <w:shd w:val="clear" w:color="auto" w:fill="E1DFDD"/>
    </w:rPr>
  </w:style>
  <w:style w:type="paragraph" w:styleId="Revision">
    <w:name w:val="Revision"/>
    <w:hidden/>
    <w:uiPriority w:val="99"/>
    <w:semiHidden/>
    <w:rsid w:val="007F3E17"/>
    <w:pPr>
      <w:spacing w:after="0" w:line="240" w:lineRule="auto"/>
    </w:pPr>
  </w:style>
  <w:style w:type="character" w:customStyle="1" w:styleId="wysiwyg-font-size-medium">
    <w:name w:val="wysiwyg-font-size-medium"/>
    <w:basedOn w:val="DefaultParagraphFont"/>
    <w:rsid w:val="00602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40458">
      <w:bodyDiv w:val="1"/>
      <w:marLeft w:val="0"/>
      <w:marRight w:val="0"/>
      <w:marTop w:val="0"/>
      <w:marBottom w:val="0"/>
      <w:divBdr>
        <w:top w:val="none" w:sz="0" w:space="0" w:color="auto"/>
        <w:left w:val="none" w:sz="0" w:space="0" w:color="auto"/>
        <w:bottom w:val="none" w:sz="0" w:space="0" w:color="auto"/>
        <w:right w:val="none" w:sz="0" w:space="0" w:color="auto"/>
      </w:divBdr>
      <w:divsChild>
        <w:div w:id="1989165731">
          <w:marLeft w:val="0"/>
          <w:marRight w:val="0"/>
          <w:marTop w:val="0"/>
          <w:marBottom w:val="0"/>
          <w:divBdr>
            <w:top w:val="none" w:sz="0" w:space="0" w:color="auto"/>
            <w:left w:val="none" w:sz="0" w:space="0" w:color="auto"/>
            <w:bottom w:val="none" w:sz="0" w:space="0" w:color="auto"/>
            <w:right w:val="none" w:sz="0" w:space="0" w:color="auto"/>
          </w:divBdr>
        </w:div>
        <w:div w:id="2003240894">
          <w:marLeft w:val="0"/>
          <w:marRight w:val="0"/>
          <w:marTop w:val="0"/>
          <w:marBottom w:val="0"/>
          <w:divBdr>
            <w:top w:val="none" w:sz="0" w:space="0" w:color="auto"/>
            <w:left w:val="none" w:sz="0" w:space="0" w:color="auto"/>
            <w:bottom w:val="none" w:sz="0" w:space="0" w:color="auto"/>
            <w:right w:val="none" w:sz="0" w:space="0" w:color="auto"/>
          </w:divBdr>
        </w:div>
      </w:divsChild>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801967390">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343237290">
      <w:bodyDiv w:val="1"/>
      <w:marLeft w:val="0"/>
      <w:marRight w:val="0"/>
      <w:marTop w:val="0"/>
      <w:marBottom w:val="0"/>
      <w:divBdr>
        <w:top w:val="none" w:sz="0" w:space="0" w:color="auto"/>
        <w:left w:val="none" w:sz="0" w:space="0" w:color="auto"/>
        <w:bottom w:val="none" w:sz="0" w:space="0" w:color="auto"/>
        <w:right w:val="none" w:sz="0" w:space="0" w:color="auto"/>
      </w:divBdr>
      <w:divsChild>
        <w:div w:id="575290339">
          <w:marLeft w:val="0"/>
          <w:marRight w:val="0"/>
          <w:marTop w:val="0"/>
          <w:marBottom w:val="0"/>
          <w:divBdr>
            <w:top w:val="none" w:sz="0" w:space="0" w:color="auto"/>
            <w:left w:val="none" w:sz="0" w:space="0" w:color="auto"/>
            <w:bottom w:val="none" w:sz="0" w:space="0" w:color="auto"/>
            <w:right w:val="none" w:sz="0" w:space="0" w:color="auto"/>
          </w:divBdr>
        </w:div>
        <w:div w:id="388502151">
          <w:marLeft w:val="0"/>
          <w:marRight w:val="0"/>
          <w:marTop w:val="0"/>
          <w:marBottom w:val="0"/>
          <w:divBdr>
            <w:top w:val="none" w:sz="0" w:space="0" w:color="auto"/>
            <w:left w:val="none" w:sz="0" w:space="0" w:color="auto"/>
            <w:bottom w:val="none" w:sz="0" w:space="0" w:color="auto"/>
            <w:right w:val="none" w:sz="0" w:space="0" w:color="auto"/>
          </w:divBdr>
        </w:div>
        <w:div w:id="1202860936">
          <w:marLeft w:val="0"/>
          <w:marRight w:val="0"/>
          <w:marTop w:val="0"/>
          <w:marBottom w:val="0"/>
          <w:divBdr>
            <w:top w:val="none" w:sz="0" w:space="0" w:color="auto"/>
            <w:left w:val="none" w:sz="0" w:space="0" w:color="auto"/>
            <w:bottom w:val="none" w:sz="0" w:space="0" w:color="auto"/>
            <w:right w:val="none" w:sz="0" w:space="0" w:color="auto"/>
          </w:divBdr>
        </w:div>
        <w:div w:id="1853497381">
          <w:marLeft w:val="0"/>
          <w:marRight w:val="0"/>
          <w:marTop w:val="0"/>
          <w:marBottom w:val="0"/>
          <w:divBdr>
            <w:top w:val="none" w:sz="0" w:space="0" w:color="auto"/>
            <w:left w:val="none" w:sz="0" w:space="0" w:color="auto"/>
            <w:bottom w:val="none" w:sz="0" w:space="0" w:color="auto"/>
            <w:right w:val="none" w:sz="0" w:space="0" w:color="auto"/>
          </w:divBdr>
        </w:div>
      </w:divsChild>
    </w:div>
    <w:div w:id="1706905502">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F100-F5E2-4561-9B6A-A4515148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8412</Words>
  <Characters>4795</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3</cp:revision>
  <cp:lastPrinted>2018-06-04T08:05:00Z</cp:lastPrinted>
  <dcterms:created xsi:type="dcterms:W3CDTF">2025-01-22T07:51:00Z</dcterms:created>
  <dcterms:modified xsi:type="dcterms:W3CDTF">2025-01-22T07:52:00Z</dcterms:modified>
</cp:coreProperties>
</file>