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8A486E" w:rsidRDefault="00F01538" w:rsidP="00AB10AF">
      <w:pPr>
        <w:spacing w:after="0"/>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9048475" r:id="rId9"/>
        </w:object>
      </w:r>
    </w:p>
    <w:p w14:paraId="0972FA3C" w14:textId="77777777" w:rsidR="00E83E81" w:rsidRPr="008A486E" w:rsidRDefault="00E83E81" w:rsidP="00AB10AF">
      <w:pPr>
        <w:spacing w:after="0"/>
        <w:rPr>
          <w:rFonts w:cstheme="minorHAnsi"/>
          <w:sz w:val="24"/>
          <w:szCs w:val="24"/>
        </w:rPr>
      </w:pPr>
    </w:p>
    <w:p w14:paraId="1AF679FC" w14:textId="77777777" w:rsidR="00E83E81" w:rsidRPr="008A486E" w:rsidRDefault="00E83E81" w:rsidP="00AB10AF">
      <w:pPr>
        <w:spacing w:after="0"/>
        <w:rPr>
          <w:rFonts w:eastAsia="Times New Roman" w:cstheme="minorHAnsi"/>
          <w:sz w:val="24"/>
          <w:szCs w:val="24"/>
        </w:rPr>
      </w:pPr>
    </w:p>
    <w:p w14:paraId="7CB27622" w14:textId="77777777" w:rsidR="00E83E81" w:rsidRPr="008A486E" w:rsidRDefault="00E83E81" w:rsidP="00AB10AF">
      <w:pPr>
        <w:keepNext/>
        <w:spacing w:after="0"/>
        <w:jc w:val="center"/>
        <w:outlineLvl w:val="0"/>
        <w:rPr>
          <w:rFonts w:eastAsia="Times New Roman" w:cstheme="minorHAnsi"/>
          <w:b/>
          <w:bCs/>
          <w:sz w:val="24"/>
          <w:szCs w:val="24"/>
        </w:rPr>
      </w:pPr>
      <w:r w:rsidRPr="008A486E">
        <w:rPr>
          <w:rFonts w:eastAsia="Times New Roman" w:cstheme="minorHAnsi"/>
          <w:b/>
          <w:bCs/>
          <w:sz w:val="24"/>
          <w:szCs w:val="24"/>
        </w:rPr>
        <w:t>VIEŠŲJŲ PIRKIMŲ TARNYBA</w:t>
      </w:r>
    </w:p>
    <w:p w14:paraId="5547A2E6" w14:textId="77777777" w:rsidR="00E83E81" w:rsidRPr="008A486E" w:rsidRDefault="00E83E81" w:rsidP="00AB10AF">
      <w:pPr>
        <w:keepNext/>
        <w:spacing w:after="0"/>
        <w:outlineLvl w:val="0"/>
        <w:rPr>
          <w:rFonts w:eastAsia="Times New Roman" w:cstheme="minorHAnsi"/>
          <w:b/>
          <w:bCs/>
          <w:sz w:val="24"/>
          <w:szCs w:val="24"/>
        </w:rPr>
      </w:pPr>
    </w:p>
    <w:p w14:paraId="384132F6" w14:textId="77777777" w:rsidR="00E83E81" w:rsidRPr="008A486E" w:rsidRDefault="00E83E81" w:rsidP="00AB10AF">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8A486E" w14:paraId="3BA34482" w14:textId="77777777" w:rsidTr="0011458F">
        <w:trPr>
          <w:cantSplit/>
          <w:tblHeader/>
          <w:jc w:val="center"/>
        </w:trPr>
        <w:tc>
          <w:tcPr>
            <w:tcW w:w="4820" w:type="dxa"/>
          </w:tcPr>
          <w:p w14:paraId="37185E3A" w14:textId="34A96896" w:rsidR="00E4480E" w:rsidRPr="008A486E" w:rsidRDefault="00383D34" w:rsidP="00AB10AF">
            <w:pPr>
              <w:spacing w:after="0"/>
              <w:rPr>
                <w:rFonts w:eastAsia="Times New Roman" w:cstheme="minorHAnsi"/>
                <w:bCs/>
                <w:sz w:val="24"/>
                <w:szCs w:val="24"/>
              </w:rPr>
            </w:pPr>
            <w:r w:rsidRPr="008A486E">
              <w:rPr>
                <w:rFonts w:eastAsia="Times New Roman" w:cstheme="minorHAnsi"/>
                <w:bCs/>
                <w:sz w:val="24"/>
                <w:szCs w:val="24"/>
              </w:rPr>
              <w:t xml:space="preserve">Valstybės įmonei </w:t>
            </w:r>
            <w:r w:rsidR="001F3CAE" w:rsidRPr="008A486E">
              <w:rPr>
                <w:rFonts w:eastAsia="Times New Roman" w:cstheme="minorHAnsi"/>
                <w:bCs/>
                <w:sz w:val="24"/>
                <w:szCs w:val="24"/>
              </w:rPr>
              <w:t>Registrų centrui</w:t>
            </w:r>
          </w:p>
          <w:p w14:paraId="22618E9A" w14:textId="6F750075" w:rsidR="00163C19" w:rsidRPr="00111D08" w:rsidRDefault="00E4480E" w:rsidP="00AB10AF">
            <w:pPr>
              <w:spacing w:after="0"/>
            </w:pPr>
            <w:r w:rsidRPr="008A486E">
              <w:rPr>
                <w:rFonts w:eastAsia="Times New Roman" w:cstheme="minorHAnsi"/>
                <w:sz w:val="24"/>
                <w:szCs w:val="24"/>
              </w:rPr>
              <w:t xml:space="preserve">El. p.: </w:t>
            </w:r>
            <w:hyperlink r:id="rId10" w:history="1">
              <w:r w:rsidR="001F3CAE" w:rsidRPr="008A486E">
                <w:rPr>
                  <w:rStyle w:val="Hyperlink"/>
                  <w:rFonts w:eastAsia="Times New Roman" w:cstheme="minorHAnsi"/>
                  <w:sz w:val="24"/>
                  <w:szCs w:val="24"/>
                </w:rPr>
                <w:t>info</w:t>
              </w:r>
              <w:r w:rsidR="001F3CAE" w:rsidRPr="008A486E">
                <w:rPr>
                  <w:rStyle w:val="Hyperlink"/>
                  <w:rFonts w:cstheme="minorHAnsi"/>
                  <w:sz w:val="24"/>
                  <w:szCs w:val="24"/>
                </w:rPr>
                <w:t>@registrucentras.lt</w:t>
              </w:r>
            </w:hyperlink>
          </w:p>
        </w:tc>
        <w:tc>
          <w:tcPr>
            <w:tcW w:w="1559" w:type="dxa"/>
          </w:tcPr>
          <w:p w14:paraId="13A87122" w14:textId="390D7063" w:rsidR="00E83E81" w:rsidRPr="008A486E" w:rsidRDefault="00E83E81" w:rsidP="00AB10AF">
            <w:pPr>
              <w:tabs>
                <w:tab w:val="left" w:pos="900"/>
              </w:tabs>
              <w:spacing w:after="0"/>
              <w:rPr>
                <w:rFonts w:eastAsia="Times New Roman" w:cstheme="minorHAnsi"/>
                <w:sz w:val="24"/>
                <w:szCs w:val="24"/>
              </w:rPr>
            </w:pPr>
            <w:r w:rsidRPr="008A486E">
              <w:rPr>
                <w:rFonts w:eastAsia="Times New Roman" w:cstheme="minorHAnsi"/>
                <w:sz w:val="24"/>
                <w:szCs w:val="24"/>
              </w:rPr>
              <w:t xml:space="preserve">  20</w:t>
            </w:r>
            <w:r w:rsidR="00EA2880" w:rsidRPr="008A486E">
              <w:rPr>
                <w:rFonts w:eastAsia="Times New Roman" w:cstheme="minorHAnsi"/>
                <w:sz w:val="24"/>
                <w:szCs w:val="24"/>
              </w:rPr>
              <w:t>2</w:t>
            </w:r>
            <w:r w:rsidR="00DA1E4F" w:rsidRPr="008A486E">
              <w:rPr>
                <w:rFonts w:eastAsia="Times New Roman" w:cstheme="minorHAnsi"/>
                <w:sz w:val="24"/>
                <w:szCs w:val="24"/>
              </w:rPr>
              <w:t>5</w:t>
            </w:r>
            <w:r w:rsidRPr="008A486E">
              <w:rPr>
                <w:rFonts w:eastAsia="Times New Roman" w:cstheme="minorHAnsi"/>
                <w:sz w:val="24"/>
                <w:szCs w:val="24"/>
              </w:rPr>
              <w:t>-</w:t>
            </w:r>
            <w:r w:rsidR="00DA1E4F" w:rsidRPr="008A486E">
              <w:rPr>
                <w:rFonts w:eastAsia="Times New Roman" w:cstheme="minorHAnsi"/>
                <w:sz w:val="24"/>
                <w:szCs w:val="24"/>
              </w:rPr>
              <w:t>01</w:t>
            </w:r>
            <w:r w:rsidR="00D332DA" w:rsidRPr="008A486E">
              <w:rPr>
                <w:rFonts w:eastAsia="Times New Roman" w:cstheme="minorHAnsi"/>
                <w:sz w:val="24"/>
                <w:szCs w:val="24"/>
              </w:rPr>
              <w:t>-</w:t>
            </w:r>
          </w:p>
          <w:p w14:paraId="080CB411" w14:textId="77777777" w:rsidR="008568A8" w:rsidRPr="008A486E" w:rsidRDefault="00E83E81" w:rsidP="00AB10AF">
            <w:pPr>
              <w:tabs>
                <w:tab w:val="left" w:pos="900"/>
              </w:tabs>
              <w:spacing w:after="0"/>
              <w:rPr>
                <w:rFonts w:eastAsia="Times New Roman" w:cstheme="minorHAnsi"/>
                <w:sz w:val="24"/>
                <w:szCs w:val="24"/>
              </w:rPr>
            </w:pPr>
            <w:r w:rsidRPr="008A486E">
              <w:rPr>
                <w:rFonts w:eastAsia="Times New Roman" w:cstheme="minorHAnsi"/>
                <w:sz w:val="24"/>
                <w:szCs w:val="24"/>
              </w:rPr>
              <w:t xml:space="preserve">Į </w:t>
            </w:r>
            <w:r w:rsidR="004D0118" w:rsidRPr="008A486E">
              <w:rPr>
                <w:rFonts w:eastAsia="Times New Roman" w:cstheme="minorHAnsi"/>
                <w:sz w:val="24"/>
                <w:szCs w:val="24"/>
              </w:rPr>
              <w:t>202</w:t>
            </w:r>
            <w:r w:rsidR="00312215" w:rsidRPr="008A486E">
              <w:rPr>
                <w:rFonts w:eastAsia="Times New Roman" w:cstheme="minorHAnsi"/>
                <w:sz w:val="24"/>
                <w:szCs w:val="24"/>
              </w:rPr>
              <w:t>4</w:t>
            </w:r>
            <w:r w:rsidR="004D0118" w:rsidRPr="008A486E">
              <w:rPr>
                <w:rFonts w:eastAsia="Times New Roman" w:cstheme="minorHAnsi"/>
                <w:sz w:val="24"/>
                <w:szCs w:val="24"/>
              </w:rPr>
              <w:t>-</w:t>
            </w:r>
            <w:r w:rsidR="000113F6" w:rsidRPr="008A486E">
              <w:rPr>
                <w:rFonts w:eastAsia="Times New Roman" w:cstheme="minorHAnsi"/>
                <w:sz w:val="24"/>
                <w:szCs w:val="24"/>
              </w:rPr>
              <w:t>1</w:t>
            </w:r>
            <w:r w:rsidR="00DA1E4F" w:rsidRPr="008A486E">
              <w:rPr>
                <w:rFonts w:eastAsia="Times New Roman" w:cstheme="minorHAnsi"/>
                <w:sz w:val="24"/>
                <w:szCs w:val="24"/>
              </w:rPr>
              <w:t>2</w:t>
            </w:r>
            <w:r w:rsidR="004D0118" w:rsidRPr="008A486E">
              <w:rPr>
                <w:rFonts w:eastAsia="Times New Roman" w:cstheme="minorHAnsi"/>
                <w:sz w:val="24"/>
                <w:szCs w:val="24"/>
              </w:rPr>
              <w:t>-</w:t>
            </w:r>
            <w:r w:rsidR="00383D34" w:rsidRPr="008A486E">
              <w:rPr>
                <w:rFonts w:eastAsia="Times New Roman" w:cstheme="minorHAnsi"/>
                <w:sz w:val="24"/>
                <w:szCs w:val="24"/>
              </w:rPr>
              <w:t>1</w:t>
            </w:r>
            <w:r w:rsidR="00DA1E4F" w:rsidRPr="008A486E">
              <w:rPr>
                <w:rFonts w:eastAsia="Times New Roman" w:cstheme="minorHAnsi"/>
                <w:sz w:val="24"/>
                <w:szCs w:val="24"/>
              </w:rPr>
              <w:t>9</w:t>
            </w:r>
          </w:p>
          <w:p w14:paraId="439A6C94" w14:textId="314225E6" w:rsidR="00104EC9" w:rsidRPr="008A486E" w:rsidRDefault="00104EC9" w:rsidP="00AB10AF">
            <w:pPr>
              <w:tabs>
                <w:tab w:val="left" w:pos="900"/>
              </w:tabs>
              <w:spacing w:after="0"/>
              <w:rPr>
                <w:rFonts w:eastAsia="Times New Roman" w:cstheme="minorHAnsi"/>
                <w:sz w:val="24"/>
                <w:szCs w:val="24"/>
              </w:rPr>
            </w:pPr>
            <w:r w:rsidRPr="008A486E">
              <w:rPr>
                <w:rFonts w:eastAsia="Times New Roman" w:cstheme="minorHAnsi"/>
                <w:sz w:val="24"/>
                <w:szCs w:val="24"/>
              </w:rPr>
              <w:t xml:space="preserve">  2025-01-08</w:t>
            </w:r>
          </w:p>
        </w:tc>
        <w:tc>
          <w:tcPr>
            <w:tcW w:w="540" w:type="dxa"/>
          </w:tcPr>
          <w:p w14:paraId="1644469B" w14:textId="5E6FB7C1" w:rsidR="00E83E81" w:rsidRPr="008A486E" w:rsidRDefault="00E83E81" w:rsidP="00AB10AF">
            <w:pPr>
              <w:tabs>
                <w:tab w:val="left" w:pos="900"/>
              </w:tabs>
              <w:spacing w:after="0"/>
              <w:rPr>
                <w:rFonts w:eastAsia="Times New Roman" w:cstheme="minorHAnsi"/>
                <w:sz w:val="24"/>
                <w:szCs w:val="24"/>
              </w:rPr>
            </w:pPr>
            <w:r w:rsidRPr="008A486E">
              <w:rPr>
                <w:rFonts w:eastAsia="Times New Roman" w:cstheme="minorHAnsi"/>
                <w:sz w:val="24"/>
                <w:szCs w:val="24"/>
              </w:rPr>
              <w:t>Nr.</w:t>
            </w:r>
          </w:p>
          <w:p w14:paraId="1A599EFE" w14:textId="77777777" w:rsidR="003C45C6" w:rsidRPr="008A486E" w:rsidRDefault="004D0118" w:rsidP="00AB10AF">
            <w:pPr>
              <w:tabs>
                <w:tab w:val="left" w:pos="900"/>
              </w:tabs>
              <w:spacing w:after="0"/>
              <w:rPr>
                <w:rFonts w:eastAsia="Times New Roman" w:cstheme="minorHAnsi"/>
                <w:sz w:val="24"/>
                <w:szCs w:val="24"/>
              </w:rPr>
            </w:pPr>
            <w:r w:rsidRPr="008A486E">
              <w:rPr>
                <w:rFonts w:eastAsia="Times New Roman" w:cstheme="minorHAnsi"/>
                <w:sz w:val="24"/>
                <w:szCs w:val="24"/>
              </w:rPr>
              <w:t>Nr</w:t>
            </w:r>
            <w:r w:rsidR="00110AD9" w:rsidRPr="008A486E">
              <w:rPr>
                <w:rFonts w:eastAsia="Times New Roman" w:cstheme="minorHAnsi"/>
                <w:sz w:val="24"/>
                <w:szCs w:val="24"/>
              </w:rPr>
              <w:t>.</w:t>
            </w:r>
          </w:p>
          <w:p w14:paraId="3A88D3C2" w14:textId="4A01536A" w:rsidR="00104EC9" w:rsidRPr="008A486E" w:rsidRDefault="00104EC9" w:rsidP="00AB10AF">
            <w:pPr>
              <w:tabs>
                <w:tab w:val="left" w:pos="900"/>
              </w:tabs>
              <w:spacing w:after="0"/>
              <w:rPr>
                <w:rFonts w:eastAsia="Times New Roman" w:cstheme="minorHAnsi"/>
                <w:sz w:val="24"/>
                <w:szCs w:val="24"/>
              </w:rPr>
            </w:pPr>
            <w:r w:rsidRPr="008A486E">
              <w:rPr>
                <w:rFonts w:eastAsia="Times New Roman" w:cstheme="minorHAnsi"/>
                <w:sz w:val="24"/>
                <w:szCs w:val="24"/>
              </w:rPr>
              <w:t>Nr.</w:t>
            </w:r>
          </w:p>
        </w:tc>
        <w:tc>
          <w:tcPr>
            <w:tcW w:w="2295" w:type="dxa"/>
          </w:tcPr>
          <w:p w14:paraId="2E309890" w14:textId="4B400718" w:rsidR="00E83E81" w:rsidRPr="008A486E" w:rsidRDefault="00E83E81" w:rsidP="00AB10AF">
            <w:pPr>
              <w:tabs>
                <w:tab w:val="right" w:pos="1764"/>
              </w:tabs>
              <w:spacing w:after="0"/>
              <w:rPr>
                <w:rFonts w:eastAsia="Times New Roman" w:cstheme="minorHAnsi"/>
                <w:sz w:val="24"/>
                <w:szCs w:val="24"/>
              </w:rPr>
            </w:pPr>
            <w:r w:rsidRPr="008A486E">
              <w:rPr>
                <w:rFonts w:eastAsia="Times New Roman" w:cstheme="minorHAnsi"/>
                <w:sz w:val="24"/>
                <w:szCs w:val="24"/>
              </w:rPr>
              <w:t>4S-</w:t>
            </w:r>
          </w:p>
          <w:p w14:paraId="386ADA09" w14:textId="77777777" w:rsidR="008568A8" w:rsidRPr="008A486E" w:rsidRDefault="00E4480E" w:rsidP="00AB10AF">
            <w:pPr>
              <w:spacing w:after="0"/>
              <w:rPr>
                <w:rFonts w:eastAsia="Times New Roman" w:cstheme="minorHAnsi"/>
                <w:sz w:val="24"/>
                <w:szCs w:val="24"/>
              </w:rPr>
            </w:pPr>
            <w:r w:rsidRPr="008A486E">
              <w:rPr>
                <w:rFonts w:eastAsia="Times New Roman" w:cstheme="minorHAnsi"/>
                <w:sz w:val="24"/>
                <w:szCs w:val="24"/>
              </w:rPr>
              <w:t>S-</w:t>
            </w:r>
            <w:r w:rsidR="00383D34" w:rsidRPr="008A486E">
              <w:rPr>
                <w:rFonts w:eastAsia="Times New Roman" w:cstheme="minorHAnsi"/>
                <w:sz w:val="24"/>
                <w:szCs w:val="24"/>
              </w:rPr>
              <w:t>2</w:t>
            </w:r>
            <w:r w:rsidR="00104EC9" w:rsidRPr="008A486E">
              <w:rPr>
                <w:rFonts w:eastAsia="Times New Roman" w:cstheme="minorHAnsi"/>
                <w:sz w:val="24"/>
                <w:szCs w:val="24"/>
              </w:rPr>
              <w:t>9402</w:t>
            </w:r>
            <w:r w:rsidR="000113F6" w:rsidRPr="008A486E">
              <w:rPr>
                <w:rFonts w:eastAsia="Times New Roman" w:cstheme="minorHAnsi"/>
                <w:sz w:val="24"/>
                <w:szCs w:val="24"/>
              </w:rPr>
              <w:t>(1</w:t>
            </w:r>
            <w:r w:rsidR="00383D34" w:rsidRPr="008A486E">
              <w:rPr>
                <w:rFonts w:eastAsia="Times New Roman" w:cstheme="minorHAnsi"/>
                <w:sz w:val="24"/>
                <w:szCs w:val="24"/>
              </w:rPr>
              <w:t>.4E</w:t>
            </w:r>
            <w:r w:rsidR="000113F6" w:rsidRPr="008A486E">
              <w:rPr>
                <w:rFonts w:eastAsia="Times New Roman" w:cstheme="minorHAnsi"/>
                <w:sz w:val="24"/>
                <w:szCs w:val="24"/>
              </w:rPr>
              <w:t>)</w:t>
            </w:r>
          </w:p>
          <w:p w14:paraId="26739837" w14:textId="3D8A138F" w:rsidR="00104EC9" w:rsidRPr="008A486E" w:rsidRDefault="00104EC9" w:rsidP="00AB10AF">
            <w:pPr>
              <w:spacing w:after="0"/>
              <w:rPr>
                <w:rFonts w:eastAsia="Times New Roman" w:cstheme="minorHAnsi"/>
                <w:sz w:val="24"/>
                <w:szCs w:val="24"/>
              </w:rPr>
            </w:pPr>
            <w:r w:rsidRPr="008A486E">
              <w:rPr>
                <w:rFonts w:eastAsia="Times New Roman" w:cstheme="minorHAnsi"/>
                <w:sz w:val="24"/>
                <w:szCs w:val="24"/>
              </w:rPr>
              <w:t>S-</w:t>
            </w:r>
            <w:r w:rsidR="003C1225" w:rsidRPr="008A486E">
              <w:rPr>
                <w:rFonts w:eastAsia="Times New Roman" w:cstheme="minorHAnsi"/>
                <w:sz w:val="24"/>
                <w:szCs w:val="24"/>
              </w:rPr>
              <w:t>194(1.4E)</w:t>
            </w:r>
          </w:p>
        </w:tc>
      </w:tr>
    </w:tbl>
    <w:p w14:paraId="005C7CF4" w14:textId="77777777" w:rsidR="00374EE9" w:rsidRPr="008A486E" w:rsidRDefault="00374EE9" w:rsidP="00AB10AF">
      <w:pPr>
        <w:tabs>
          <w:tab w:val="left" w:pos="1134"/>
        </w:tabs>
        <w:spacing w:after="0"/>
        <w:rPr>
          <w:rFonts w:eastAsia="Times New Roman" w:cstheme="minorHAnsi"/>
          <w:b/>
          <w:bCs/>
          <w:caps/>
          <w:sz w:val="24"/>
          <w:szCs w:val="24"/>
        </w:rPr>
      </w:pPr>
    </w:p>
    <w:p w14:paraId="5F218D1D" w14:textId="77777777" w:rsidR="00374EE9" w:rsidRPr="008A486E" w:rsidRDefault="00374EE9" w:rsidP="00AB10AF">
      <w:pPr>
        <w:tabs>
          <w:tab w:val="left" w:pos="1134"/>
        </w:tabs>
        <w:spacing w:after="0"/>
        <w:rPr>
          <w:rFonts w:eastAsia="Times New Roman" w:cstheme="minorHAnsi"/>
          <w:b/>
          <w:bCs/>
          <w:caps/>
          <w:sz w:val="24"/>
          <w:szCs w:val="24"/>
        </w:rPr>
      </w:pPr>
    </w:p>
    <w:p w14:paraId="0187F07E" w14:textId="2BDE78E6" w:rsidR="00E83E81" w:rsidRPr="008A486E" w:rsidRDefault="00E83E81" w:rsidP="00AB10AF">
      <w:pPr>
        <w:tabs>
          <w:tab w:val="left" w:pos="1134"/>
        </w:tabs>
        <w:spacing w:after="0"/>
        <w:ind w:firstLine="567"/>
        <w:rPr>
          <w:rFonts w:eastAsia="Times New Roman" w:cstheme="minorHAnsi"/>
          <w:b/>
          <w:sz w:val="24"/>
          <w:szCs w:val="24"/>
        </w:rPr>
      </w:pPr>
      <w:r w:rsidRPr="008A486E">
        <w:rPr>
          <w:rFonts w:eastAsia="Times New Roman" w:cstheme="minorHAnsi"/>
          <w:b/>
          <w:bCs/>
          <w:caps/>
          <w:sz w:val="24"/>
          <w:szCs w:val="24"/>
        </w:rPr>
        <w:t xml:space="preserve">SPRENDIMAS </w:t>
      </w:r>
      <w:r w:rsidR="007318BD" w:rsidRPr="008A486E">
        <w:rPr>
          <w:rFonts w:eastAsia="Times New Roman" w:cstheme="minorHAnsi"/>
          <w:b/>
          <w:bCs/>
          <w:caps/>
          <w:sz w:val="24"/>
          <w:szCs w:val="24"/>
        </w:rPr>
        <w:t>dėl sutikimo VYKDYTI PIRKIMĄ NESKELBIAMŲ DERYBŲ BŪDU</w:t>
      </w:r>
    </w:p>
    <w:p w14:paraId="585177F6" w14:textId="77777777" w:rsidR="007318BD" w:rsidRPr="008A486E" w:rsidRDefault="007318BD" w:rsidP="00AB10AF">
      <w:pPr>
        <w:tabs>
          <w:tab w:val="left" w:pos="1276"/>
        </w:tabs>
        <w:spacing w:after="0"/>
        <w:ind w:firstLine="567"/>
        <w:rPr>
          <w:rFonts w:eastAsia="Times New Roman" w:cstheme="minorHAnsi"/>
          <w:sz w:val="24"/>
          <w:szCs w:val="24"/>
        </w:rPr>
      </w:pPr>
    </w:p>
    <w:p w14:paraId="754AEECF" w14:textId="5F90DD98" w:rsidR="00943431" w:rsidRPr="008A486E" w:rsidRDefault="00943431" w:rsidP="003F0CDD">
      <w:pPr>
        <w:tabs>
          <w:tab w:val="left" w:pos="851"/>
          <w:tab w:val="left" w:pos="1134"/>
        </w:tabs>
        <w:spacing w:after="0"/>
        <w:ind w:firstLine="567"/>
        <w:contextualSpacing/>
        <w:rPr>
          <w:rFonts w:eastAsia="Calibri" w:cstheme="minorHAnsi"/>
          <w:sz w:val="24"/>
          <w:szCs w:val="24"/>
        </w:rPr>
      </w:pPr>
      <w:r w:rsidRPr="008A486E">
        <w:rPr>
          <w:rFonts w:cstheme="minorHAnsi"/>
          <w:sz w:val="24"/>
          <w:szCs w:val="24"/>
        </w:rPr>
        <w:t>Viešųjų pirkimų tarnyba (toliau – Tarnyba), vadovaudamasi Lietuvos Respublikos viešųjų pirkimų įstatymo (toliau – Įstatymas) 95 straipsnio 2 dalies 7 punktu</w:t>
      </w:r>
      <w:r w:rsidRPr="008A486E">
        <w:rPr>
          <w:rFonts w:eastAsia="Calibri" w:cstheme="minorHAnsi"/>
          <w:sz w:val="24"/>
          <w:szCs w:val="24"/>
        </w:rPr>
        <w:t xml:space="preserve"> </w:t>
      </w:r>
      <w:r w:rsidRPr="008A486E">
        <w:rPr>
          <w:rFonts w:cstheme="minorHAnsi"/>
          <w:sz w:val="24"/>
          <w:szCs w:val="24"/>
        </w:rPr>
        <w:t>ir Perkančiųjų organizacijų prašymų dėl Viešųjų pirkimų tarnybos sutikimų pateikimo ir nagrinėjimo taisyklėmis</w:t>
      </w:r>
      <w:r w:rsidRPr="008A486E">
        <w:rPr>
          <w:rFonts w:cstheme="minorHAnsi"/>
          <w:sz w:val="24"/>
          <w:szCs w:val="24"/>
          <w:vertAlign w:val="superscript"/>
        </w:rPr>
        <w:footnoteReference w:id="1"/>
      </w:r>
      <w:r w:rsidRPr="008A486E">
        <w:rPr>
          <w:rFonts w:cstheme="minorHAnsi"/>
          <w:sz w:val="24"/>
          <w:szCs w:val="24"/>
        </w:rPr>
        <w:t xml:space="preserve"> (toliau – Taisyklės), </w:t>
      </w:r>
      <w:bookmarkStart w:id="1" w:name="_Hlk156483607"/>
      <w:r w:rsidRPr="008A486E">
        <w:rPr>
          <w:rFonts w:cstheme="minorHAnsi"/>
          <w:sz w:val="24"/>
          <w:szCs w:val="24"/>
        </w:rPr>
        <w:t xml:space="preserve">išnagrinėjo </w:t>
      </w:r>
      <w:r w:rsidR="000D7C12" w:rsidRPr="008A486E">
        <w:rPr>
          <w:rFonts w:cstheme="minorHAnsi"/>
          <w:bCs/>
          <w:sz w:val="24"/>
          <w:szCs w:val="24"/>
        </w:rPr>
        <w:t xml:space="preserve">Valstybės įmonės Registrų centro </w:t>
      </w:r>
      <w:r w:rsidRPr="008A486E">
        <w:rPr>
          <w:rFonts w:cstheme="minorHAnsi"/>
          <w:sz w:val="24"/>
          <w:szCs w:val="24"/>
        </w:rPr>
        <w:t xml:space="preserve">(toliau – </w:t>
      </w:r>
      <w:r w:rsidR="00207899" w:rsidRPr="008A486E">
        <w:rPr>
          <w:rFonts w:cstheme="minorHAnsi"/>
          <w:sz w:val="24"/>
          <w:szCs w:val="24"/>
        </w:rPr>
        <w:t xml:space="preserve">Registrų centras arba </w:t>
      </w:r>
      <w:r w:rsidRPr="008A486E">
        <w:rPr>
          <w:rFonts w:cstheme="minorHAnsi"/>
          <w:sz w:val="24"/>
          <w:szCs w:val="24"/>
        </w:rPr>
        <w:t xml:space="preserve">Perkančioji organizacija) prašymą sutikti </w:t>
      </w:r>
      <w:r w:rsidR="003C1225" w:rsidRPr="008A486E">
        <w:rPr>
          <w:rFonts w:cstheme="minorHAnsi"/>
          <w:b/>
          <w:bCs/>
          <w:sz w:val="24"/>
          <w:szCs w:val="24"/>
        </w:rPr>
        <w:t>„</w:t>
      </w:r>
      <w:proofErr w:type="spellStart"/>
      <w:r w:rsidR="003C1225" w:rsidRPr="008A486E">
        <w:rPr>
          <w:rFonts w:cstheme="minorHAnsi"/>
          <w:b/>
          <w:bCs/>
          <w:sz w:val="24"/>
          <w:szCs w:val="24"/>
        </w:rPr>
        <w:t>Oracle</w:t>
      </w:r>
      <w:proofErr w:type="spellEnd"/>
      <w:r w:rsidR="003C1225" w:rsidRPr="008A486E">
        <w:rPr>
          <w:rFonts w:cstheme="minorHAnsi"/>
          <w:b/>
          <w:bCs/>
          <w:sz w:val="24"/>
          <w:szCs w:val="24"/>
        </w:rPr>
        <w:t>“ duomenų bazių sprendimo paslaugų pirkimą</w:t>
      </w:r>
      <w:bookmarkEnd w:id="1"/>
      <w:r w:rsidR="003C1225" w:rsidRPr="008A486E">
        <w:rPr>
          <w:rFonts w:cstheme="minorHAnsi"/>
          <w:b/>
          <w:bCs/>
          <w:sz w:val="24"/>
          <w:szCs w:val="24"/>
        </w:rPr>
        <w:t xml:space="preserve"> </w:t>
      </w:r>
      <w:r w:rsidRPr="008A486E">
        <w:rPr>
          <w:rFonts w:cstheme="minorHAnsi"/>
          <w:sz w:val="24"/>
          <w:szCs w:val="24"/>
        </w:rPr>
        <w:t xml:space="preserve">(toliau – Pirkimas) </w:t>
      </w:r>
      <w:bookmarkStart w:id="2" w:name="_Hlk156483642"/>
      <w:r w:rsidRPr="008A486E">
        <w:rPr>
          <w:rFonts w:cstheme="minorHAnsi"/>
          <w:sz w:val="24"/>
          <w:szCs w:val="24"/>
        </w:rPr>
        <w:t>vykdyti neskelbiamų derybų būdu, vadovaujantis Įstatymo 71 straipsnio 1 dalies 2 punkto b papunkči</w:t>
      </w:r>
      <w:bookmarkEnd w:id="2"/>
      <w:r w:rsidR="003C1225" w:rsidRPr="008A486E">
        <w:rPr>
          <w:rFonts w:cstheme="minorHAnsi"/>
          <w:sz w:val="24"/>
          <w:szCs w:val="24"/>
        </w:rPr>
        <w:t>u</w:t>
      </w:r>
      <w:r w:rsidRPr="008A486E">
        <w:rPr>
          <w:rFonts w:eastAsia="Times New Roman" w:cstheme="minorHAnsi"/>
          <w:sz w:val="24"/>
          <w:szCs w:val="24"/>
        </w:rPr>
        <w:t>.</w:t>
      </w:r>
    </w:p>
    <w:p w14:paraId="01F80E51" w14:textId="3CA8E4D5" w:rsidR="005848F7" w:rsidRPr="008A486E" w:rsidRDefault="00943431" w:rsidP="00E24EE6">
      <w:pPr>
        <w:tabs>
          <w:tab w:val="left" w:pos="851"/>
          <w:tab w:val="left" w:pos="1134"/>
        </w:tabs>
        <w:spacing w:after="0"/>
        <w:ind w:firstLine="567"/>
        <w:contextualSpacing/>
        <w:rPr>
          <w:rFonts w:eastAsia="Calibri" w:cstheme="minorHAnsi"/>
          <w:sz w:val="24"/>
          <w:szCs w:val="24"/>
        </w:rPr>
      </w:pPr>
      <w:r w:rsidRPr="008A486E">
        <w:rPr>
          <w:rFonts w:eastAsia="Calibri" w:cstheme="minorHAnsi"/>
          <w:sz w:val="24"/>
          <w:szCs w:val="24"/>
        </w:rPr>
        <w:t xml:space="preserve">Susipažinus su Perkančiosios organizacijos pateiktais dokumentais nustatyta, kad </w:t>
      </w:r>
      <w:r w:rsidR="00681624" w:rsidRPr="008A486E">
        <w:rPr>
          <w:rFonts w:eastAsia="Calibri" w:cstheme="minorHAnsi"/>
          <w:sz w:val="24"/>
          <w:szCs w:val="24"/>
        </w:rPr>
        <w:t xml:space="preserve">Registrų centre naudojama </w:t>
      </w:r>
      <w:r w:rsidR="00E1114E" w:rsidRPr="008A486E">
        <w:rPr>
          <w:rFonts w:eastAsia="Calibri" w:cstheme="minorHAnsi"/>
          <w:sz w:val="24"/>
          <w:szCs w:val="24"/>
        </w:rPr>
        <w:t>„</w:t>
      </w:r>
      <w:proofErr w:type="spellStart"/>
      <w:r w:rsidR="00681624" w:rsidRPr="008A486E">
        <w:rPr>
          <w:rFonts w:eastAsia="Calibri" w:cstheme="minorHAnsi"/>
          <w:sz w:val="24"/>
          <w:szCs w:val="24"/>
        </w:rPr>
        <w:t>Oracle</w:t>
      </w:r>
      <w:proofErr w:type="spellEnd"/>
      <w:r w:rsidR="00E1114E" w:rsidRPr="008A486E">
        <w:rPr>
          <w:rFonts w:eastAsia="Calibri" w:cstheme="minorHAnsi"/>
          <w:sz w:val="24"/>
          <w:szCs w:val="24"/>
        </w:rPr>
        <w:t>“</w:t>
      </w:r>
      <w:r w:rsidR="00681624" w:rsidRPr="008A486E">
        <w:rPr>
          <w:rFonts w:eastAsia="Calibri" w:cstheme="minorHAnsi"/>
          <w:sz w:val="24"/>
          <w:szCs w:val="24"/>
        </w:rPr>
        <w:t xml:space="preserve"> pagrindu sukurtų ir veikiančių duomenų bazių technologija</w:t>
      </w:r>
      <w:r w:rsidR="008A403C" w:rsidRPr="008A486E">
        <w:rPr>
          <w:rFonts w:eastAsia="Calibri" w:cstheme="minorHAnsi"/>
          <w:sz w:val="24"/>
          <w:szCs w:val="24"/>
        </w:rPr>
        <w:t>, kuri</w:t>
      </w:r>
      <w:r w:rsidR="00681624" w:rsidRPr="008A486E">
        <w:rPr>
          <w:rFonts w:eastAsia="Calibri" w:cstheme="minorHAnsi"/>
          <w:sz w:val="24"/>
          <w:szCs w:val="24"/>
        </w:rPr>
        <w:t xml:space="preserve"> užtikrina duomenų saugojimą, duomenų bazių našumą, saugumą ir funkcionalumą.</w:t>
      </w:r>
      <w:r w:rsidR="00997D85" w:rsidRPr="008A486E">
        <w:rPr>
          <w:rFonts w:eastAsia="Calibri" w:cstheme="minorHAnsi"/>
          <w:sz w:val="24"/>
          <w:szCs w:val="24"/>
        </w:rPr>
        <w:t xml:space="preserve"> </w:t>
      </w:r>
      <w:r w:rsidR="006055FE" w:rsidRPr="008A486E">
        <w:rPr>
          <w:rFonts w:eastAsia="Calibri" w:cstheme="minorHAnsi"/>
          <w:sz w:val="24"/>
          <w:szCs w:val="24"/>
        </w:rPr>
        <w:t>Perkančioji organizacija</w:t>
      </w:r>
      <w:r w:rsidR="00117543" w:rsidRPr="008A486E">
        <w:rPr>
          <w:rFonts w:eastAsia="Calibri" w:cstheme="minorHAnsi"/>
          <w:sz w:val="24"/>
          <w:szCs w:val="24"/>
        </w:rPr>
        <w:t xml:space="preserve"> </w:t>
      </w:r>
      <w:r w:rsidR="00A26F7E" w:rsidRPr="008A486E">
        <w:rPr>
          <w:rFonts w:eastAsia="Calibri" w:cstheme="minorHAnsi"/>
          <w:sz w:val="24"/>
          <w:szCs w:val="24"/>
        </w:rPr>
        <w:t xml:space="preserve">Pirkimu </w:t>
      </w:r>
      <w:r w:rsidR="00A8501E" w:rsidRPr="008A486E">
        <w:rPr>
          <w:rFonts w:eastAsia="Calibri" w:cstheme="minorHAnsi"/>
          <w:sz w:val="24"/>
          <w:szCs w:val="24"/>
        </w:rPr>
        <w:t xml:space="preserve">siekia </w:t>
      </w:r>
      <w:r w:rsidR="00A26F7E" w:rsidRPr="008A486E">
        <w:rPr>
          <w:rFonts w:eastAsia="Calibri" w:cstheme="minorHAnsi"/>
          <w:sz w:val="24"/>
          <w:szCs w:val="24"/>
        </w:rPr>
        <w:t xml:space="preserve">turimas ir eksploatuojamas </w:t>
      </w:r>
      <w:r w:rsidR="00CC0C4A" w:rsidRPr="008A486E">
        <w:rPr>
          <w:rFonts w:eastAsia="Calibri" w:cstheme="minorHAnsi"/>
          <w:sz w:val="24"/>
          <w:szCs w:val="24"/>
        </w:rPr>
        <w:t>„</w:t>
      </w:r>
      <w:proofErr w:type="spellStart"/>
      <w:r w:rsidR="00A26F7E" w:rsidRPr="008A486E">
        <w:rPr>
          <w:rFonts w:eastAsia="Calibri" w:cstheme="minorHAnsi"/>
          <w:sz w:val="24"/>
          <w:szCs w:val="24"/>
        </w:rPr>
        <w:t>Oracle</w:t>
      </w:r>
      <w:proofErr w:type="spellEnd"/>
      <w:r w:rsidR="00CC0C4A" w:rsidRPr="008A486E">
        <w:rPr>
          <w:rFonts w:eastAsia="Calibri" w:cstheme="minorHAnsi"/>
          <w:sz w:val="24"/>
          <w:szCs w:val="24"/>
        </w:rPr>
        <w:t>“</w:t>
      </w:r>
      <w:r w:rsidR="00A26F7E" w:rsidRPr="008A486E">
        <w:rPr>
          <w:rFonts w:eastAsia="Calibri" w:cstheme="minorHAnsi"/>
          <w:sz w:val="24"/>
          <w:szCs w:val="24"/>
        </w:rPr>
        <w:t xml:space="preserve"> duomenų bazes perkelti į naują sprendimą</w:t>
      </w:r>
      <w:r w:rsidR="00EC450F" w:rsidRPr="008A486E">
        <w:rPr>
          <w:rFonts w:eastAsia="Calibri" w:cstheme="minorHAnsi"/>
          <w:sz w:val="24"/>
          <w:szCs w:val="24"/>
        </w:rPr>
        <w:t xml:space="preserve">, kuris būtų </w:t>
      </w:r>
      <w:r w:rsidR="00A26F7E" w:rsidRPr="008A486E">
        <w:rPr>
          <w:rFonts w:eastAsia="Calibri" w:cstheme="minorHAnsi"/>
          <w:sz w:val="24"/>
          <w:szCs w:val="24"/>
        </w:rPr>
        <w:t>įsigyt</w:t>
      </w:r>
      <w:r w:rsidR="00EC450F" w:rsidRPr="008A486E">
        <w:rPr>
          <w:rFonts w:eastAsia="Calibri" w:cstheme="minorHAnsi"/>
          <w:sz w:val="24"/>
          <w:szCs w:val="24"/>
        </w:rPr>
        <w:t>as</w:t>
      </w:r>
      <w:r w:rsidR="00A26F7E" w:rsidRPr="008A486E">
        <w:rPr>
          <w:rFonts w:eastAsia="Calibri" w:cstheme="minorHAnsi"/>
          <w:sz w:val="24"/>
          <w:szCs w:val="24"/>
        </w:rPr>
        <w:t xml:space="preserve"> kaip vientiso integruoto sprendimo paslauga</w:t>
      </w:r>
      <w:r w:rsidR="001E7688">
        <w:rPr>
          <w:rFonts w:eastAsia="Calibri" w:cstheme="minorHAnsi"/>
          <w:sz w:val="24"/>
          <w:szCs w:val="24"/>
        </w:rPr>
        <w:t xml:space="preserve">. Ši paslauga </w:t>
      </w:r>
      <w:r w:rsidR="007066A5" w:rsidRPr="008A486E">
        <w:rPr>
          <w:rFonts w:eastAsia="Calibri" w:cstheme="minorHAnsi"/>
          <w:sz w:val="24"/>
          <w:szCs w:val="24"/>
        </w:rPr>
        <w:t>tur</w:t>
      </w:r>
      <w:r w:rsidR="00105D98">
        <w:rPr>
          <w:rFonts w:eastAsia="Calibri" w:cstheme="minorHAnsi"/>
          <w:sz w:val="24"/>
          <w:szCs w:val="24"/>
        </w:rPr>
        <w:t>i</w:t>
      </w:r>
      <w:r w:rsidR="007066A5" w:rsidRPr="008A486E">
        <w:rPr>
          <w:rFonts w:eastAsia="Calibri" w:cstheme="minorHAnsi"/>
          <w:sz w:val="24"/>
          <w:szCs w:val="24"/>
        </w:rPr>
        <w:t xml:space="preserve"> apjungti visą jos veikimui reikalingą techninę ir programinę įrangą (įskaitant „</w:t>
      </w:r>
      <w:proofErr w:type="spellStart"/>
      <w:r w:rsidR="007066A5" w:rsidRPr="008A486E">
        <w:rPr>
          <w:rFonts w:eastAsia="Calibri" w:cstheme="minorHAnsi"/>
          <w:sz w:val="24"/>
          <w:szCs w:val="24"/>
        </w:rPr>
        <w:t>Oracle</w:t>
      </w:r>
      <w:proofErr w:type="spellEnd"/>
      <w:r w:rsidR="007066A5" w:rsidRPr="008A486E">
        <w:rPr>
          <w:rFonts w:eastAsia="Calibri" w:cstheme="minorHAnsi"/>
          <w:sz w:val="24"/>
          <w:szCs w:val="24"/>
        </w:rPr>
        <w:t>“ duomenų bazių sisteminės programinės įrangos licencijas), skirtą duomenų bazių apdorojimui ir valdymui, bei turimas „</w:t>
      </w:r>
      <w:proofErr w:type="spellStart"/>
      <w:r w:rsidR="007066A5" w:rsidRPr="008A486E">
        <w:rPr>
          <w:rFonts w:eastAsia="Calibri" w:cstheme="minorHAnsi"/>
          <w:sz w:val="24"/>
          <w:szCs w:val="24"/>
        </w:rPr>
        <w:t>Oracle</w:t>
      </w:r>
      <w:proofErr w:type="spellEnd"/>
      <w:r w:rsidR="007066A5" w:rsidRPr="008A486E">
        <w:rPr>
          <w:rFonts w:eastAsia="Calibri" w:cstheme="minorHAnsi"/>
          <w:sz w:val="24"/>
          <w:szCs w:val="24"/>
        </w:rPr>
        <w:t>“ duomenų bazes ir jose esančius duomenis perkelti į naują bendrą paslaugos pagrindu veikiantį sprendimą</w:t>
      </w:r>
      <w:r w:rsidR="007066A5" w:rsidRPr="008A486E">
        <w:rPr>
          <w:rStyle w:val="FootnoteReference"/>
          <w:rFonts w:eastAsia="Calibri" w:cstheme="minorHAnsi"/>
          <w:sz w:val="24"/>
          <w:szCs w:val="24"/>
        </w:rPr>
        <w:footnoteReference w:id="2"/>
      </w:r>
      <w:r w:rsidR="007066A5" w:rsidRPr="008A486E">
        <w:rPr>
          <w:rFonts w:eastAsia="Calibri" w:cstheme="minorHAnsi"/>
          <w:sz w:val="24"/>
          <w:szCs w:val="24"/>
        </w:rPr>
        <w:t xml:space="preserve"> (toliau – sprendimas)</w:t>
      </w:r>
      <w:r w:rsidR="007606F0" w:rsidRPr="008A486E">
        <w:rPr>
          <w:rFonts w:eastAsia="Calibri" w:cstheme="minorHAnsi"/>
          <w:sz w:val="24"/>
          <w:szCs w:val="24"/>
        </w:rPr>
        <w:t xml:space="preserve">, </w:t>
      </w:r>
      <w:r w:rsidR="00A83B88" w:rsidRPr="008A486E">
        <w:rPr>
          <w:rFonts w:eastAsia="Calibri" w:cstheme="minorHAnsi"/>
          <w:sz w:val="24"/>
          <w:szCs w:val="24"/>
        </w:rPr>
        <w:t>t. y.</w:t>
      </w:r>
      <w:r w:rsidR="004A58A1" w:rsidRPr="008A486E">
        <w:rPr>
          <w:rFonts w:eastAsia="Calibri" w:cstheme="minorHAnsi"/>
          <w:sz w:val="24"/>
          <w:szCs w:val="24"/>
        </w:rPr>
        <w:t>,</w:t>
      </w:r>
      <w:r w:rsidR="006745AB" w:rsidRPr="008A486E">
        <w:rPr>
          <w:rFonts w:eastAsia="Calibri" w:cstheme="minorHAnsi"/>
          <w:sz w:val="24"/>
          <w:szCs w:val="24"/>
        </w:rPr>
        <w:t xml:space="preserve"> </w:t>
      </w:r>
      <w:r w:rsidR="0007575E">
        <w:rPr>
          <w:rFonts w:eastAsia="Calibri" w:cstheme="minorHAnsi"/>
          <w:sz w:val="24"/>
          <w:szCs w:val="24"/>
        </w:rPr>
        <w:t xml:space="preserve">siekiamą įsigyti </w:t>
      </w:r>
      <w:r w:rsidR="005848F7" w:rsidRPr="008A486E">
        <w:rPr>
          <w:rFonts w:eastAsia="Calibri" w:cstheme="minorHAnsi"/>
          <w:sz w:val="24"/>
          <w:szCs w:val="24"/>
        </w:rPr>
        <w:t>paslaug</w:t>
      </w:r>
      <w:r w:rsidR="00A83B88" w:rsidRPr="008A486E">
        <w:rPr>
          <w:rFonts w:eastAsia="Calibri" w:cstheme="minorHAnsi"/>
          <w:sz w:val="24"/>
          <w:szCs w:val="24"/>
        </w:rPr>
        <w:t>ą</w:t>
      </w:r>
      <w:r w:rsidR="005848F7" w:rsidRPr="008A486E">
        <w:rPr>
          <w:rFonts w:eastAsia="Calibri" w:cstheme="minorHAnsi"/>
          <w:sz w:val="24"/>
          <w:szCs w:val="24"/>
        </w:rPr>
        <w:t xml:space="preserve"> sudar</w:t>
      </w:r>
      <w:r w:rsidR="00870A75">
        <w:rPr>
          <w:rFonts w:eastAsia="Calibri" w:cstheme="minorHAnsi"/>
          <w:sz w:val="24"/>
          <w:szCs w:val="24"/>
        </w:rPr>
        <w:t>o</w:t>
      </w:r>
      <w:r w:rsidR="005848F7" w:rsidRPr="008A486E">
        <w:rPr>
          <w:rFonts w:eastAsia="Calibri" w:cstheme="minorHAnsi"/>
          <w:sz w:val="24"/>
          <w:szCs w:val="24"/>
        </w:rPr>
        <w:t xml:space="preserve"> techninės įrangos pristatymas, sumontavimas, parengimas eksploatacijai, programinės įrangos diegimas ir konfigūravimas, duomenų bazių su jose esančiais duomenimis migravimas, techninės ir programinės įrangos nuoma ir jos veikimui reikalingų resursų panaudojimas, darbuotojų apmokymai, konsultavimas bei standartinis gamintojo palaikymas.</w:t>
      </w:r>
      <w:r w:rsidR="00E24EE6" w:rsidRPr="008A486E">
        <w:rPr>
          <w:rFonts w:eastAsia="Calibri" w:cstheme="minorHAnsi"/>
          <w:sz w:val="24"/>
          <w:szCs w:val="24"/>
        </w:rPr>
        <w:t xml:space="preserve"> </w:t>
      </w:r>
    </w:p>
    <w:p w14:paraId="2D176894" w14:textId="6675AFD2" w:rsidR="006E0BDE" w:rsidRPr="008A486E" w:rsidRDefault="00C61F3A" w:rsidP="003F0CDD">
      <w:pPr>
        <w:tabs>
          <w:tab w:val="left" w:pos="851"/>
          <w:tab w:val="left" w:pos="1134"/>
        </w:tabs>
        <w:spacing w:after="0"/>
        <w:ind w:firstLine="567"/>
        <w:contextualSpacing/>
        <w:rPr>
          <w:rFonts w:eastAsia="Calibri" w:cstheme="minorHAnsi"/>
          <w:sz w:val="24"/>
          <w:szCs w:val="24"/>
        </w:rPr>
      </w:pPr>
      <w:r w:rsidRPr="008A486E">
        <w:rPr>
          <w:rFonts w:eastAsia="Calibri" w:cstheme="minorHAnsi"/>
          <w:sz w:val="24"/>
          <w:szCs w:val="24"/>
        </w:rPr>
        <w:t>Pateikdama papildomus paaiškinimus</w:t>
      </w:r>
      <w:r w:rsidRPr="008A486E">
        <w:rPr>
          <w:rStyle w:val="FootnoteReference"/>
          <w:rFonts w:eastAsia="Calibri" w:cstheme="minorHAnsi"/>
          <w:sz w:val="24"/>
          <w:szCs w:val="24"/>
        </w:rPr>
        <w:footnoteReference w:id="3"/>
      </w:r>
      <w:r w:rsidRPr="008A486E">
        <w:rPr>
          <w:rFonts w:eastAsia="Calibri" w:cstheme="minorHAnsi"/>
          <w:sz w:val="24"/>
          <w:szCs w:val="24"/>
        </w:rPr>
        <w:t xml:space="preserve">, Perkančioji organizacija </w:t>
      </w:r>
      <w:r w:rsidR="00A41F4C" w:rsidRPr="008A486E">
        <w:rPr>
          <w:rFonts w:eastAsia="Calibri" w:cstheme="minorHAnsi"/>
          <w:sz w:val="24"/>
          <w:szCs w:val="24"/>
        </w:rPr>
        <w:t>nurodė</w:t>
      </w:r>
      <w:r w:rsidRPr="008A486E">
        <w:rPr>
          <w:rFonts w:eastAsia="Calibri" w:cstheme="minorHAnsi"/>
          <w:sz w:val="24"/>
          <w:szCs w:val="24"/>
        </w:rPr>
        <w:t>, kad</w:t>
      </w:r>
      <w:r w:rsidR="0048211C" w:rsidRPr="008A486E">
        <w:rPr>
          <w:rFonts w:eastAsia="Calibri" w:cstheme="minorHAnsi"/>
          <w:sz w:val="24"/>
          <w:szCs w:val="24"/>
        </w:rPr>
        <w:t xml:space="preserve"> „</w:t>
      </w:r>
      <w:proofErr w:type="spellStart"/>
      <w:r w:rsidR="0048211C" w:rsidRPr="008A486E">
        <w:rPr>
          <w:rFonts w:eastAsia="Calibri" w:cstheme="minorHAnsi"/>
          <w:sz w:val="24"/>
          <w:szCs w:val="24"/>
        </w:rPr>
        <w:t>Oracle</w:t>
      </w:r>
      <w:proofErr w:type="spellEnd"/>
      <w:r w:rsidR="0048211C" w:rsidRPr="008A486E">
        <w:rPr>
          <w:rFonts w:eastAsia="Calibri" w:cstheme="minorHAnsi"/>
          <w:sz w:val="24"/>
          <w:szCs w:val="24"/>
        </w:rPr>
        <w:t>” duomenų bazės</w:t>
      </w:r>
      <w:r w:rsidR="00D13B18" w:rsidRPr="008A486E">
        <w:rPr>
          <w:rFonts w:eastAsia="Calibri" w:cstheme="minorHAnsi"/>
          <w:sz w:val="24"/>
          <w:szCs w:val="24"/>
        </w:rPr>
        <w:t xml:space="preserve"> </w:t>
      </w:r>
      <w:r w:rsidR="005D09FC" w:rsidRPr="008A486E">
        <w:rPr>
          <w:rFonts w:eastAsia="Calibri" w:cstheme="minorHAnsi"/>
          <w:sz w:val="24"/>
          <w:szCs w:val="24"/>
        </w:rPr>
        <w:t>yra sukurtos „</w:t>
      </w:r>
      <w:proofErr w:type="spellStart"/>
      <w:r w:rsidR="005D09FC" w:rsidRPr="008A486E">
        <w:rPr>
          <w:rFonts w:eastAsia="Calibri" w:cstheme="minorHAnsi"/>
          <w:sz w:val="24"/>
          <w:szCs w:val="24"/>
        </w:rPr>
        <w:t>Oracle</w:t>
      </w:r>
      <w:proofErr w:type="spellEnd"/>
      <w:r w:rsidR="005D09FC" w:rsidRPr="008A486E">
        <w:rPr>
          <w:rFonts w:eastAsia="Calibri" w:cstheme="minorHAnsi"/>
          <w:sz w:val="24"/>
          <w:szCs w:val="24"/>
        </w:rPr>
        <w:t>” programinės įrangos pagrindu</w:t>
      </w:r>
      <w:r w:rsidR="00D13B18" w:rsidRPr="008A486E">
        <w:rPr>
          <w:rFonts w:eastAsia="Calibri" w:cstheme="minorHAnsi"/>
          <w:sz w:val="24"/>
          <w:szCs w:val="24"/>
        </w:rPr>
        <w:t xml:space="preserve"> ir </w:t>
      </w:r>
      <w:r w:rsidR="0048211C" w:rsidRPr="008A486E">
        <w:rPr>
          <w:rFonts w:eastAsia="Calibri" w:cstheme="minorHAnsi"/>
          <w:sz w:val="24"/>
          <w:szCs w:val="24"/>
        </w:rPr>
        <w:t xml:space="preserve">yra Registrų centro sukurtas produktas. </w:t>
      </w:r>
      <w:r w:rsidR="00F747E9" w:rsidRPr="008A486E">
        <w:rPr>
          <w:rFonts w:eastAsia="Calibri" w:cstheme="minorHAnsi"/>
          <w:sz w:val="24"/>
          <w:szCs w:val="24"/>
        </w:rPr>
        <w:t xml:space="preserve">Nurodytos duomenų bazės Registrų centre yra naudojamos daugiau nei 20 metų, o jų vystymą ir priežiūrą užtikrina Registrų centro darbuotojai bei samdomi išorės specialistai. </w:t>
      </w:r>
      <w:r w:rsidR="008F7BA2" w:rsidRPr="008A486E">
        <w:rPr>
          <w:rFonts w:eastAsia="Calibri" w:cstheme="minorHAnsi"/>
          <w:sz w:val="24"/>
          <w:szCs w:val="24"/>
        </w:rPr>
        <w:t>Perkančioji organizacija paaiškino, kad š</w:t>
      </w:r>
      <w:r w:rsidR="0048211C" w:rsidRPr="008A486E">
        <w:rPr>
          <w:rFonts w:eastAsia="Calibri" w:cstheme="minorHAnsi"/>
          <w:sz w:val="24"/>
          <w:szCs w:val="24"/>
        </w:rPr>
        <w:t>i</w:t>
      </w:r>
      <w:r w:rsidR="00512E1D" w:rsidRPr="008A486E">
        <w:rPr>
          <w:rFonts w:eastAsia="Calibri" w:cstheme="minorHAnsi"/>
          <w:sz w:val="24"/>
          <w:szCs w:val="24"/>
        </w:rPr>
        <w:t xml:space="preserve">uo </w:t>
      </w:r>
      <w:r w:rsidR="008F7BA2" w:rsidRPr="008A486E">
        <w:rPr>
          <w:rFonts w:eastAsia="Calibri" w:cstheme="minorHAnsi"/>
          <w:sz w:val="24"/>
          <w:szCs w:val="24"/>
        </w:rPr>
        <w:t>P</w:t>
      </w:r>
      <w:r w:rsidR="00512E1D" w:rsidRPr="008A486E">
        <w:rPr>
          <w:rFonts w:eastAsia="Calibri" w:cstheme="minorHAnsi"/>
          <w:sz w:val="24"/>
          <w:szCs w:val="24"/>
        </w:rPr>
        <w:t>irkimu nebus įsigyjamos</w:t>
      </w:r>
      <w:r w:rsidR="0048211C" w:rsidRPr="008A486E">
        <w:rPr>
          <w:rFonts w:eastAsia="Calibri" w:cstheme="minorHAnsi"/>
          <w:sz w:val="24"/>
          <w:szCs w:val="24"/>
        </w:rPr>
        <w:t xml:space="preserve"> „</w:t>
      </w:r>
      <w:proofErr w:type="spellStart"/>
      <w:r w:rsidR="0048211C" w:rsidRPr="008A486E">
        <w:rPr>
          <w:rFonts w:eastAsia="Calibri" w:cstheme="minorHAnsi"/>
          <w:sz w:val="24"/>
          <w:szCs w:val="24"/>
        </w:rPr>
        <w:t>Oracle</w:t>
      </w:r>
      <w:proofErr w:type="spellEnd"/>
      <w:r w:rsidR="0048211C" w:rsidRPr="008A486E">
        <w:rPr>
          <w:rFonts w:eastAsia="Calibri" w:cstheme="minorHAnsi"/>
          <w:sz w:val="24"/>
          <w:szCs w:val="24"/>
        </w:rPr>
        <w:t>” pagrindu sukurtų duomenų bazių vystymo ar priežiūros paslaug</w:t>
      </w:r>
      <w:r w:rsidR="003B56D0" w:rsidRPr="008A486E">
        <w:rPr>
          <w:rFonts w:eastAsia="Calibri" w:cstheme="minorHAnsi"/>
          <w:sz w:val="24"/>
          <w:szCs w:val="24"/>
        </w:rPr>
        <w:t>os</w:t>
      </w:r>
      <w:r w:rsidR="0048211C" w:rsidRPr="008A486E">
        <w:rPr>
          <w:rFonts w:eastAsia="Calibri" w:cstheme="minorHAnsi"/>
          <w:sz w:val="24"/>
          <w:szCs w:val="24"/>
        </w:rPr>
        <w:t xml:space="preserve">. </w:t>
      </w:r>
      <w:r w:rsidR="00534D0C" w:rsidRPr="008A486E">
        <w:rPr>
          <w:rFonts w:eastAsia="Calibri" w:cstheme="minorHAnsi"/>
          <w:sz w:val="24"/>
          <w:szCs w:val="24"/>
        </w:rPr>
        <w:t>Taip pat nurodė, kad p</w:t>
      </w:r>
      <w:r w:rsidRPr="008A486E">
        <w:rPr>
          <w:rFonts w:eastAsia="Calibri" w:cstheme="minorHAnsi"/>
          <w:sz w:val="24"/>
          <w:szCs w:val="24"/>
        </w:rPr>
        <w:t xml:space="preserve">irmosios </w:t>
      </w:r>
      <w:r w:rsidRPr="008A486E">
        <w:rPr>
          <w:rFonts w:eastAsia="Calibri" w:cstheme="minorHAnsi"/>
          <w:sz w:val="24"/>
          <w:szCs w:val="24"/>
        </w:rPr>
        <w:lastRenderedPageBreak/>
        <w:t>„</w:t>
      </w:r>
      <w:proofErr w:type="spellStart"/>
      <w:r w:rsidRPr="008A486E">
        <w:rPr>
          <w:rFonts w:eastAsia="Calibri" w:cstheme="minorHAnsi"/>
          <w:sz w:val="24"/>
          <w:szCs w:val="24"/>
        </w:rPr>
        <w:t>Oracle</w:t>
      </w:r>
      <w:proofErr w:type="spellEnd"/>
      <w:r w:rsidRPr="008A486E">
        <w:rPr>
          <w:rFonts w:eastAsia="Calibri" w:cstheme="minorHAnsi"/>
          <w:sz w:val="24"/>
          <w:szCs w:val="24"/>
        </w:rPr>
        <w:t>” licencijos įsigytos vykdant viešojo pirkimo procedūras 2002 metais</w:t>
      </w:r>
      <w:r w:rsidR="00FC6E72" w:rsidRPr="008A486E">
        <w:rPr>
          <w:rFonts w:eastAsia="Calibri" w:cstheme="minorHAnsi"/>
          <w:sz w:val="24"/>
          <w:szCs w:val="24"/>
        </w:rPr>
        <w:t xml:space="preserve"> </w:t>
      </w:r>
      <w:r w:rsidR="005D435E" w:rsidRPr="008A486E">
        <w:rPr>
          <w:rFonts w:eastAsia="Calibri" w:cstheme="minorHAnsi"/>
          <w:sz w:val="24"/>
          <w:szCs w:val="24"/>
        </w:rPr>
        <w:t xml:space="preserve">ir </w:t>
      </w:r>
      <w:r w:rsidR="00FC6E72" w:rsidRPr="008A486E">
        <w:rPr>
          <w:rFonts w:eastAsia="Calibri" w:cstheme="minorHAnsi"/>
          <w:sz w:val="24"/>
          <w:szCs w:val="24"/>
        </w:rPr>
        <w:t>j</w:t>
      </w:r>
      <w:r w:rsidR="005D435E" w:rsidRPr="008A486E">
        <w:rPr>
          <w:rFonts w:eastAsia="Calibri" w:cstheme="minorHAnsi"/>
          <w:sz w:val="24"/>
          <w:szCs w:val="24"/>
        </w:rPr>
        <w:t xml:space="preserve">ų </w:t>
      </w:r>
      <w:r w:rsidR="00316A8D" w:rsidRPr="008A486E">
        <w:rPr>
          <w:rFonts w:eastAsia="Calibri" w:cstheme="minorHAnsi"/>
          <w:sz w:val="24"/>
          <w:szCs w:val="24"/>
        </w:rPr>
        <w:t>palaikymas yra perkamas kiekvienais metais, vienų metų laikotarpiui</w:t>
      </w:r>
      <w:r w:rsidR="00A27CA0" w:rsidRPr="008A486E">
        <w:rPr>
          <w:rFonts w:eastAsia="Calibri" w:cstheme="minorHAnsi"/>
          <w:sz w:val="24"/>
          <w:szCs w:val="24"/>
        </w:rPr>
        <w:t>, o</w:t>
      </w:r>
      <w:r w:rsidRPr="008A486E">
        <w:rPr>
          <w:rFonts w:eastAsia="Calibri" w:cstheme="minorHAnsi"/>
          <w:sz w:val="24"/>
          <w:szCs w:val="24"/>
        </w:rPr>
        <w:t>, esant poreikiui, įsigyjamos papildomai</w:t>
      </w:r>
      <w:r w:rsidR="00393D08" w:rsidRPr="008A486E">
        <w:rPr>
          <w:rFonts w:eastAsia="Calibri" w:cstheme="minorHAnsi"/>
          <w:sz w:val="24"/>
          <w:szCs w:val="24"/>
        </w:rPr>
        <w:t>,</w:t>
      </w:r>
      <w:r w:rsidRPr="008A486E">
        <w:rPr>
          <w:rFonts w:eastAsia="Calibri" w:cstheme="minorHAnsi"/>
          <w:sz w:val="24"/>
          <w:szCs w:val="24"/>
        </w:rPr>
        <w:t xml:space="preserve"> vykdant viešojo pirkimo procedūras.</w:t>
      </w:r>
    </w:p>
    <w:p w14:paraId="6E414928" w14:textId="287EE9C5" w:rsidR="005B08D5" w:rsidRPr="008A486E" w:rsidRDefault="00A27CA0" w:rsidP="003F0CDD">
      <w:pPr>
        <w:tabs>
          <w:tab w:val="left" w:pos="851"/>
          <w:tab w:val="left" w:pos="1134"/>
        </w:tabs>
        <w:spacing w:after="0"/>
        <w:ind w:firstLine="567"/>
        <w:contextualSpacing/>
        <w:rPr>
          <w:rFonts w:eastAsia="Calibri" w:cstheme="minorHAnsi"/>
          <w:sz w:val="24"/>
          <w:szCs w:val="24"/>
        </w:rPr>
      </w:pPr>
      <w:r w:rsidRPr="008A486E">
        <w:rPr>
          <w:rFonts w:eastAsia="Calibri" w:cstheme="minorHAnsi"/>
          <w:sz w:val="24"/>
          <w:szCs w:val="24"/>
        </w:rPr>
        <w:t xml:space="preserve">Siekdama pagrįsti </w:t>
      </w:r>
      <w:r w:rsidR="00F76A47" w:rsidRPr="008A486E">
        <w:rPr>
          <w:rFonts w:eastAsia="Calibri" w:cstheme="minorHAnsi"/>
          <w:sz w:val="24"/>
          <w:szCs w:val="24"/>
        </w:rPr>
        <w:t>priimtą sprendimą perkelti „</w:t>
      </w:r>
      <w:proofErr w:type="spellStart"/>
      <w:r w:rsidR="00F76A47" w:rsidRPr="008A486E">
        <w:rPr>
          <w:rFonts w:eastAsia="Calibri" w:cstheme="minorHAnsi"/>
          <w:sz w:val="24"/>
          <w:szCs w:val="24"/>
        </w:rPr>
        <w:t>Oracle</w:t>
      </w:r>
      <w:proofErr w:type="spellEnd"/>
      <w:r w:rsidR="00F76A47" w:rsidRPr="008A486E">
        <w:rPr>
          <w:rFonts w:eastAsia="Calibri" w:cstheme="minorHAnsi"/>
          <w:sz w:val="24"/>
          <w:szCs w:val="24"/>
        </w:rPr>
        <w:t>” duomenų bazes į naują sprendimą,</w:t>
      </w:r>
      <w:r w:rsidR="0093130E" w:rsidRPr="008A486E">
        <w:rPr>
          <w:rFonts w:eastAsia="Calibri" w:cstheme="minorHAnsi"/>
          <w:sz w:val="24"/>
          <w:szCs w:val="24"/>
        </w:rPr>
        <w:t xml:space="preserve"> </w:t>
      </w:r>
      <w:r w:rsidR="0093130E" w:rsidRPr="008A486E">
        <w:rPr>
          <w:rFonts w:eastAsia="Tahoma" w:cstheme="minorHAnsi"/>
          <w:sz w:val="24"/>
          <w:szCs w:val="24"/>
        </w:rPr>
        <w:t>kurį siekiama įsigyti kaip vientiso integruoto sprendimo paslaugas,</w:t>
      </w:r>
      <w:r w:rsidR="0093130E" w:rsidRPr="008A486E">
        <w:rPr>
          <w:rFonts w:eastAsia="Calibri" w:cstheme="minorHAnsi"/>
          <w:sz w:val="24"/>
          <w:szCs w:val="24"/>
        </w:rPr>
        <w:t xml:space="preserve"> </w:t>
      </w:r>
      <w:r w:rsidR="00F76A47" w:rsidRPr="008A486E">
        <w:rPr>
          <w:rFonts w:eastAsia="Calibri" w:cstheme="minorHAnsi"/>
          <w:sz w:val="24"/>
          <w:szCs w:val="24"/>
        </w:rPr>
        <w:t xml:space="preserve">Perkančioji organizacija </w:t>
      </w:r>
      <w:r w:rsidR="005933C2" w:rsidRPr="008A486E">
        <w:rPr>
          <w:rFonts w:eastAsia="Calibri" w:cstheme="minorHAnsi"/>
          <w:sz w:val="24"/>
          <w:szCs w:val="24"/>
        </w:rPr>
        <w:t>nurodė</w:t>
      </w:r>
      <w:r w:rsidR="00ED4CB2" w:rsidRPr="008A486E">
        <w:rPr>
          <w:rStyle w:val="FootnoteReference"/>
          <w:rFonts w:eastAsia="Calibri" w:cstheme="minorHAnsi"/>
          <w:sz w:val="24"/>
          <w:szCs w:val="24"/>
        </w:rPr>
        <w:footnoteReference w:id="4"/>
      </w:r>
      <w:r w:rsidR="001245B1" w:rsidRPr="008A486E">
        <w:rPr>
          <w:rFonts w:eastAsia="Calibri" w:cstheme="minorHAnsi"/>
          <w:sz w:val="24"/>
          <w:szCs w:val="24"/>
        </w:rPr>
        <w:t xml:space="preserve">, kad </w:t>
      </w:r>
      <w:r w:rsidR="00BF5EA5" w:rsidRPr="008A486E">
        <w:rPr>
          <w:rFonts w:eastAsia="Calibri" w:cstheme="minorHAnsi"/>
          <w:sz w:val="24"/>
          <w:szCs w:val="24"/>
        </w:rPr>
        <w:t>2025 m</w:t>
      </w:r>
      <w:r w:rsidR="001245B1" w:rsidRPr="008A486E">
        <w:rPr>
          <w:rFonts w:eastAsia="Calibri" w:cstheme="minorHAnsi"/>
          <w:sz w:val="24"/>
          <w:szCs w:val="24"/>
        </w:rPr>
        <w:t>etais</w:t>
      </w:r>
      <w:r w:rsidR="00BF5EA5" w:rsidRPr="008A486E">
        <w:rPr>
          <w:rFonts w:eastAsia="Calibri" w:cstheme="minorHAnsi"/>
          <w:sz w:val="24"/>
          <w:szCs w:val="24"/>
        </w:rPr>
        <w:t xml:space="preserve"> baigiasi </w:t>
      </w:r>
      <w:r w:rsidR="00C5198B" w:rsidRPr="008A486E">
        <w:rPr>
          <w:rFonts w:eastAsia="Calibri" w:cstheme="minorHAnsi"/>
          <w:sz w:val="24"/>
          <w:szCs w:val="24"/>
        </w:rPr>
        <w:t xml:space="preserve">tiek </w:t>
      </w:r>
      <w:r w:rsidR="00BF5EA5" w:rsidRPr="008A486E">
        <w:rPr>
          <w:rFonts w:eastAsia="Calibri" w:cstheme="minorHAnsi"/>
          <w:sz w:val="24"/>
          <w:szCs w:val="24"/>
        </w:rPr>
        <w:t>turimų „</w:t>
      </w:r>
      <w:proofErr w:type="spellStart"/>
      <w:r w:rsidR="00BF5EA5" w:rsidRPr="008A486E">
        <w:rPr>
          <w:rFonts w:eastAsia="Calibri" w:cstheme="minorHAnsi"/>
          <w:sz w:val="24"/>
          <w:szCs w:val="24"/>
        </w:rPr>
        <w:t>Oracle</w:t>
      </w:r>
      <w:proofErr w:type="spellEnd"/>
      <w:r w:rsidR="00BF5EA5" w:rsidRPr="008A486E">
        <w:rPr>
          <w:rFonts w:eastAsia="Calibri" w:cstheme="minorHAnsi"/>
          <w:sz w:val="24"/>
          <w:szCs w:val="24"/>
        </w:rPr>
        <w:t>” licencijų palaikymas</w:t>
      </w:r>
      <w:r w:rsidR="00C5198B" w:rsidRPr="008A486E">
        <w:rPr>
          <w:rFonts w:eastAsia="Calibri" w:cstheme="minorHAnsi"/>
          <w:sz w:val="24"/>
          <w:szCs w:val="24"/>
        </w:rPr>
        <w:t xml:space="preserve">, tiek </w:t>
      </w:r>
      <w:r w:rsidR="00A3032D" w:rsidRPr="008A486E">
        <w:rPr>
          <w:rFonts w:eastAsia="Calibri" w:cstheme="minorHAnsi"/>
          <w:sz w:val="24"/>
          <w:szCs w:val="24"/>
        </w:rPr>
        <w:t>Registrų centro infrastruktūros (aparatinės įrangos) gyvavimo ciklas, t. y.</w:t>
      </w:r>
      <w:r w:rsidR="00123E40">
        <w:rPr>
          <w:rFonts w:eastAsia="Calibri" w:cstheme="minorHAnsi"/>
          <w:sz w:val="24"/>
          <w:szCs w:val="24"/>
        </w:rPr>
        <w:t>,</w:t>
      </w:r>
      <w:r w:rsidR="00A3032D" w:rsidRPr="008A486E">
        <w:rPr>
          <w:rFonts w:eastAsia="Calibri" w:cstheme="minorHAnsi"/>
          <w:sz w:val="24"/>
          <w:szCs w:val="24"/>
        </w:rPr>
        <w:t xml:space="preserve"> </w:t>
      </w:r>
      <w:r w:rsidR="0007575E" w:rsidRPr="008A486E">
        <w:rPr>
          <w:rFonts w:eastAsia="Calibri" w:cstheme="minorHAnsi"/>
          <w:sz w:val="24"/>
          <w:szCs w:val="24"/>
        </w:rPr>
        <w:t>bai</w:t>
      </w:r>
      <w:r w:rsidR="0007575E">
        <w:rPr>
          <w:rFonts w:eastAsia="Calibri" w:cstheme="minorHAnsi"/>
          <w:sz w:val="24"/>
          <w:szCs w:val="24"/>
        </w:rPr>
        <w:t>gi</w:t>
      </w:r>
      <w:r w:rsidR="0007575E" w:rsidRPr="008A486E">
        <w:rPr>
          <w:rFonts w:eastAsia="Calibri" w:cstheme="minorHAnsi"/>
          <w:sz w:val="24"/>
          <w:szCs w:val="24"/>
        </w:rPr>
        <w:t>a</w:t>
      </w:r>
      <w:r w:rsidR="0007575E">
        <w:rPr>
          <w:rFonts w:eastAsia="Calibri" w:cstheme="minorHAnsi"/>
          <w:sz w:val="24"/>
          <w:szCs w:val="24"/>
        </w:rPr>
        <w:t>si</w:t>
      </w:r>
      <w:r w:rsidR="00A3032D" w:rsidRPr="008A486E">
        <w:rPr>
          <w:rFonts w:eastAsia="Calibri" w:cstheme="minorHAnsi"/>
          <w:sz w:val="24"/>
          <w:szCs w:val="24"/>
        </w:rPr>
        <w:t xml:space="preserve"> </w:t>
      </w:r>
      <w:r w:rsidR="0007575E">
        <w:rPr>
          <w:rFonts w:eastAsia="Calibri" w:cstheme="minorHAnsi"/>
          <w:sz w:val="24"/>
          <w:szCs w:val="24"/>
        </w:rPr>
        <w:t xml:space="preserve">naudojamos </w:t>
      </w:r>
      <w:r w:rsidR="00A3032D" w:rsidRPr="008A486E">
        <w:rPr>
          <w:rFonts w:eastAsia="Calibri" w:cstheme="minorHAnsi"/>
          <w:sz w:val="24"/>
          <w:szCs w:val="24"/>
        </w:rPr>
        <w:t xml:space="preserve">įrangos garantinis laikotarpis, todėl ją būtina keisti nauja, </w:t>
      </w:r>
      <w:r w:rsidR="00C5198B" w:rsidRPr="008A486E">
        <w:rPr>
          <w:rFonts w:eastAsia="Calibri" w:cstheme="minorHAnsi"/>
          <w:sz w:val="24"/>
          <w:szCs w:val="24"/>
        </w:rPr>
        <w:t>b</w:t>
      </w:r>
      <w:r w:rsidR="00BF5EA5" w:rsidRPr="008A486E">
        <w:rPr>
          <w:rFonts w:eastAsia="Calibri" w:cstheme="minorHAnsi"/>
          <w:sz w:val="24"/>
          <w:szCs w:val="24"/>
        </w:rPr>
        <w:t xml:space="preserve">e to, įrangos našumas nebetenkina esamų </w:t>
      </w:r>
      <w:r w:rsidR="00B80713">
        <w:rPr>
          <w:rFonts w:eastAsia="Calibri" w:cstheme="minorHAnsi"/>
          <w:sz w:val="24"/>
          <w:szCs w:val="24"/>
        </w:rPr>
        <w:t>Registro centro</w:t>
      </w:r>
      <w:r w:rsidR="0007575E">
        <w:rPr>
          <w:rFonts w:eastAsia="Calibri" w:cstheme="minorHAnsi"/>
          <w:sz w:val="24"/>
          <w:szCs w:val="24"/>
        </w:rPr>
        <w:t xml:space="preserve"> </w:t>
      </w:r>
      <w:r w:rsidR="00BF5EA5" w:rsidRPr="008A486E">
        <w:rPr>
          <w:rFonts w:eastAsia="Calibri" w:cstheme="minorHAnsi"/>
          <w:sz w:val="24"/>
          <w:szCs w:val="24"/>
        </w:rPr>
        <w:t>poreikių.</w:t>
      </w:r>
      <w:r w:rsidR="00C5198B" w:rsidRPr="008A486E">
        <w:rPr>
          <w:rFonts w:eastAsia="Calibri" w:cstheme="minorHAnsi"/>
          <w:sz w:val="24"/>
          <w:szCs w:val="24"/>
        </w:rPr>
        <w:t xml:space="preserve"> </w:t>
      </w:r>
      <w:r w:rsidR="00847D35">
        <w:rPr>
          <w:rFonts w:eastAsia="Calibri" w:cstheme="minorHAnsi"/>
          <w:sz w:val="24"/>
          <w:szCs w:val="24"/>
        </w:rPr>
        <w:t>Taip pat</w:t>
      </w:r>
      <w:r w:rsidR="00A1451E" w:rsidRPr="008A486E">
        <w:rPr>
          <w:rFonts w:eastAsia="Calibri" w:cstheme="minorHAnsi"/>
          <w:sz w:val="24"/>
          <w:szCs w:val="24"/>
        </w:rPr>
        <w:t xml:space="preserve"> nurodė</w:t>
      </w:r>
      <w:r w:rsidR="00C5198B" w:rsidRPr="008A486E">
        <w:rPr>
          <w:rFonts w:eastAsia="Calibri" w:cstheme="minorHAnsi"/>
          <w:sz w:val="24"/>
          <w:szCs w:val="24"/>
        </w:rPr>
        <w:t xml:space="preserve">, </w:t>
      </w:r>
      <w:r w:rsidR="00A1451E" w:rsidRPr="008A486E">
        <w:rPr>
          <w:rFonts w:eastAsia="Calibri" w:cstheme="minorHAnsi"/>
          <w:sz w:val="24"/>
          <w:szCs w:val="24"/>
        </w:rPr>
        <w:t xml:space="preserve">kad </w:t>
      </w:r>
      <w:r w:rsidR="00C5198B" w:rsidRPr="008A486E">
        <w:rPr>
          <w:rFonts w:eastAsia="Calibri" w:cstheme="minorHAnsi"/>
          <w:sz w:val="24"/>
          <w:szCs w:val="24"/>
        </w:rPr>
        <w:t>dėl</w:t>
      </w:r>
      <w:r w:rsidR="001D492E" w:rsidRPr="008A486E">
        <w:rPr>
          <w:rFonts w:eastAsia="Calibri" w:cstheme="minorHAnsi"/>
          <w:sz w:val="24"/>
          <w:szCs w:val="24"/>
        </w:rPr>
        <w:t xml:space="preserve"> </w:t>
      </w:r>
      <w:r w:rsidR="00C5198B" w:rsidRPr="008A486E">
        <w:rPr>
          <w:rFonts w:eastAsia="Calibri" w:cstheme="minorHAnsi"/>
          <w:sz w:val="24"/>
          <w:szCs w:val="24"/>
        </w:rPr>
        <w:t xml:space="preserve">Registrų centro strateginių projektų, susijusių su informacinių sistemų ir registrų modernizavimu bei plėtros įgyvendinimu, ir vykdant strateginį </w:t>
      </w:r>
      <w:proofErr w:type="spellStart"/>
      <w:r w:rsidR="00C5198B" w:rsidRPr="008A486E">
        <w:rPr>
          <w:rFonts w:eastAsia="Calibri" w:cstheme="minorHAnsi"/>
          <w:sz w:val="24"/>
          <w:szCs w:val="24"/>
        </w:rPr>
        <w:t>dekomponavimo</w:t>
      </w:r>
      <w:proofErr w:type="spellEnd"/>
      <w:r w:rsidR="00C5198B" w:rsidRPr="008A486E">
        <w:rPr>
          <w:rFonts w:eastAsia="Calibri" w:cstheme="minorHAnsi"/>
          <w:sz w:val="24"/>
          <w:szCs w:val="24"/>
        </w:rPr>
        <w:t xml:space="preserve"> projektą (</w:t>
      </w:r>
      <w:proofErr w:type="spellStart"/>
      <w:r w:rsidR="00C5198B" w:rsidRPr="008A486E">
        <w:rPr>
          <w:rFonts w:eastAsia="Calibri" w:cstheme="minorHAnsi"/>
          <w:sz w:val="24"/>
          <w:szCs w:val="24"/>
        </w:rPr>
        <w:t>dekonstruojant</w:t>
      </w:r>
      <w:proofErr w:type="spellEnd"/>
      <w:r w:rsidR="00C5198B" w:rsidRPr="008A486E">
        <w:rPr>
          <w:rFonts w:eastAsia="Calibri" w:cstheme="minorHAnsi"/>
          <w:sz w:val="24"/>
          <w:szCs w:val="24"/>
        </w:rPr>
        <w:t xml:space="preserve"> monolitinę sistemą į </w:t>
      </w:r>
      <w:proofErr w:type="spellStart"/>
      <w:r w:rsidR="00C5198B" w:rsidRPr="008A486E">
        <w:rPr>
          <w:rFonts w:eastAsia="Calibri" w:cstheme="minorHAnsi"/>
          <w:sz w:val="24"/>
          <w:szCs w:val="24"/>
        </w:rPr>
        <w:t>mikroservisus</w:t>
      </w:r>
      <w:proofErr w:type="spellEnd"/>
      <w:r w:rsidR="00C5198B" w:rsidRPr="008A486E">
        <w:rPr>
          <w:rFonts w:eastAsia="Calibri" w:cstheme="minorHAnsi"/>
          <w:sz w:val="24"/>
          <w:szCs w:val="24"/>
        </w:rPr>
        <w:t xml:space="preserve"> ar kitus mažesnius komponentus)</w:t>
      </w:r>
      <w:r w:rsidR="005A320E" w:rsidRPr="008A486E">
        <w:rPr>
          <w:rStyle w:val="FootnoteReference"/>
          <w:rFonts w:eastAsia="Calibri" w:cstheme="minorHAnsi"/>
          <w:sz w:val="24"/>
          <w:szCs w:val="24"/>
        </w:rPr>
        <w:footnoteReference w:id="5"/>
      </w:r>
      <w:r w:rsidR="005A320E" w:rsidRPr="008A486E">
        <w:rPr>
          <w:rFonts w:eastAsia="Calibri" w:cstheme="minorHAnsi"/>
          <w:sz w:val="24"/>
          <w:szCs w:val="24"/>
        </w:rPr>
        <w:t xml:space="preserve">, </w:t>
      </w:r>
      <w:r w:rsidR="00E264AA" w:rsidRPr="008A486E">
        <w:rPr>
          <w:rFonts w:eastAsia="Calibri" w:cstheme="minorHAnsi"/>
          <w:sz w:val="24"/>
          <w:szCs w:val="24"/>
        </w:rPr>
        <w:t xml:space="preserve">dėl </w:t>
      </w:r>
      <w:r w:rsidR="00C5198B" w:rsidRPr="008A486E">
        <w:rPr>
          <w:rFonts w:eastAsia="Calibri" w:cstheme="minorHAnsi"/>
          <w:sz w:val="24"/>
          <w:szCs w:val="24"/>
        </w:rPr>
        <w:t>aukšto patikimumo, kibernetinio saugumo ir BDAR reikalavimų informacinėms sistemoms ir registrams užtikrinimo</w:t>
      </w:r>
      <w:r w:rsidR="005B08D5" w:rsidRPr="008A486E">
        <w:rPr>
          <w:rFonts w:eastAsia="Calibri" w:cstheme="minorHAnsi"/>
          <w:sz w:val="24"/>
          <w:szCs w:val="24"/>
        </w:rPr>
        <w:t xml:space="preserve"> bei </w:t>
      </w:r>
      <w:r w:rsidR="00C5198B" w:rsidRPr="008A486E">
        <w:rPr>
          <w:rFonts w:eastAsia="Calibri" w:cstheme="minorHAnsi"/>
          <w:sz w:val="24"/>
          <w:szCs w:val="24"/>
        </w:rPr>
        <w:t>siekio sumažinti aukšto lygio incidentų kiekį</w:t>
      </w:r>
      <w:r w:rsidR="00EB0069">
        <w:rPr>
          <w:rFonts w:eastAsia="Calibri" w:cstheme="minorHAnsi"/>
          <w:sz w:val="24"/>
          <w:szCs w:val="24"/>
        </w:rPr>
        <w:t>,</w:t>
      </w:r>
      <w:r w:rsidR="0007575E" w:rsidRPr="0007575E">
        <w:rPr>
          <w:rFonts w:eastAsia="Calibri" w:cstheme="minorHAnsi"/>
          <w:sz w:val="24"/>
          <w:szCs w:val="24"/>
        </w:rPr>
        <w:t xml:space="preserve"> </w:t>
      </w:r>
      <w:r w:rsidR="0007575E" w:rsidRPr="008A486E">
        <w:rPr>
          <w:rFonts w:eastAsia="Calibri" w:cstheme="minorHAnsi"/>
          <w:sz w:val="24"/>
          <w:szCs w:val="24"/>
        </w:rPr>
        <w:t>nuolatos kinta infrastruktūros</w:t>
      </w:r>
      <w:r w:rsidR="0007575E">
        <w:rPr>
          <w:rFonts w:eastAsia="Calibri" w:cstheme="minorHAnsi"/>
          <w:sz w:val="24"/>
          <w:szCs w:val="24"/>
        </w:rPr>
        <w:t xml:space="preserve"> </w:t>
      </w:r>
      <w:r w:rsidR="0007575E" w:rsidRPr="008A486E">
        <w:rPr>
          <w:rFonts w:eastAsia="Calibri" w:cstheme="minorHAnsi"/>
          <w:sz w:val="24"/>
          <w:szCs w:val="24"/>
        </w:rPr>
        <w:t>ir „</w:t>
      </w:r>
      <w:proofErr w:type="spellStart"/>
      <w:r w:rsidR="0007575E" w:rsidRPr="008A486E">
        <w:rPr>
          <w:rFonts w:eastAsia="Calibri" w:cstheme="minorHAnsi"/>
          <w:sz w:val="24"/>
          <w:szCs w:val="24"/>
        </w:rPr>
        <w:t>Oracle</w:t>
      </w:r>
      <w:proofErr w:type="spellEnd"/>
      <w:r w:rsidR="0007575E" w:rsidRPr="008A486E">
        <w:rPr>
          <w:rFonts w:eastAsia="Calibri" w:cstheme="minorHAnsi"/>
          <w:sz w:val="24"/>
          <w:szCs w:val="24"/>
        </w:rPr>
        <w:t>” programinės įrangos poreikis</w:t>
      </w:r>
      <w:r w:rsidR="0007575E">
        <w:rPr>
          <w:rFonts w:eastAsia="Calibri" w:cstheme="minorHAnsi"/>
          <w:sz w:val="24"/>
          <w:szCs w:val="24"/>
        </w:rPr>
        <w:t xml:space="preserve">. </w:t>
      </w:r>
    </w:p>
    <w:p w14:paraId="3943F3F2" w14:textId="2425243A" w:rsidR="006162E0" w:rsidRPr="008A486E" w:rsidRDefault="006162E0" w:rsidP="006162E0">
      <w:pPr>
        <w:tabs>
          <w:tab w:val="left" w:pos="851"/>
          <w:tab w:val="left" w:pos="1134"/>
        </w:tabs>
        <w:spacing w:after="0"/>
        <w:ind w:firstLine="567"/>
        <w:contextualSpacing/>
        <w:rPr>
          <w:rFonts w:eastAsia="Times New Roman" w:cstheme="minorHAnsi"/>
          <w:sz w:val="24"/>
          <w:szCs w:val="24"/>
        </w:rPr>
      </w:pPr>
      <w:r w:rsidRPr="008A486E">
        <w:rPr>
          <w:rFonts w:eastAsia="Times New Roman" w:cstheme="minorHAnsi"/>
          <w:sz w:val="24"/>
          <w:szCs w:val="24"/>
        </w:rPr>
        <w:t>Kartu su prašymu pateiktame Perkančiosios organizacijos viešojo pirkimo komisijos protokole</w:t>
      </w:r>
      <w:r w:rsidRPr="008A486E">
        <w:rPr>
          <w:rStyle w:val="FootnoteReference"/>
          <w:rFonts w:eastAsia="Times New Roman" w:cstheme="minorHAnsi"/>
          <w:sz w:val="24"/>
          <w:szCs w:val="24"/>
        </w:rPr>
        <w:footnoteReference w:id="6"/>
      </w:r>
      <w:r w:rsidRPr="008A486E">
        <w:rPr>
          <w:rFonts w:eastAsia="Times New Roman" w:cstheme="minorHAnsi"/>
          <w:sz w:val="24"/>
          <w:szCs w:val="24"/>
        </w:rPr>
        <w:t xml:space="preserve"> (toliau – protokolas) pažymėta, kad daugumoje Registrų centr</w:t>
      </w:r>
      <w:r w:rsidR="0007575E">
        <w:rPr>
          <w:rFonts w:eastAsia="Times New Roman" w:cstheme="minorHAnsi"/>
          <w:sz w:val="24"/>
          <w:szCs w:val="24"/>
        </w:rPr>
        <w:t>o</w:t>
      </w:r>
      <w:r w:rsidRPr="008A486E">
        <w:rPr>
          <w:rFonts w:eastAsia="Times New Roman" w:cstheme="minorHAnsi"/>
          <w:sz w:val="24"/>
          <w:szCs w:val="24"/>
        </w:rPr>
        <w:t xml:space="preserve"> valdomų ir tvarkomų valstybės informacinių sistemų ir registrų</w:t>
      </w:r>
      <w:r w:rsidRPr="008A486E">
        <w:rPr>
          <w:rStyle w:val="FootnoteReference"/>
          <w:rFonts w:eastAsia="Times New Roman" w:cstheme="minorHAnsi"/>
          <w:sz w:val="24"/>
          <w:szCs w:val="24"/>
        </w:rPr>
        <w:footnoteReference w:id="7"/>
      </w:r>
      <w:r w:rsidRPr="008A486E">
        <w:rPr>
          <w:rFonts w:eastAsia="Times New Roman" w:cstheme="minorHAnsi"/>
          <w:sz w:val="24"/>
          <w:szCs w:val="24"/>
        </w:rPr>
        <w:t xml:space="preserve"> ilgai naudojamos „</w:t>
      </w:r>
      <w:proofErr w:type="spellStart"/>
      <w:r w:rsidRPr="008A486E">
        <w:rPr>
          <w:rFonts w:eastAsia="Times New Roman" w:cstheme="minorHAnsi"/>
          <w:sz w:val="24"/>
          <w:szCs w:val="24"/>
        </w:rPr>
        <w:t>Oracle</w:t>
      </w:r>
      <w:proofErr w:type="spellEnd"/>
      <w:r w:rsidRPr="008A486E">
        <w:rPr>
          <w:rFonts w:eastAsia="Times New Roman" w:cstheme="minorHAnsi"/>
          <w:sz w:val="24"/>
          <w:szCs w:val="24"/>
        </w:rPr>
        <w:t>“ technologijos ir funkcijos. Šiuo metu, Registrų centre intensyviai naudojami „</w:t>
      </w:r>
      <w:proofErr w:type="spellStart"/>
      <w:r w:rsidRPr="008A486E">
        <w:rPr>
          <w:rFonts w:eastAsia="Times New Roman" w:cstheme="minorHAnsi"/>
          <w:sz w:val="24"/>
          <w:szCs w:val="24"/>
        </w:rPr>
        <w:t>Oracle</w:t>
      </w:r>
      <w:proofErr w:type="spellEnd"/>
      <w:r w:rsidRPr="008A486E">
        <w:rPr>
          <w:rFonts w:eastAsia="Times New Roman" w:cstheme="minorHAnsi"/>
          <w:sz w:val="24"/>
          <w:szCs w:val="24"/>
        </w:rPr>
        <w:t xml:space="preserve">“ funkcionalumai: </w:t>
      </w:r>
      <w:proofErr w:type="spellStart"/>
      <w:r w:rsidRPr="008A486E">
        <w:rPr>
          <w:rFonts w:eastAsia="Times New Roman" w:cstheme="minorHAnsi"/>
          <w:sz w:val="24"/>
          <w:szCs w:val="24"/>
        </w:rPr>
        <w:t>Real</w:t>
      </w:r>
      <w:proofErr w:type="spellEnd"/>
      <w:r w:rsidRPr="008A486E">
        <w:rPr>
          <w:rFonts w:eastAsia="Times New Roman" w:cstheme="minorHAnsi"/>
          <w:sz w:val="24"/>
          <w:szCs w:val="24"/>
        </w:rPr>
        <w:t xml:space="preserve"> </w:t>
      </w:r>
      <w:proofErr w:type="spellStart"/>
      <w:r w:rsidRPr="008A486E">
        <w:rPr>
          <w:rFonts w:eastAsia="Times New Roman" w:cstheme="minorHAnsi"/>
          <w:sz w:val="24"/>
          <w:szCs w:val="24"/>
        </w:rPr>
        <w:t>Application</w:t>
      </w:r>
      <w:proofErr w:type="spellEnd"/>
      <w:r w:rsidRPr="008A486E">
        <w:rPr>
          <w:rFonts w:eastAsia="Times New Roman" w:cstheme="minorHAnsi"/>
          <w:sz w:val="24"/>
          <w:szCs w:val="24"/>
        </w:rPr>
        <w:t xml:space="preserve"> </w:t>
      </w:r>
      <w:proofErr w:type="spellStart"/>
      <w:r w:rsidRPr="008A486E">
        <w:rPr>
          <w:rFonts w:eastAsia="Times New Roman" w:cstheme="minorHAnsi"/>
          <w:sz w:val="24"/>
          <w:szCs w:val="24"/>
        </w:rPr>
        <w:t>Clusters</w:t>
      </w:r>
      <w:proofErr w:type="spellEnd"/>
      <w:r w:rsidRPr="008A486E">
        <w:rPr>
          <w:rFonts w:eastAsia="Times New Roman" w:cstheme="minorHAnsi"/>
          <w:sz w:val="24"/>
          <w:szCs w:val="24"/>
        </w:rPr>
        <w:t xml:space="preserve"> (RAC)</w:t>
      </w:r>
      <w:r w:rsidRPr="008A486E">
        <w:rPr>
          <w:rStyle w:val="FootnoteReference"/>
          <w:rFonts w:eastAsia="Times New Roman" w:cstheme="minorHAnsi"/>
          <w:sz w:val="24"/>
          <w:szCs w:val="24"/>
        </w:rPr>
        <w:footnoteReference w:id="8"/>
      </w:r>
      <w:r w:rsidRPr="008A486E">
        <w:rPr>
          <w:rFonts w:eastAsia="Times New Roman" w:cstheme="minorHAnsi"/>
          <w:sz w:val="24"/>
          <w:szCs w:val="24"/>
        </w:rPr>
        <w:t xml:space="preserve">, </w:t>
      </w:r>
      <w:proofErr w:type="spellStart"/>
      <w:r w:rsidRPr="008A486E">
        <w:rPr>
          <w:rFonts w:eastAsia="Times New Roman" w:cstheme="minorHAnsi"/>
          <w:sz w:val="24"/>
          <w:szCs w:val="24"/>
        </w:rPr>
        <w:t>Active</w:t>
      </w:r>
      <w:proofErr w:type="spellEnd"/>
      <w:r w:rsidRPr="008A486E">
        <w:rPr>
          <w:rFonts w:eastAsia="Times New Roman" w:cstheme="minorHAnsi"/>
          <w:sz w:val="24"/>
          <w:szCs w:val="24"/>
        </w:rPr>
        <w:t xml:space="preserve"> Data </w:t>
      </w:r>
      <w:proofErr w:type="spellStart"/>
      <w:r w:rsidRPr="008A486E">
        <w:rPr>
          <w:rFonts w:eastAsia="Times New Roman" w:cstheme="minorHAnsi"/>
          <w:sz w:val="24"/>
          <w:szCs w:val="24"/>
        </w:rPr>
        <w:t>Guard</w:t>
      </w:r>
      <w:proofErr w:type="spellEnd"/>
      <w:r w:rsidRPr="008A486E">
        <w:rPr>
          <w:rStyle w:val="FootnoteReference"/>
          <w:rFonts w:eastAsia="Times New Roman" w:cstheme="minorHAnsi"/>
          <w:sz w:val="24"/>
          <w:szCs w:val="24"/>
        </w:rPr>
        <w:footnoteReference w:id="9"/>
      </w:r>
      <w:r w:rsidRPr="008A486E">
        <w:rPr>
          <w:rFonts w:eastAsia="Times New Roman" w:cstheme="minorHAnsi"/>
          <w:sz w:val="24"/>
          <w:szCs w:val="24"/>
        </w:rPr>
        <w:t xml:space="preserve">, </w:t>
      </w:r>
      <w:proofErr w:type="spellStart"/>
      <w:r w:rsidRPr="008A486E">
        <w:rPr>
          <w:rFonts w:eastAsia="Times New Roman" w:cstheme="minorHAnsi"/>
          <w:sz w:val="24"/>
          <w:szCs w:val="24"/>
        </w:rPr>
        <w:t>Automatic</w:t>
      </w:r>
      <w:proofErr w:type="spellEnd"/>
      <w:r w:rsidRPr="008A486E">
        <w:rPr>
          <w:rFonts w:eastAsia="Times New Roman" w:cstheme="minorHAnsi"/>
          <w:sz w:val="24"/>
          <w:szCs w:val="24"/>
        </w:rPr>
        <w:t xml:space="preserve"> </w:t>
      </w:r>
      <w:proofErr w:type="spellStart"/>
      <w:r w:rsidRPr="008A486E">
        <w:rPr>
          <w:rFonts w:eastAsia="Times New Roman" w:cstheme="minorHAnsi"/>
          <w:sz w:val="24"/>
          <w:szCs w:val="24"/>
        </w:rPr>
        <w:t>Storage</w:t>
      </w:r>
      <w:proofErr w:type="spellEnd"/>
      <w:r w:rsidRPr="008A486E">
        <w:rPr>
          <w:rFonts w:eastAsia="Times New Roman" w:cstheme="minorHAnsi"/>
          <w:sz w:val="24"/>
          <w:szCs w:val="24"/>
        </w:rPr>
        <w:t xml:space="preserve"> </w:t>
      </w:r>
      <w:proofErr w:type="spellStart"/>
      <w:r w:rsidRPr="008A486E">
        <w:rPr>
          <w:rFonts w:eastAsia="Times New Roman" w:cstheme="minorHAnsi"/>
          <w:sz w:val="24"/>
          <w:szCs w:val="24"/>
        </w:rPr>
        <w:t>Management</w:t>
      </w:r>
      <w:proofErr w:type="spellEnd"/>
      <w:r w:rsidRPr="008A486E">
        <w:rPr>
          <w:rFonts w:eastAsia="Times New Roman" w:cstheme="minorHAnsi"/>
          <w:sz w:val="24"/>
          <w:szCs w:val="24"/>
        </w:rPr>
        <w:t xml:space="preserve"> (ASM)</w:t>
      </w:r>
      <w:r w:rsidRPr="008A486E">
        <w:rPr>
          <w:rStyle w:val="FootnoteReference"/>
          <w:rFonts w:eastAsia="Times New Roman" w:cstheme="minorHAnsi"/>
          <w:sz w:val="24"/>
          <w:szCs w:val="24"/>
        </w:rPr>
        <w:footnoteReference w:id="10"/>
      </w:r>
      <w:r w:rsidRPr="008A486E">
        <w:rPr>
          <w:rFonts w:eastAsia="Times New Roman" w:cstheme="minorHAnsi"/>
          <w:sz w:val="24"/>
          <w:szCs w:val="24"/>
        </w:rPr>
        <w:t xml:space="preserve"> ir </w:t>
      </w:r>
      <w:proofErr w:type="spellStart"/>
      <w:r w:rsidRPr="008A486E">
        <w:rPr>
          <w:rFonts w:eastAsia="Times New Roman" w:cstheme="minorHAnsi"/>
          <w:sz w:val="24"/>
          <w:szCs w:val="24"/>
        </w:rPr>
        <w:t>Partitioning</w:t>
      </w:r>
      <w:proofErr w:type="spellEnd"/>
      <w:r w:rsidRPr="008A486E">
        <w:rPr>
          <w:rStyle w:val="FootnoteReference"/>
          <w:rFonts w:eastAsia="Times New Roman" w:cstheme="minorHAnsi"/>
          <w:sz w:val="24"/>
          <w:szCs w:val="24"/>
        </w:rPr>
        <w:footnoteReference w:id="11"/>
      </w:r>
      <w:r w:rsidRPr="008A486E">
        <w:rPr>
          <w:rFonts w:eastAsia="Times New Roman" w:cstheme="minorHAnsi"/>
          <w:sz w:val="24"/>
          <w:szCs w:val="24"/>
        </w:rPr>
        <w:t>, yra esminiai komponentai, užtikrinantys sistemų našumą, prieinamumą ir duomenų valdymą. Visi nurodyti funkcionalumai integruoti į Registrų centro infrastruktūrą, todėl per</w:t>
      </w:r>
      <w:r w:rsidR="003E2929">
        <w:rPr>
          <w:rFonts w:eastAsia="Times New Roman" w:cstheme="minorHAnsi"/>
          <w:sz w:val="24"/>
          <w:szCs w:val="24"/>
        </w:rPr>
        <w:t>ėjimas</w:t>
      </w:r>
      <w:r w:rsidRPr="008A486E">
        <w:rPr>
          <w:rFonts w:eastAsia="Times New Roman" w:cstheme="minorHAnsi"/>
          <w:sz w:val="24"/>
          <w:szCs w:val="24"/>
        </w:rPr>
        <w:t xml:space="preserve"> į kitą sprendimą </w:t>
      </w:r>
      <w:r w:rsidR="003E2929">
        <w:rPr>
          <w:rFonts w:eastAsia="Times New Roman" w:cstheme="minorHAnsi"/>
          <w:sz w:val="24"/>
          <w:szCs w:val="24"/>
        </w:rPr>
        <w:t>pa</w:t>
      </w:r>
      <w:r w:rsidRPr="008A486E">
        <w:rPr>
          <w:rFonts w:eastAsia="Times New Roman" w:cstheme="minorHAnsi"/>
          <w:sz w:val="24"/>
          <w:szCs w:val="24"/>
        </w:rPr>
        <w:t xml:space="preserve">reikalautų didelių finansinių ir laiko investicijų bei Registrų centro darbuotojų perkvalifikavimo, kad būtų užtikrintas sistemos nepertraukiamas veikimas su reikiamu našumu ir saugumu, todėl, Perkančiosios organizacijos teigimu, pereiti prie kitos duomenų bazės valdymo sistemos, pavyzdžiui, </w:t>
      </w:r>
      <w:proofErr w:type="spellStart"/>
      <w:r w:rsidRPr="008A486E">
        <w:rPr>
          <w:rFonts w:eastAsia="Times New Roman" w:cstheme="minorHAnsi"/>
          <w:sz w:val="24"/>
          <w:szCs w:val="24"/>
        </w:rPr>
        <w:t>PostgreSQL</w:t>
      </w:r>
      <w:proofErr w:type="spellEnd"/>
      <w:r w:rsidRPr="008A486E">
        <w:rPr>
          <w:rFonts w:eastAsia="Times New Roman" w:cstheme="minorHAnsi"/>
          <w:sz w:val="24"/>
          <w:szCs w:val="24"/>
        </w:rPr>
        <w:t xml:space="preserve"> ar Microsoft SQL Server iš „</w:t>
      </w:r>
      <w:proofErr w:type="spellStart"/>
      <w:r w:rsidRPr="008A486E">
        <w:rPr>
          <w:rFonts w:eastAsia="Times New Roman" w:cstheme="minorHAnsi"/>
          <w:sz w:val="24"/>
          <w:szCs w:val="24"/>
        </w:rPr>
        <w:t>Oracle</w:t>
      </w:r>
      <w:proofErr w:type="spellEnd"/>
      <w:r w:rsidRPr="008A486E">
        <w:rPr>
          <w:rFonts w:eastAsia="Times New Roman" w:cstheme="minorHAnsi"/>
          <w:sz w:val="24"/>
          <w:szCs w:val="24"/>
        </w:rPr>
        <w:t>“, yra praktiškai neįmanoma. Taip pat protokole pažymėta, kad siekiant užtikrinti informacinių sistemų sprendimų patikimumą, Registrų centras turi įsigyti papildomas licencijas</w:t>
      </w:r>
      <w:r w:rsidRPr="008A486E">
        <w:rPr>
          <w:rStyle w:val="FootnoteReference"/>
          <w:rFonts w:eastAsia="Times New Roman" w:cstheme="minorHAnsi"/>
          <w:sz w:val="24"/>
          <w:szCs w:val="24"/>
        </w:rPr>
        <w:footnoteReference w:id="12"/>
      </w:r>
      <w:r w:rsidRPr="008A486E">
        <w:rPr>
          <w:rFonts w:eastAsia="Times New Roman" w:cstheme="minorHAnsi"/>
          <w:sz w:val="24"/>
          <w:szCs w:val="24"/>
        </w:rPr>
        <w:t>, kurias licencijuoja „</w:t>
      </w:r>
      <w:proofErr w:type="spellStart"/>
      <w:r w:rsidRPr="008A486E">
        <w:rPr>
          <w:rFonts w:eastAsia="Times New Roman" w:cstheme="minorHAnsi"/>
          <w:sz w:val="24"/>
          <w:szCs w:val="24"/>
        </w:rPr>
        <w:t>Oracle</w:t>
      </w:r>
      <w:proofErr w:type="spellEnd"/>
      <w:r w:rsidRPr="008A486E">
        <w:rPr>
          <w:rFonts w:eastAsia="Times New Roman" w:cstheme="minorHAnsi"/>
          <w:sz w:val="24"/>
          <w:szCs w:val="24"/>
        </w:rPr>
        <w:t xml:space="preserve">“, ir kurių atskiras pirkimas sudarytų dideles išlaidas </w:t>
      </w:r>
      <w:r w:rsidR="004435C9">
        <w:rPr>
          <w:rFonts w:eastAsia="Times New Roman" w:cstheme="minorHAnsi"/>
          <w:sz w:val="24"/>
          <w:szCs w:val="24"/>
        </w:rPr>
        <w:t>bei</w:t>
      </w:r>
      <w:r w:rsidRPr="008A486E">
        <w:rPr>
          <w:rFonts w:eastAsia="Times New Roman" w:cstheme="minorHAnsi"/>
          <w:sz w:val="24"/>
          <w:szCs w:val="24"/>
        </w:rPr>
        <w:t xml:space="preserve"> naštą valstybės biudžetui. </w:t>
      </w:r>
    </w:p>
    <w:p w14:paraId="68270A8F" w14:textId="1C56346E" w:rsidR="005E392A" w:rsidRPr="008A486E" w:rsidRDefault="00E400E4" w:rsidP="003F0CDD">
      <w:pPr>
        <w:tabs>
          <w:tab w:val="left" w:pos="851"/>
          <w:tab w:val="left" w:pos="1134"/>
        </w:tabs>
        <w:spacing w:after="0"/>
        <w:ind w:firstLine="567"/>
        <w:contextualSpacing/>
        <w:rPr>
          <w:rFonts w:eastAsia="Calibri" w:cstheme="minorHAnsi"/>
          <w:sz w:val="24"/>
          <w:szCs w:val="24"/>
        </w:rPr>
      </w:pPr>
      <w:r w:rsidRPr="008A486E">
        <w:rPr>
          <w:rFonts w:eastAsia="Calibri" w:cstheme="minorHAnsi"/>
          <w:sz w:val="24"/>
          <w:szCs w:val="24"/>
        </w:rPr>
        <w:lastRenderedPageBreak/>
        <w:t xml:space="preserve">Perkančioji organizacija </w:t>
      </w:r>
      <w:r w:rsidR="005E392A" w:rsidRPr="008A486E">
        <w:rPr>
          <w:rFonts w:eastAsia="Calibri" w:cstheme="minorHAnsi"/>
          <w:sz w:val="24"/>
          <w:szCs w:val="24"/>
        </w:rPr>
        <w:t xml:space="preserve">nurodė, kad </w:t>
      </w:r>
      <w:r w:rsidR="003E2929">
        <w:rPr>
          <w:rFonts w:eastAsia="Calibri" w:cstheme="minorHAnsi"/>
          <w:sz w:val="24"/>
          <w:szCs w:val="24"/>
        </w:rPr>
        <w:t xml:space="preserve">šiuo Pirkimu </w:t>
      </w:r>
      <w:r w:rsidR="002A44A9" w:rsidRPr="008A486E">
        <w:rPr>
          <w:rFonts w:eastAsia="Calibri" w:cstheme="minorHAnsi"/>
          <w:sz w:val="24"/>
          <w:szCs w:val="24"/>
        </w:rPr>
        <w:t xml:space="preserve">siekiama įsigyti </w:t>
      </w:r>
      <w:r w:rsidR="005E392A" w:rsidRPr="008A486E">
        <w:rPr>
          <w:rFonts w:eastAsia="Calibri" w:cstheme="minorHAnsi"/>
          <w:sz w:val="24"/>
          <w:szCs w:val="24"/>
        </w:rPr>
        <w:t>vientiso integruoto sprendimo paslauga, apim</w:t>
      </w:r>
      <w:r w:rsidR="003E2929">
        <w:rPr>
          <w:rFonts w:eastAsia="Calibri" w:cstheme="minorHAnsi"/>
          <w:sz w:val="24"/>
          <w:szCs w:val="24"/>
        </w:rPr>
        <w:t>tų</w:t>
      </w:r>
      <w:r w:rsidR="005E392A" w:rsidRPr="008A486E">
        <w:rPr>
          <w:rFonts w:eastAsia="Calibri" w:cstheme="minorHAnsi"/>
          <w:sz w:val="24"/>
          <w:szCs w:val="24"/>
        </w:rPr>
        <w:t xml:space="preserve"> visus būtinus komponentus, reikalingus Registrų centro duomenų bazių veikimui</w:t>
      </w:r>
      <w:r w:rsidR="0022792D" w:rsidRPr="008A486E">
        <w:rPr>
          <w:rFonts w:eastAsia="Calibri" w:cstheme="minorHAnsi"/>
          <w:sz w:val="24"/>
          <w:szCs w:val="24"/>
        </w:rPr>
        <w:t>, t. y.,</w:t>
      </w:r>
      <w:r w:rsidR="005E392A" w:rsidRPr="008A486E">
        <w:rPr>
          <w:rFonts w:eastAsia="Calibri" w:cstheme="minorHAnsi"/>
          <w:sz w:val="24"/>
          <w:szCs w:val="24"/>
        </w:rPr>
        <w:t xml:space="preserve"> </w:t>
      </w:r>
      <w:r w:rsidR="0022792D" w:rsidRPr="008A486E">
        <w:rPr>
          <w:rFonts w:eastAsia="Calibri" w:cstheme="minorHAnsi"/>
          <w:sz w:val="24"/>
          <w:szCs w:val="24"/>
        </w:rPr>
        <w:t>p</w:t>
      </w:r>
      <w:r w:rsidR="005E392A" w:rsidRPr="008A486E">
        <w:rPr>
          <w:rFonts w:eastAsia="Calibri" w:cstheme="minorHAnsi"/>
          <w:sz w:val="24"/>
          <w:szCs w:val="24"/>
        </w:rPr>
        <w:t>aslauga apim</w:t>
      </w:r>
      <w:r w:rsidR="003E2929">
        <w:rPr>
          <w:rFonts w:eastAsia="Calibri" w:cstheme="minorHAnsi"/>
          <w:sz w:val="24"/>
          <w:szCs w:val="24"/>
        </w:rPr>
        <w:t>tų</w:t>
      </w:r>
      <w:r w:rsidR="005E392A" w:rsidRPr="008A486E">
        <w:rPr>
          <w:rFonts w:eastAsia="Calibri" w:cstheme="minorHAnsi"/>
          <w:sz w:val="24"/>
          <w:szCs w:val="24"/>
        </w:rPr>
        <w:t xml:space="preserve"> serverius</w:t>
      </w:r>
      <w:r w:rsidR="007D6290" w:rsidRPr="008A486E">
        <w:rPr>
          <w:rFonts w:eastAsia="Calibri" w:cstheme="minorHAnsi"/>
          <w:sz w:val="24"/>
          <w:szCs w:val="24"/>
        </w:rPr>
        <w:t>,</w:t>
      </w:r>
      <w:r w:rsidR="005E392A" w:rsidRPr="008A486E">
        <w:rPr>
          <w:rFonts w:eastAsia="Calibri" w:cstheme="minorHAnsi"/>
          <w:sz w:val="24"/>
          <w:szCs w:val="24"/>
        </w:rPr>
        <w:t xml:space="preserve"> įskaitant procesorius ir RAM, operacines sistemas, </w:t>
      </w:r>
      <w:r w:rsidR="0022792D" w:rsidRPr="008A486E">
        <w:rPr>
          <w:rFonts w:eastAsia="Calibri" w:cstheme="minorHAnsi"/>
          <w:sz w:val="24"/>
          <w:szCs w:val="24"/>
        </w:rPr>
        <w:t>duomenų bazių</w:t>
      </w:r>
      <w:r w:rsidR="005E392A" w:rsidRPr="008A486E">
        <w:rPr>
          <w:rFonts w:eastAsia="Calibri" w:cstheme="minorHAnsi"/>
          <w:sz w:val="24"/>
          <w:szCs w:val="24"/>
        </w:rPr>
        <w:t xml:space="preserve"> valdymo licencijas, optimizavimo programinę įrangą, tinklo komponentus ir duomenų saugyklas. Sprendimas, </w:t>
      </w:r>
      <w:r w:rsidR="00C9264B" w:rsidRPr="008A486E">
        <w:rPr>
          <w:rFonts w:eastAsia="Calibri" w:cstheme="minorHAnsi"/>
          <w:sz w:val="24"/>
          <w:szCs w:val="24"/>
        </w:rPr>
        <w:t xml:space="preserve">kuris bus </w:t>
      </w:r>
      <w:r w:rsidR="005E392A" w:rsidRPr="008A486E">
        <w:rPr>
          <w:rFonts w:eastAsia="Calibri" w:cstheme="minorHAnsi"/>
          <w:sz w:val="24"/>
          <w:szCs w:val="24"/>
        </w:rPr>
        <w:t>teikiamas kaip paslauga, užtikrin</w:t>
      </w:r>
      <w:r w:rsidR="003E2929">
        <w:rPr>
          <w:rFonts w:eastAsia="Calibri" w:cstheme="minorHAnsi"/>
          <w:sz w:val="24"/>
          <w:szCs w:val="24"/>
        </w:rPr>
        <w:t>tų</w:t>
      </w:r>
      <w:r w:rsidR="005E392A" w:rsidRPr="008A486E">
        <w:rPr>
          <w:rFonts w:eastAsia="Calibri" w:cstheme="minorHAnsi"/>
          <w:sz w:val="24"/>
          <w:szCs w:val="24"/>
        </w:rPr>
        <w:t>, kad visi komponentai veiktų sklandžiai ir efektyviai, o jų priežiūra būtų vykdoma visą Pirkimo sutarties laikotarpį. Šis paslaugos būdu įsigyjamas sprendimas sumažin</w:t>
      </w:r>
      <w:r w:rsidR="003E2929">
        <w:rPr>
          <w:rFonts w:eastAsia="Calibri" w:cstheme="minorHAnsi"/>
          <w:sz w:val="24"/>
          <w:szCs w:val="24"/>
        </w:rPr>
        <w:t>tų</w:t>
      </w:r>
      <w:r w:rsidR="005E392A" w:rsidRPr="008A486E">
        <w:rPr>
          <w:rFonts w:eastAsia="Calibri" w:cstheme="minorHAnsi"/>
          <w:sz w:val="24"/>
          <w:szCs w:val="24"/>
        </w:rPr>
        <w:t xml:space="preserve"> sudėtingumą ir riziką, susijusią su atskirų programinės bei techninės įrangos komponentų integravimu ir valdymu.</w:t>
      </w:r>
      <w:r w:rsidR="00726004" w:rsidRPr="008A486E">
        <w:rPr>
          <w:rFonts w:eastAsia="Calibri" w:cstheme="minorHAnsi"/>
          <w:sz w:val="24"/>
          <w:szCs w:val="24"/>
        </w:rPr>
        <w:t xml:space="preserve"> </w:t>
      </w:r>
      <w:r w:rsidR="00710D6B" w:rsidRPr="008A486E">
        <w:rPr>
          <w:rFonts w:eastAsia="Calibri" w:cstheme="minorHAnsi"/>
          <w:sz w:val="24"/>
          <w:szCs w:val="24"/>
        </w:rPr>
        <w:t xml:space="preserve">Perkančiosios organizacijos teigimu, skaidant Pirkimą į dalis, būtų sudėtinga užtikrinti </w:t>
      </w:r>
      <w:r w:rsidR="00E46401" w:rsidRPr="008A486E">
        <w:rPr>
          <w:rFonts w:eastAsia="Calibri" w:cstheme="minorHAnsi"/>
          <w:sz w:val="24"/>
          <w:szCs w:val="24"/>
        </w:rPr>
        <w:t xml:space="preserve">Registrų centre naudojamų </w:t>
      </w:r>
      <w:r w:rsidR="00F6511D" w:rsidRPr="008A486E">
        <w:rPr>
          <w:rFonts w:eastAsia="Calibri" w:cstheme="minorHAnsi"/>
          <w:sz w:val="24"/>
          <w:szCs w:val="24"/>
        </w:rPr>
        <w:t xml:space="preserve">aukščiau nurodytų </w:t>
      </w:r>
      <w:r w:rsidR="00710D6B" w:rsidRPr="008A486E">
        <w:rPr>
          <w:rFonts w:eastAsia="Calibri" w:cstheme="minorHAnsi"/>
          <w:sz w:val="24"/>
          <w:szCs w:val="24"/>
        </w:rPr>
        <w:t xml:space="preserve">funkcionalumų sklandų veikimą, integraciją, licencijavimą bei </w:t>
      </w:r>
      <w:r w:rsidR="00E46401" w:rsidRPr="008A486E">
        <w:rPr>
          <w:rFonts w:eastAsia="Calibri" w:cstheme="minorHAnsi"/>
          <w:sz w:val="24"/>
          <w:szCs w:val="24"/>
        </w:rPr>
        <w:t xml:space="preserve">duomenų bazių </w:t>
      </w:r>
      <w:r w:rsidR="00710D6B" w:rsidRPr="008A486E">
        <w:rPr>
          <w:rFonts w:eastAsia="Calibri" w:cstheme="minorHAnsi"/>
          <w:sz w:val="24"/>
          <w:szCs w:val="24"/>
        </w:rPr>
        <w:t>migravimą iš šiuo metu naudojamo sprendi</w:t>
      </w:r>
      <w:r w:rsidR="003E2929">
        <w:rPr>
          <w:rFonts w:eastAsia="Calibri" w:cstheme="minorHAnsi"/>
          <w:sz w:val="24"/>
          <w:szCs w:val="24"/>
        </w:rPr>
        <w:t>nio</w:t>
      </w:r>
      <w:r w:rsidR="00710D6B" w:rsidRPr="008A486E">
        <w:rPr>
          <w:rFonts w:eastAsia="Calibri" w:cstheme="minorHAnsi"/>
          <w:sz w:val="24"/>
          <w:szCs w:val="24"/>
        </w:rPr>
        <w:t xml:space="preserve">. </w:t>
      </w:r>
      <w:r w:rsidR="00FC0148" w:rsidRPr="008A486E">
        <w:rPr>
          <w:rFonts w:eastAsia="Calibri" w:cstheme="minorHAnsi"/>
          <w:sz w:val="24"/>
          <w:szCs w:val="24"/>
        </w:rPr>
        <w:t>Kaip jau buvo minėta, š</w:t>
      </w:r>
      <w:r w:rsidR="00EC45A4" w:rsidRPr="008A486E">
        <w:rPr>
          <w:rFonts w:eastAsia="Calibri" w:cstheme="minorHAnsi"/>
          <w:sz w:val="24"/>
          <w:szCs w:val="24"/>
        </w:rPr>
        <w:t>ie</w:t>
      </w:r>
      <w:r w:rsidR="0021583E" w:rsidRPr="008A486E">
        <w:rPr>
          <w:rFonts w:eastAsia="Calibri" w:cstheme="minorHAnsi"/>
          <w:sz w:val="24"/>
          <w:szCs w:val="24"/>
        </w:rPr>
        <w:t xml:space="preserve"> </w:t>
      </w:r>
      <w:r w:rsidR="00710D6B" w:rsidRPr="008A486E">
        <w:rPr>
          <w:rFonts w:eastAsia="Calibri" w:cstheme="minorHAnsi"/>
          <w:sz w:val="24"/>
          <w:szCs w:val="24"/>
        </w:rPr>
        <w:t xml:space="preserve">funkcionalumai reikalauja papildomų licencijų, </w:t>
      </w:r>
      <w:r w:rsidR="0021583E" w:rsidRPr="008A486E">
        <w:rPr>
          <w:rFonts w:eastAsia="Calibri" w:cstheme="minorHAnsi"/>
          <w:sz w:val="24"/>
          <w:szCs w:val="24"/>
        </w:rPr>
        <w:t xml:space="preserve">o </w:t>
      </w:r>
      <w:r w:rsidR="00710D6B" w:rsidRPr="008A486E">
        <w:rPr>
          <w:rFonts w:eastAsia="Calibri" w:cstheme="minorHAnsi"/>
          <w:sz w:val="24"/>
          <w:szCs w:val="24"/>
        </w:rPr>
        <w:t xml:space="preserve">perkant </w:t>
      </w:r>
      <w:r w:rsidR="0021583E" w:rsidRPr="008A486E">
        <w:rPr>
          <w:rFonts w:eastAsia="Calibri" w:cstheme="minorHAnsi"/>
          <w:sz w:val="24"/>
          <w:szCs w:val="24"/>
        </w:rPr>
        <w:t>minėto</w:t>
      </w:r>
      <w:r w:rsidR="00710D6B" w:rsidRPr="008A486E">
        <w:rPr>
          <w:rFonts w:eastAsia="Calibri" w:cstheme="minorHAnsi"/>
          <w:sz w:val="24"/>
          <w:szCs w:val="24"/>
        </w:rPr>
        <w:t xml:space="preserve"> sprendimo paslaugas, </w:t>
      </w:r>
      <w:r w:rsidR="003E2929">
        <w:rPr>
          <w:rFonts w:eastAsia="Calibri" w:cstheme="minorHAnsi"/>
          <w:sz w:val="24"/>
          <w:szCs w:val="24"/>
        </w:rPr>
        <w:t xml:space="preserve">būtų </w:t>
      </w:r>
      <w:r w:rsidR="00710D6B" w:rsidRPr="008A486E">
        <w:rPr>
          <w:rFonts w:eastAsia="Calibri" w:cstheme="minorHAnsi"/>
          <w:sz w:val="24"/>
          <w:szCs w:val="24"/>
        </w:rPr>
        <w:t>užtikrinamas papildomas šių funkcionalumų licencijavimas, kurio nepadeng</w:t>
      </w:r>
      <w:r w:rsidR="00496B1C" w:rsidRPr="008A486E">
        <w:rPr>
          <w:rFonts w:eastAsia="Calibri" w:cstheme="minorHAnsi"/>
          <w:sz w:val="24"/>
          <w:szCs w:val="24"/>
        </w:rPr>
        <w:t>tų</w:t>
      </w:r>
      <w:r w:rsidR="00710D6B" w:rsidRPr="008A486E">
        <w:rPr>
          <w:rFonts w:eastAsia="Calibri" w:cstheme="minorHAnsi"/>
          <w:sz w:val="24"/>
          <w:szCs w:val="24"/>
        </w:rPr>
        <w:t xml:space="preserve"> turimos „</w:t>
      </w:r>
      <w:proofErr w:type="spellStart"/>
      <w:r w:rsidR="00710D6B" w:rsidRPr="008A486E">
        <w:rPr>
          <w:rFonts w:eastAsia="Calibri" w:cstheme="minorHAnsi"/>
          <w:sz w:val="24"/>
          <w:szCs w:val="24"/>
        </w:rPr>
        <w:t>Oracle</w:t>
      </w:r>
      <w:proofErr w:type="spellEnd"/>
      <w:r w:rsidR="00710D6B" w:rsidRPr="008A486E">
        <w:rPr>
          <w:rFonts w:eastAsia="Calibri" w:cstheme="minorHAnsi"/>
          <w:sz w:val="24"/>
          <w:szCs w:val="24"/>
        </w:rPr>
        <w:t xml:space="preserve"> </w:t>
      </w:r>
      <w:proofErr w:type="spellStart"/>
      <w:r w:rsidR="00710D6B" w:rsidRPr="008A486E">
        <w:rPr>
          <w:rFonts w:eastAsia="Calibri" w:cstheme="minorHAnsi"/>
          <w:sz w:val="24"/>
          <w:szCs w:val="24"/>
        </w:rPr>
        <w:t>Enterprise</w:t>
      </w:r>
      <w:proofErr w:type="spellEnd"/>
      <w:r w:rsidR="00710D6B" w:rsidRPr="008A486E">
        <w:rPr>
          <w:rFonts w:eastAsia="Calibri" w:cstheme="minorHAnsi"/>
          <w:sz w:val="24"/>
          <w:szCs w:val="24"/>
        </w:rPr>
        <w:t>“ lygio licencijos.</w:t>
      </w:r>
      <w:r w:rsidR="00496B1C" w:rsidRPr="008A486E">
        <w:rPr>
          <w:rFonts w:eastAsia="Calibri" w:cstheme="minorHAnsi"/>
          <w:sz w:val="24"/>
          <w:szCs w:val="24"/>
        </w:rPr>
        <w:t xml:space="preserve"> </w:t>
      </w:r>
      <w:r w:rsidR="00726004" w:rsidRPr="008A486E">
        <w:rPr>
          <w:rFonts w:eastAsia="Calibri" w:cstheme="minorHAnsi"/>
          <w:sz w:val="24"/>
          <w:szCs w:val="24"/>
        </w:rPr>
        <w:t xml:space="preserve">Taip pat, </w:t>
      </w:r>
      <w:r w:rsidR="003E2929">
        <w:rPr>
          <w:rFonts w:eastAsia="Calibri" w:cstheme="minorHAnsi"/>
          <w:sz w:val="24"/>
          <w:szCs w:val="24"/>
        </w:rPr>
        <w:t xml:space="preserve">įsigijus </w:t>
      </w:r>
      <w:r w:rsidR="001C05E3" w:rsidRPr="008A486E">
        <w:rPr>
          <w:rFonts w:eastAsia="Calibri" w:cstheme="minorHAnsi"/>
          <w:sz w:val="24"/>
          <w:szCs w:val="24"/>
        </w:rPr>
        <w:t xml:space="preserve">tokias paslaugas </w:t>
      </w:r>
      <w:r w:rsidR="003E2929">
        <w:rPr>
          <w:rFonts w:eastAsia="Calibri" w:cstheme="minorHAnsi"/>
          <w:sz w:val="24"/>
          <w:szCs w:val="24"/>
        </w:rPr>
        <w:t xml:space="preserve">būtų galimybė </w:t>
      </w:r>
      <w:r w:rsidR="001C05E3" w:rsidRPr="008A486E">
        <w:rPr>
          <w:rFonts w:eastAsia="Calibri" w:cstheme="minorHAnsi"/>
          <w:sz w:val="24"/>
          <w:szCs w:val="24"/>
        </w:rPr>
        <w:t xml:space="preserve">greitai reaguoti į </w:t>
      </w:r>
      <w:r w:rsidR="003E2929">
        <w:rPr>
          <w:rFonts w:eastAsia="Calibri" w:cstheme="minorHAnsi"/>
          <w:sz w:val="24"/>
          <w:szCs w:val="24"/>
        </w:rPr>
        <w:t xml:space="preserve">Perkančiosios organizacijos </w:t>
      </w:r>
      <w:r w:rsidR="001C05E3" w:rsidRPr="008A486E">
        <w:rPr>
          <w:rFonts w:eastAsia="Calibri" w:cstheme="minorHAnsi"/>
          <w:sz w:val="24"/>
          <w:szCs w:val="24"/>
        </w:rPr>
        <w:t>poreikių pokyčius ir užtikrinti efektyvų išteklių panaudojimą. Įsigyjant paslaugą supaprast</w:t>
      </w:r>
      <w:r w:rsidR="00EC7CFF">
        <w:rPr>
          <w:rFonts w:eastAsia="Calibri" w:cstheme="minorHAnsi"/>
          <w:sz w:val="24"/>
          <w:szCs w:val="24"/>
        </w:rPr>
        <w:t>ėt</w:t>
      </w:r>
      <w:r w:rsidR="003E2929">
        <w:rPr>
          <w:rFonts w:eastAsia="Calibri" w:cstheme="minorHAnsi"/>
          <w:sz w:val="24"/>
          <w:szCs w:val="24"/>
        </w:rPr>
        <w:t>ų</w:t>
      </w:r>
      <w:r w:rsidR="001C05E3" w:rsidRPr="008A486E">
        <w:rPr>
          <w:rFonts w:eastAsia="Calibri" w:cstheme="minorHAnsi"/>
          <w:sz w:val="24"/>
          <w:szCs w:val="24"/>
        </w:rPr>
        <w:t xml:space="preserve"> „</w:t>
      </w:r>
      <w:proofErr w:type="spellStart"/>
      <w:r w:rsidR="001C05E3" w:rsidRPr="008A486E">
        <w:rPr>
          <w:rFonts w:eastAsia="Calibri" w:cstheme="minorHAnsi"/>
          <w:sz w:val="24"/>
          <w:szCs w:val="24"/>
        </w:rPr>
        <w:t>Oracle</w:t>
      </w:r>
      <w:proofErr w:type="spellEnd"/>
      <w:r w:rsidR="001C05E3" w:rsidRPr="008A486E">
        <w:rPr>
          <w:rFonts w:eastAsia="Calibri" w:cstheme="minorHAnsi"/>
          <w:sz w:val="24"/>
          <w:szCs w:val="24"/>
        </w:rPr>
        <w:t>“ licencijų apskaita ir jų reikiamo kiekio suvaldymas, nebe</w:t>
      </w:r>
      <w:r w:rsidR="003E2929">
        <w:rPr>
          <w:rFonts w:eastAsia="Calibri" w:cstheme="minorHAnsi"/>
          <w:sz w:val="24"/>
          <w:szCs w:val="24"/>
        </w:rPr>
        <w:t xml:space="preserve">liktų poreikio </w:t>
      </w:r>
      <w:r w:rsidR="001C05E3" w:rsidRPr="008A486E">
        <w:rPr>
          <w:rFonts w:eastAsia="Calibri" w:cstheme="minorHAnsi"/>
          <w:sz w:val="24"/>
          <w:szCs w:val="24"/>
        </w:rPr>
        <w:t>pirkti atskir</w:t>
      </w:r>
      <w:r w:rsidR="003E2929">
        <w:rPr>
          <w:rFonts w:eastAsia="Calibri" w:cstheme="minorHAnsi"/>
          <w:sz w:val="24"/>
          <w:szCs w:val="24"/>
        </w:rPr>
        <w:t>as</w:t>
      </w:r>
      <w:r w:rsidR="001C05E3" w:rsidRPr="008A486E">
        <w:rPr>
          <w:rFonts w:eastAsia="Calibri" w:cstheme="minorHAnsi"/>
          <w:sz w:val="24"/>
          <w:szCs w:val="24"/>
        </w:rPr>
        <w:t xml:space="preserve"> licencij</w:t>
      </w:r>
      <w:r w:rsidR="003E2929">
        <w:rPr>
          <w:rFonts w:eastAsia="Calibri" w:cstheme="minorHAnsi"/>
          <w:sz w:val="24"/>
          <w:szCs w:val="24"/>
        </w:rPr>
        <w:t>as</w:t>
      </w:r>
      <w:r w:rsidR="001C05E3" w:rsidRPr="008A486E">
        <w:rPr>
          <w:rFonts w:eastAsia="Calibri" w:cstheme="minorHAnsi"/>
          <w:sz w:val="24"/>
          <w:szCs w:val="24"/>
        </w:rPr>
        <w:t xml:space="preserve"> papildomiems funkcionalumams užtikrinti</w:t>
      </w:r>
      <w:r w:rsidR="00496B1C" w:rsidRPr="008A486E">
        <w:rPr>
          <w:rFonts w:eastAsia="Calibri" w:cstheme="minorHAnsi"/>
          <w:sz w:val="24"/>
          <w:szCs w:val="24"/>
        </w:rPr>
        <w:t xml:space="preserve"> ir kt.</w:t>
      </w:r>
    </w:p>
    <w:p w14:paraId="5D526C31" w14:textId="4D6BD399" w:rsidR="006E0BDE" w:rsidRPr="008A486E" w:rsidRDefault="00D77E27" w:rsidP="003F0CDD">
      <w:pPr>
        <w:tabs>
          <w:tab w:val="left" w:pos="851"/>
          <w:tab w:val="left" w:pos="1134"/>
        </w:tabs>
        <w:spacing w:after="0"/>
        <w:ind w:firstLine="567"/>
        <w:contextualSpacing/>
        <w:rPr>
          <w:rFonts w:eastAsia="Calibri" w:cstheme="minorHAnsi"/>
          <w:sz w:val="24"/>
          <w:szCs w:val="24"/>
        </w:rPr>
      </w:pPr>
      <w:r w:rsidRPr="008A486E">
        <w:rPr>
          <w:rFonts w:eastAsia="Calibri" w:cstheme="minorHAnsi"/>
          <w:sz w:val="24"/>
          <w:szCs w:val="24"/>
        </w:rPr>
        <w:t xml:space="preserve">Be to, </w:t>
      </w:r>
      <w:r w:rsidR="00B67F53" w:rsidRPr="008A486E">
        <w:rPr>
          <w:rFonts w:eastAsia="Calibri" w:cstheme="minorHAnsi"/>
          <w:sz w:val="24"/>
          <w:szCs w:val="24"/>
        </w:rPr>
        <w:t>Perkančio</w:t>
      </w:r>
      <w:r w:rsidR="00902272">
        <w:rPr>
          <w:rFonts w:eastAsia="Calibri" w:cstheme="minorHAnsi"/>
          <w:sz w:val="24"/>
          <w:szCs w:val="24"/>
        </w:rPr>
        <w:t>ji</w:t>
      </w:r>
      <w:r w:rsidR="00F04F4D" w:rsidRPr="008A486E">
        <w:rPr>
          <w:rFonts w:eastAsia="Calibri" w:cstheme="minorHAnsi"/>
          <w:sz w:val="24"/>
          <w:szCs w:val="24"/>
        </w:rPr>
        <w:t xml:space="preserve"> </w:t>
      </w:r>
      <w:r w:rsidR="00B67F53" w:rsidRPr="008A486E">
        <w:rPr>
          <w:rFonts w:eastAsia="Calibri" w:cstheme="minorHAnsi"/>
          <w:sz w:val="24"/>
          <w:szCs w:val="24"/>
        </w:rPr>
        <w:t>organizacij</w:t>
      </w:r>
      <w:r w:rsidR="00902272">
        <w:rPr>
          <w:rFonts w:eastAsia="Calibri" w:cstheme="minorHAnsi"/>
          <w:sz w:val="24"/>
          <w:szCs w:val="24"/>
        </w:rPr>
        <w:t>a pažymi</w:t>
      </w:r>
      <w:r w:rsidR="0081319C">
        <w:rPr>
          <w:rFonts w:eastAsia="Calibri" w:cstheme="minorHAnsi"/>
          <w:sz w:val="24"/>
          <w:szCs w:val="24"/>
        </w:rPr>
        <w:t>, kad</w:t>
      </w:r>
      <w:r w:rsidR="00B67F53" w:rsidRPr="008A486E">
        <w:rPr>
          <w:rFonts w:eastAsia="Calibri" w:cstheme="minorHAnsi"/>
          <w:sz w:val="24"/>
          <w:szCs w:val="24"/>
        </w:rPr>
        <w:t xml:space="preserve"> „</w:t>
      </w:r>
      <w:proofErr w:type="spellStart"/>
      <w:r w:rsidR="00B67F53" w:rsidRPr="008A486E">
        <w:rPr>
          <w:rFonts w:eastAsia="Calibri" w:cstheme="minorHAnsi"/>
          <w:sz w:val="24"/>
          <w:szCs w:val="24"/>
        </w:rPr>
        <w:t>Oracle</w:t>
      </w:r>
      <w:proofErr w:type="spellEnd"/>
      <w:r w:rsidR="00B67F53" w:rsidRPr="008A486E">
        <w:rPr>
          <w:rFonts w:eastAsia="Calibri" w:cstheme="minorHAnsi"/>
          <w:sz w:val="24"/>
          <w:szCs w:val="24"/>
        </w:rPr>
        <w:t>“ gamintojo paslaug</w:t>
      </w:r>
      <w:r w:rsidR="002118A2" w:rsidRPr="008A486E">
        <w:rPr>
          <w:rFonts w:eastAsia="Calibri" w:cstheme="minorHAnsi"/>
          <w:sz w:val="24"/>
          <w:szCs w:val="24"/>
        </w:rPr>
        <w:t>o</w:t>
      </w:r>
      <w:r w:rsidR="00B67F53" w:rsidRPr="008A486E">
        <w:rPr>
          <w:rFonts w:eastAsia="Calibri" w:cstheme="minorHAnsi"/>
          <w:sz w:val="24"/>
          <w:szCs w:val="24"/>
        </w:rPr>
        <w:t>s</w:t>
      </w:r>
      <w:r w:rsidR="00846809">
        <w:rPr>
          <w:rFonts w:eastAsia="Calibri" w:cstheme="minorHAnsi"/>
          <w:sz w:val="24"/>
          <w:szCs w:val="24"/>
        </w:rPr>
        <w:t>, kurias siekiama įsigyti Pirkimu,</w:t>
      </w:r>
      <w:r w:rsidR="00B67F53" w:rsidRPr="008A486E">
        <w:rPr>
          <w:rFonts w:eastAsia="Calibri" w:cstheme="minorHAnsi"/>
          <w:sz w:val="24"/>
          <w:szCs w:val="24"/>
        </w:rPr>
        <w:t xml:space="preserve"> tur</w:t>
      </w:r>
      <w:r w:rsidR="00846809">
        <w:rPr>
          <w:rFonts w:eastAsia="Calibri" w:cstheme="minorHAnsi"/>
          <w:sz w:val="24"/>
          <w:szCs w:val="24"/>
        </w:rPr>
        <w:t>i</w:t>
      </w:r>
      <w:r w:rsidR="00CE3AE8" w:rsidRPr="008A486E">
        <w:rPr>
          <w:rFonts w:eastAsia="Calibri" w:cstheme="minorHAnsi"/>
          <w:sz w:val="24"/>
          <w:szCs w:val="24"/>
        </w:rPr>
        <w:t xml:space="preserve"> </w:t>
      </w:r>
      <w:r w:rsidR="00B67F53" w:rsidRPr="008A486E">
        <w:rPr>
          <w:rFonts w:eastAsia="Calibri" w:cstheme="minorHAnsi"/>
          <w:sz w:val="24"/>
          <w:szCs w:val="24"/>
        </w:rPr>
        <w:t>privalum</w:t>
      </w:r>
      <w:r w:rsidR="009270CE" w:rsidRPr="008A486E">
        <w:rPr>
          <w:rFonts w:eastAsia="Calibri" w:cstheme="minorHAnsi"/>
          <w:sz w:val="24"/>
          <w:szCs w:val="24"/>
        </w:rPr>
        <w:t>ų</w:t>
      </w:r>
      <w:r w:rsidR="00B67F53" w:rsidRPr="008A486E">
        <w:rPr>
          <w:rFonts w:eastAsia="Calibri" w:cstheme="minorHAnsi"/>
          <w:sz w:val="24"/>
          <w:szCs w:val="24"/>
        </w:rPr>
        <w:t xml:space="preserve"> lyginant su iki šiol naudojamais sprendimais</w:t>
      </w:r>
      <w:r w:rsidR="009270CE" w:rsidRPr="008A486E">
        <w:rPr>
          <w:rFonts w:eastAsia="Calibri" w:cstheme="minorHAnsi"/>
          <w:sz w:val="24"/>
          <w:szCs w:val="24"/>
        </w:rPr>
        <w:t xml:space="preserve">, </w:t>
      </w:r>
      <w:r w:rsidRPr="008A486E">
        <w:rPr>
          <w:rFonts w:eastAsia="Calibri" w:cstheme="minorHAnsi"/>
          <w:sz w:val="24"/>
          <w:szCs w:val="24"/>
        </w:rPr>
        <w:t>nes</w:t>
      </w:r>
      <w:r w:rsidR="006E7680" w:rsidRPr="008A486E">
        <w:rPr>
          <w:rFonts w:eastAsia="Calibri" w:cstheme="minorHAnsi"/>
          <w:sz w:val="24"/>
          <w:szCs w:val="24"/>
        </w:rPr>
        <w:t xml:space="preserve"> </w:t>
      </w:r>
      <w:r w:rsidR="003E2929">
        <w:rPr>
          <w:rFonts w:eastAsia="Calibri" w:cstheme="minorHAnsi"/>
          <w:sz w:val="24"/>
          <w:szCs w:val="24"/>
        </w:rPr>
        <w:t>šiuo atveju</w:t>
      </w:r>
      <w:r w:rsidR="001C1C9B">
        <w:rPr>
          <w:rFonts w:eastAsia="Calibri" w:cstheme="minorHAnsi"/>
          <w:sz w:val="24"/>
          <w:szCs w:val="24"/>
        </w:rPr>
        <w:t>,</w:t>
      </w:r>
      <w:r w:rsidR="003E2929">
        <w:rPr>
          <w:rFonts w:eastAsia="Calibri" w:cstheme="minorHAnsi"/>
          <w:sz w:val="24"/>
          <w:szCs w:val="24"/>
        </w:rPr>
        <w:t xml:space="preserve"> būtų </w:t>
      </w:r>
      <w:r w:rsidR="009270CE" w:rsidRPr="008A486E">
        <w:rPr>
          <w:rFonts w:eastAsia="Calibri" w:cstheme="minorHAnsi"/>
          <w:sz w:val="24"/>
          <w:szCs w:val="24"/>
        </w:rPr>
        <w:t>mokama kiekvieną mėnesį tik už naudojamus resursus ir nereik</w:t>
      </w:r>
      <w:r w:rsidR="006E7680" w:rsidRPr="008A486E">
        <w:rPr>
          <w:rFonts w:eastAsia="Calibri" w:cstheme="minorHAnsi"/>
          <w:sz w:val="24"/>
          <w:szCs w:val="24"/>
        </w:rPr>
        <w:t>ė</w:t>
      </w:r>
      <w:r w:rsidR="003E2929">
        <w:rPr>
          <w:rFonts w:eastAsia="Calibri" w:cstheme="minorHAnsi"/>
          <w:sz w:val="24"/>
          <w:szCs w:val="24"/>
        </w:rPr>
        <w:t>tų</w:t>
      </w:r>
      <w:r w:rsidR="009270CE" w:rsidRPr="008A486E">
        <w:rPr>
          <w:rFonts w:eastAsia="Calibri" w:cstheme="minorHAnsi"/>
          <w:sz w:val="24"/>
          <w:szCs w:val="24"/>
        </w:rPr>
        <w:t xml:space="preserve"> didel</w:t>
      </w:r>
      <w:r w:rsidR="006E7680" w:rsidRPr="008A486E">
        <w:rPr>
          <w:rFonts w:eastAsia="Calibri" w:cstheme="minorHAnsi"/>
          <w:sz w:val="24"/>
          <w:szCs w:val="24"/>
        </w:rPr>
        <w:t>ių</w:t>
      </w:r>
      <w:r w:rsidR="009270CE" w:rsidRPr="008A486E">
        <w:rPr>
          <w:rFonts w:eastAsia="Calibri" w:cstheme="minorHAnsi"/>
          <w:sz w:val="24"/>
          <w:szCs w:val="24"/>
        </w:rPr>
        <w:t xml:space="preserve"> pradin</w:t>
      </w:r>
      <w:r w:rsidR="006E7680" w:rsidRPr="008A486E">
        <w:rPr>
          <w:rFonts w:eastAsia="Calibri" w:cstheme="minorHAnsi"/>
          <w:sz w:val="24"/>
          <w:szCs w:val="24"/>
        </w:rPr>
        <w:t xml:space="preserve">ių </w:t>
      </w:r>
      <w:r w:rsidR="009270CE" w:rsidRPr="008A486E">
        <w:rPr>
          <w:rFonts w:eastAsia="Calibri" w:cstheme="minorHAnsi"/>
          <w:sz w:val="24"/>
          <w:szCs w:val="24"/>
        </w:rPr>
        <w:t>investicij</w:t>
      </w:r>
      <w:r w:rsidR="006E7680" w:rsidRPr="008A486E">
        <w:rPr>
          <w:rFonts w:eastAsia="Calibri" w:cstheme="minorHAnsi"/>
          <w:sz w:val="24"/>
          <w:szCs w:val="24"/>
        </w:rPr>
        <w:t>ų</w:t>
      </w:r>
      <w:r w:rsidR="009270CE" w:rsidRPr="008A486E">
        <w:rPr>
          <w:rFonts w:eastAsia="Calibri" w:cstheme="minorHAnsi"/>
          <w:sz w:val="24"/>
          <w:szCs w:val="24"/>
        </w:rPr>
        <w:t xml:space="preserve">, resursų kaina </w:t>
      </w:r>
      <w:r w:rsidR="00A44643" w:rsidRPr="008A486E">
        <w:rPr>
          <w:rFonts w:eastAsia="Calibri" w:cstheme="minorHAnsi"/>
          <w:sz w:val="24"/>
          <w:szCs w:val="24"/>
        </w:rPr>
        <w:t>b</w:t>
      </w:r>
      <w:r w:rsidR="003E2929">
        <w:rPr>
          <w:rFonts w:eastAsia="Calibri" w:cstheme="minorHAnsi"/>
          <w:sz w:val="24"/>
          <w:szCs w:val="24"/>
        </w:rPr>
        <w:t xml:space="preserve">ūtų </w:t>
      </w:r>
      <w:r w:rsidR="009270CE" w:rsidRPr="008A486E">
        <w:rPr>
          <w:rFonts w:eastAsia="Calibri" w:cstheme="minorHAnsi"/>
          <w:sz w:val="24"/>
          <w:szCs w:val="24"/>
        </w:rPr>
        <w:t>fiksuota visam sutarties laikotarpiui (</w:t>
      </w:r>
      <w:r w:rsidR="003E2929">
        <w:rPr>
          <w:rFonts w:eastAsia="Calibri" w:cstheme="minorHAnsi"/>
          <w:sz w:val="24"/>
          <w:szCs w:val="24"/>
        </w:rPr>
        <w:t>Perkančiosios organizacijos teigimu</w:t>
      </w:r>
      <w:r w:rsidR="00AE2405">
        <w:rPr>
          <w:rFonts w:eastAsia="Calibri" w:cstheme="minorHAnsi"/>
          <w:sz w:val="24"/>
          <w:szCs w:val="24"/>
        </w:rPr>
        <w:t>,</w:t>
      </w:r>
      <w:r w:rsidR="003E2929">
        <w:rPr>
          <w:rFonts w:eastAsia="Calibri" w:cstheme="minorHAnsi"/>
          <w:sz w:val="24"/>
          <w:szCs w:val="24"/>
        </w:rPr>
        <w:t xml:space="preserve"> </w:t>
      </w:r>
      <w:r w:rsidR="009270CE" w:rsidRPr="008A486E">
        <w:rPr>
          <w:rFonts w:eastAsia="Calibri" w:cstheme="minorHAnsi"/>
          <w:sz w:val="24"/>
          <w:szCs w:val="24"/>
        </w:rPr>
        <w:t>pasteb</w:t>
      </w:r>
      <w:r w:rsidR="003E2929">
        <w:rPr>
          <w:rFonts w:eastAsia="Calibri" w:cstheme="minorHAnsi"/>
          <w:sz w:val="24"/>
          <w:szCs w:val="24"/>
        </w:rPr>
        <w:t>imas</w:t>
      </w:r>
      <w:r w:rsidR="009270CE" w:rsidRPr="008A486E">
        <w:rPr>
          <w:rFonts w:eastAsia="Calibri" w:cstheme="minorHAnsi"/>
          <w:sz w:val="24"/>
          <w:szCs w:val="24"/>
        </w:rPr>
        <w:t xml:space="preserve"> apie 8 proc. „</w:t>
      </w:r>
      <w:proofErr w:type="spellStart"/>
      <w:r w:rsidR="009270CE" w:rsidRPr="008A486E">
        <w:rPr>
          <w:rFonts w:eastAsia="Calibri" w:cstheme="minorHAnsi"/>
          <w:sz w:val="24"/>
          <w:szCs w:val="24"/>
        </w:rPr>
        <w:t>Oracle</w:t>
      </w:r>
      <w:proofErr w:type="spellEnd"/>
      <w:r w:rsidR="009270CE" w:rsidRPr="008A486E">
        <w:rPr>
          <w:rFonts w:eastAsia="Calibri" w:cstheme="minorHAnsi"/>
          <w:sz w:val="24"/>
          <w:szCs w:val="24"/>
        </w:rPr>
        <w:t>“ licencijų palaikymo brangimas kiekvienais metais), įsigijus sprendimą</w:t>
      </w:r>
      <w:r w:rsidR="00E1377B" w:rsidRPr="008A486E">
        <w:rPr>
          <w:rFonts w:eastAsia="Calibri" w:cstheme="minorHAnsi"/>
          <w:sz w:val="24"/>
          <w:szCs w:val="24"/>
        </w:rPr>
        <w:t>,</w:t>
      </w:r>
      <w:r w:rsidR="009270CE" w:rsidRPr="008A486E">
        <w:rPr>
          <w:rFonts w:eastAsia="Calibri" w:cstheme="minorHAnsi"/>
          <w:sz w:val="24"/>
          <w:szCs w:val="24"/>
        </w:rPr>
        <w:t xml:space="preserve"> dauguma atsakomybių dėl techninės ir programinės </w:t>
      </w:r>
      <w:r w:rsidR="006F4EC5">
        <w:rPr>
          <w:rFonts w:eastAsia="Calibri" w:cstheme="minorHAnsi"/>
          <w:sz w:val="24"/>
          <w:szCs w:val="24"/>
        </w:rPr>
        <w:t xml:space="preserve">įrangos </w:t>
      </w:r>
      <w:r w:rsidR="009270CE" w:rsidRPr="008A486E">
        <w:rPr>
          <w:rFonts w:eastAsia="Calibri" w:cstheme="minorHAnsi"/>
          <w:sz w:val="24"/>
          <w:szCs w:val="24"/>
        </w:rPr>
        <w:t xml:space="preserve">priežiūros </w:t>
      </w:r>
      <w:r w:rsidR="00A44643" w:rsidRPr="008A486E">
        <w:rPr>
          <w:rFonts w:eastAsia="Calibri" w:cstheme="minorHAnsi"/>
          <w:sz w:val="24"/>
          <w:szCs w:val="24"/>
        </w:rPr>
        <w:t>b</w:t>
      </w:r>
      <w:r w:rsidR="006F4EC5">
        <w:rPr>
          <w:rFonts w:eastAsia="Calibri" w:cstheme="minorHAnsi"/>
          <w:sz w:val="24"/>
          <w:szCs w:val="24"/>
        </w:rPr>
        <w:t xml:space="preserve">ūtų </w:t>
      </w:r>
      <w:r w:rsidR="009270CE" w:rsidRPr="008A486E">
        <w:rPr>
          <w:rFonts w:eastAsia="Calibri" w:cstheme="minorHAnsi"/>
          <w:sz w:val="24"/>
          <w:szCs w:val="24"/>
        </w:rPr>
        <w:t>perduo</w:t>
      </w:r>
      <w:r w:rsidR="00EF002F" w:rsidRPr="008A486E">
        <w:rPr>
          <w:rFonts w:eastAsia="Calibri" w:cstheme="minorHAnsi"/>
          <w:sz w:val="24"/>
          <w:szCs w:val="24"/>
        </w:rPr>
        <w:t>ta</w:t>
      </w:r>
      <w:r w:rsidR="009270CE" w:rsidRPr="008A486E">
        <w:rPr>
          <w:rFonts w:eastAsia="Calibri" w:cstheme="minorHAnsi"/>
          <w:sz w:val="24"/>
          <w:szCs w:val="24"/>
        </w:rPr>
        <w:t xml:space="preserve"> tiekėjui, su sprendimu b</w:t>
      </w:r>
      <w:r w:rsidR="006F4EC5">
        <w:rPr>
          <w:rFonts w:eastAsia="Calibri" w:cstheme="minorHAnsi"/>
          <w:sz w:val="24"/>
          <w:szCs w:val="24"/>
        </w:rPr>
        <w:t xml:space="preserve">ūtų pateikiamos </w:t>
      </w:r>
      <w:r w:rsidR="009270CE" w:rsidRPr="008A486E">
        <w:rPr>
          <w:rFonts w:eastAsia="Calibri" w:cstheme="minorHAnsi"/>
          <w:sz w:val="24"/>
          <w:szCs w:val="24"/>
        </w:rPr>
        <w:t>visos reikalingos „</w:t>
      </w:r>
      <w:proofErr w:type="spellStart"/>
      <w:r w:rsidR="009270CE" w:rsidRPr="008A486E">
        <w:rPr>
          <w:rFonts w:eastAsia="Calibri" w:cstheme="minorHAnsi"/>
          <w:sz w:val="24"/>
          <w:szCs w:val="24"/>
        </w:rPr>
        <w:t>Oracle</w:t>
      </w:r>
      <w:proofErr w:type="spellEnd"/>
      <w:r w:rsidR="009270CE" w:rsidRPr="008A486E">
        <w:rPr>
          <w:rFonts w:eastAsia="Calibri" w:cstheme="minorHAnsi"/>
          <w:sz w:val="24"/>
          <w:szCs w:val="24"/>
        </w:rPr>
        <w:t xml:space="preserve">” licencijos </w:t>
      </w:r>
      <w:r w:rsidR="00997DED" w:rsidRPr="008A486E">
        <w:rPr>
          <w:rFonts w:eastAsia="Calibri" w:cstheme="minorHAnsi"/>
          <w:sz w:val="24"/>
          <w:szCs w:val="24"/>
        </w:rPr>
        <w:t>ir</w:t>
      </w:r>
      <w:r w:rsidR="009270CE" w:rsidRPr="008A486E">
        <w:rPr>
          <w:rFonts w:eastAsia="Calibri" w:cstheme="minorHAnsi"/>
          <w:sz w:val="24"/>
          <w:szCs w:val="24"/>
        </w:rPr>
        <w:t xml:space="preserve"> optimizuota techninė įranga (specializuotos tarnybinės stotys, atminties ir duomenų saugojimo įrenginiai, kurie yra optimizuoti būtent „</w:t>
      </w:r>
      <w:proofErr w:type="spellStart"/>
      <w:r w:rsidR="009270CE" w:rsidRPr="008A486E">
        <w:rPr>
          <w:rFonts w:eastAsia="Calibri" w:cstheme="minorHAnsi"/>
          <w:sz w:val="24"/>
          <w:szCs w:val="24"/>
        </w:rPr>
        <w:t>Oracle</w:t>
      </w:r>
      <w:proofErr w:type="spellEnd"/>
      <w:r w:rsidR="009270CE" w:rsidRPr="008A486E">
        <w:rPr>
          <w:rFonts w:eastAsia="Calibri" w:cstheme="minorHAnsi"/>
          <w:sz w:val="24"/>
          <w:szCs w:val="24"/>
        </w:rPr>
        <w:t xml:space="preserve">“ duomenų bazės poreikiams), </w:t>
      </w:r>
      <w:r w:rsidR="006F4EC5">
        <w:rPr>
          <w:rFonts w:eastAsia="Calibri" w:cstheme="minorHAnsi"/>
          <w:sz w:val="24"/>
          <w:szCs w:val="24"/>
        </w:rPr>
        <w:t>tokiu būdu</w:t>
      </w:r>
      <w:r w:rsidR="00EC0D8B">
        <w:rPr>
          <w:rFonts w:eastAsia="Calibri" w:cstheme="minorHAnsi"/>
          <w:sz w:val="24"/>
          <w:szCs w:val="24"/>
        </w:rPr>
        <w:t>,</w:t>
      </w:r>
      <w:r w:rsidR="006F4EC5">
        <w:rPr>
          <w:rFonts w:eastAsia="Calibri" w:cstheme="minorHAnsi"/>
          <w:sz w:val="24"/>
          <w:szCs w:val="24"/>
        </w:rPr>
        <w:t xml:space="preserve"> būtų </w:t>
      </w:r>
      <w:r w:rsidR="002551BF" w:rsidRPr="008A486E">
        <w:rPr>
          <w:rFonts w:eastAsia="Calibri" w:cstheme="minorHAnsi"/>
          <w:sz w:val="24"/>
          <w:szCs w:val="24"/>
        </w:rPr>
        <w:t xml:space="preserve">paprastesnis </w:t>
      </w:r>
      <w:r w:rsidR="009270CE" w:rsidRPr="008A486E">
        <w:rPr>
          <w:rFonts w:eastAsia="Calibri" w:cstheme="minorHAnsi"/>
          <w:sz w:val="24"/>
          <w:szCs w:val="24"/>
        </w:rPr>
        <w:t>licencijų ir jų palaikymo suvaldymas</w:t>
      </w:r>
      <w:r w:rsidR="00043D99" w:rsidRPr="008A486E">
        <w:rPr>
          <w:rFonts w:eastAsia="Calibri" w:cstheme="minorHAnsi"/>
          <w:sz w:val="24"/>
          <w:szCs w:val="24"/>
        </w:rPr>
        <w:t xml:space="preserve">, </w:t>
      </w:r>
      <w:r w:rsidR="002551BF" w:rsidRPr="008A486E">
        <w:rPr>
          <w:rFonts w:eastAsia="Calibri" w:cstheme="minorHAnsi"/>
          <w:sz w:val="24"/>
          <w:szCs w:val="24"/>
        </w:rPr>
        <w:t xml:space="preserve">taip pat </w:t>
      </w:r>
      <w:r w:rsidR="00043D99" w:rsidRPr="008A486E">
        <w:rPr>
          <w:rFonts w:eastAsia="Calibri" w:cstheme="minorHAnsi"/>
          <w:sz w:val="24"/>
          <w:szCs w:val="24"/>
        </w:rPr>
        <w:t>mažesnė administracinė našta, nes sumažė</w:t>
      </w:r>
      <w:r w:rsidR="006F4EC5">
        <w:rPr>
          <w:rFonts w:eastAsia="Calibri" w:cstheme="minorHAnsi"/>
          <w:sz w:val="24"/>
          <w:szCs w:val="24"/>
        </w:rPr>
        <w:t>tų</w:t>
      </w:r>
      <w:r w:rsidR="002811F9" w:rsidRPr="008A486E">
        <w:rPr>
          <w:rFonts w:eastAsia="Calibri" w:cstheme="minorHAnsi"/>
          <w:sz w:val="24"/>
          <w:szCs w:val="24"/>
        </w:rPr>
        <w:t xml:space="preserve"> </w:t>
      </w:r>
      <w:r w:rsidR="00043D99" w:rsidRPr="008A486E">
        <w:rPr>
          <w:rFonts w:eastAsia="Calibri" w:cstheme="minorHAnsi"/>
          <w:sz w:val="24"/>
          <w:szCs w:val="24"/>
        </w:rPr>
        <w:t>viešųjų pirkimų skaičius</w:t>
      </w:r>
      <w:r w:rsidR="006B7AAD" w:rsidRPr="008A486E">
        <w:rPr>
          <w:rFonts w:eastAsia="Calibri" w:cstheme="minorHAnsi"/>
          <w:sz w:val="24"/>
          <w:szCs w:val="24"/>
        </w:rPr>
        <w:t xml:space="preserve">, </w:t>
      </w:r>
      <w:r w:rsidR="00F710AB" w:rsidRPr="008A486E">
        <w:rPr>
          <w:rFonts w:eastAsia="Calibri" w:cstheme="minorHAnsi"/>
          <w:sz w:val="24"/>
          <w:szCs w:val="24"/>
        </w:rPr>
        <w:t xml:space="preserve">atsižvelgiant į tai, kad </w:t>
      </w:r>
      <w:r w:rsidR="008D3204" w:rsidRPr="008A486E">
        <w:rPr>
          <w:rFonts w:eastAsia="Calibri" w:cstheme="minorHAnsi"/>
          <w:sz w:val="24"/>
          <w:szCs w:val="24"/>
        </w:rPr>
        <w:t>neb</w:t>
      </w:r>
      <w:r w:rsidR="002811F9" w:rsidRPr="008A486E">
        <w:rPr>
          <w:rFonts w:eastAsia="Calibri" w:cstheme="minorHAnsi"/>
          <w:sz w:val="24"/>
          <w:szCs w:val="24"/>
        </w:rPr>
        <w:t>us</w:t>
      </w:r>
      <w:r w:rsidR="008D3204" w:rsidRPr="008A486E">
        <w:rPr>
          <w:rFonts w:eastAsia="Calibri" w:cstheme="minorHAnsi"/>
          <w:sz w:val="24"/>
          <w:szCs w:val="24"/>
        </w:rPr>
        <w:t xml:space="preserve"> poreikio</w:t>
      </w:r>
      <w:r w:rsidR="00043D99" w:rsidRPr="008A486E">
        <w:rPr>
          <w:rFonts w:eastAsia="Calibri" w:cstheme="minorHAnsi"/>
          <w:sz w:val="24"/>
          <w:szCs w:val="24"/>
        </w:rPr>
        <w:t xml:space="preserve"> atskirai </w:t>
      </w:r>
      <w:r w:rsidR="006F4EC5" w:rsidRPr="008A486E">
        <w:rPr>
          <w:rFonts w:eastAsia="Calibri" w:cstheme="minorHAnsi"/>
          <w:sz w:val="24"/>
          <w:szCs w:val="24"/>
        </w:rPr>
        <w:t xml:space="preserve">pirkti </w:t>
      </w:r>
      <w:r w:rsidR="00043D99" w:rsidRPr="008A486E">
        <w:rPr>
          <w:rFonts w:eastAsia="Calibri" w:cstheme="minorHAnsi"/>
          <w:sz w:val="24"/>
          <w:szCs w:val="24"/>
        </w:rPr>
        <w:t>licencij</w:t>
      </w:r>
      <w:r w:rsidR="006F4EC5">
        <w:rPr>
          <w:rFonts w:eastAsia="Calibri" w:cstheme="minorHAnsi"/>
          <w:sz w:val="24"/>
          <w:szCs w:val="24"/>
        </w:rPr>
        <w:t>as</w:t>
      </w:r>
      <w:r w:rsidR="00043D99" w:rsidRPr="008A486E">
        <w:rPr>
          <w:rFonts w:eastAsia="Calibri" w:cstheme="minorHAnsi"/>
          <w:sz w:val="24"/>
          <w:szCs w:val="24"/>
        </w:rPr>
        <w:t xml:space="preserve"> ir technin</w:t>
      </w:r>
      <w:r w:rsidR="006F4EC5">
        <w:rPr>
          <w:rFonts w:eastAsia="Calibri" w:cstheme="minorHAnsi"/>
          <w:sz w:val="24"/>
          <w:szCs w:val="24"/>
        </w:rPr>
        <w:t>ę</w:t>
      </w:r>
      <w:r w:rsidR="00043D99" w:rsidRPr="008A486E">
        <w:rPr>
          <w:rFonts w:eastAsia="Calibri" w:cstheme="minorHAnsi"/>
          <w:sz w:val="24"/>
          <w:szCs w:val="24"/>
        </w:rPr>
        <w:t xml:space="preserve"> įrang</w:t>
      </w:r>
      <w:r w:rsidR="006F4EC5">
        <w:rPr>
          <w:rFonts w:eastAsia="Calibri" w:cstheme="minorHAnsi"/>
          <w:sz w:val="24"/>
          <w:szCs w:val="24"/>
        </w:rPr>
        <w:t>ą</w:t>
      </w:r>
      <w:r w:rsidR="00043D99" w:rsidRPr="008A486E">
        <w:rPr>
          <w:rFonts w:eastAsia="Calibri" w:cstheme="minorHAnsi"/>
          <w:sz w:val="24"/>
          <w:szCs w:val="24"/>
        </w:rPr>
        <w:t xml:space="preserve">, </w:t>
      </w:r>
      <w:r w:rsidR="008D3204" w:rsidRPr="008A486E">
        <w:rPr>
          <w:rFonts w:eastAsia="Calibri" w:cstheme="minorHAnsi"/>
          <w:sz w:val="24"/>
          <w:szCs w:val="24"/>
        </w:rPr>
        <w:t>nes</w:t>
      </w:r>
      <w:r w:rsidR="00043D99" w:rsidRPr="008A486E">
        <w:rPr>
          <w:rFonts w:eastAsia="Calibri" w:cstheme="minorHAnsi"/>
          <w:sz w:val="24"/>
          <w:szCs w:val="24"/>
        </w:rPr>
        <w:t xml:space="preserve"> visk</w:t>
      </w:r>
      <w:r w:rsidR="008D3204" w:rsidRPr="008A486E">
        <w:rPr>
          <w:rFonts w:eastAsia="Calibri" w:cstheme="minorHAnsi"/>
          <w:sz w:val="24"/>
          <w:szCs w:val="24"/>
        </w:rPr>
        <w:t>as</w:t>
      </w:r>
      <w:r w:rsidR="006B7AAD" w:rsidRPr="008A486E">
        <w:rPr>
          <w:rFonts w:eastAsia="Calibri" w:cstheme="minorHAnsi"/>
          <w:sz w:val="24"/>
          <w:szCs w:val="24"/>
        </w:rPr>
        <w:t xml:space="preserve"> b</w:t>
      </w:r>
      <w:r w:rsidR="006F4EC5">
        <w:rPr>
          <w:rFonts w:eastAsia="Calibri" w:cstheme="minorHAnsi"/>
          <w:sz w:val="24"/>
          <w:szCs w:val="24"/>
        </w:rPr>
        <w:t xml:space="preserve">ūtų įsigyta </w:t>
      </w:r>
      <w:r w:rsidR="00043D99" w:rsidRPr="008A486E">
        <w:rPr>
          <w:rFonts w:eastAsia="Calibri" w:cstheme="minorHAnsi"/>
          <w:sz w:val="24"/>
          <w:szCs w:val="24"/>
        </w:rPr>
        <w:t>vienu pirkimu, kaip paslaug</w:t>
      </w:r>
      <w:r w:rsidR="006B7AAD" w:rsidRPr="008A486E">
        <w:rPr>
          <w:rFonts w:eastAsia="Calibri" w:cstheme="minorHAnsi"/>
          <w:sz w:val="24"/>
          <w:szCs w:val="24"/>
        </w:rPr>
        <w:t>os.</w:t>
      </w:r>
    </w:p>
    <w:p w14:paraId="10A4FB7E" w14:textId="0D5F0C0B" w:rsidR="00943431" w:rsidRPr="008A486E" w:rsidRDefault="002E0B4F" w:rsidP="00456B28">
      <w:pPr>
        <w:tabs>
          <w:tab w:val="left" w:pos="851"/>
          <w:tab w:val="left" w:pos="1134"/>
        </w:tabs>
        <w:spacing w:after="0"/>
        <w:ind w:firstLine="567"/>
        <w:contextualSpacing/>
        <w:rPr>
          <w:rFonts w:eastAsia="Times New Roman" w:cstheme="minorHAnsi"/>
          <w:sz w:val="24"/>
          <w:szCs w:val="24"/>
        </w:rPr>
      </w:pPr>
      <w:r w:rsidRPr="008A486E">
        <w:rPr>
          <w:rFonts w:eastAsia="Times New Roman" w:cstheme="minorHAnsi"/>
          <w:sz w:val="24"/>
          <w:szCs w:val="24"/>
        </w:rPr>
        <w:t xml:space="preserve">Perkančiosios organizacijos </w:t>
      </w:r>
      <w:r w:rsidR="006F4EC5">
        <w:rPr>
          <w:rFonts w:eastAsia="Times New Roman" w:cstheme="minorHAnsi"/>
          <w:sz w:val="24"/>
          <w:szCs w:val="24"/>
        </w:rPr>
        <w:t>teigimu</w:t>
      </w:r>
      <w:r w:rsidRPr="008A486E">
        <w:rPr>
          <w:rFonts w:eastAsia="Times New Roman" w:cstheme="minorHAnsi"/>
          <w:sz w:val="24"/>
          <w:szCs w:val="24"/>
        </w:rPr>
        <w:t xml:space="preserve">, </w:t>
      </w:r>
      <w:r w:rsidR="00350E65" w:rsidRPr="008A486E">
        <w:rPr>
          <w:rFonts w:eastAsia="Times New Roman" w:cstheme="minorHAnsi"/>
          <w:sz w:val="24"/>
          <w:szCs w:val="24"/>
        </w:rPr>
        <w:t>vis</w:t>
      </w:r>
      <w:r w:rsidRPr="008A486E">
        <w:rPr>
          <w:rFonts w:eastAsia="Times New Roman" w:cstheme="minorHAnsi"/>
          <w:sz w:val="24"/>
          <w:szCs w:val="24"/>
        </w:rPr>
        <w:t>os</w:t>
      </w:r>
      <w:r w:rsidR="00350E65" w:rsidRPr="008A486E">
        <w:rPr>
          <w:rFonts w:eastAsia="Times New Roman" w:cstheme="minorHAnsi"/>
          <w:sz w:val="24"/>
          <w:szCs w:val="24"/>
        </w:rPr>
        <w:t xml:space="preserve"> </w:t>
      </w:r>
      <w:r w:rsidR="006F4EC5">
        <w:rPr>
          <w:rFonts w:eastAsia="Times New Roman" w:cstheme="minorHAnsi"/>
          <w:sz w:val="24"/>
          <w:szCs w:val="24"/>
        </w:rPr>
        <w:t xml:space="preserve">aukščiau </w:t>
      </w:r>
      <w:r w:rsidR="00350E65" w:rsidRPr="008A486E">
        <w:rPr>
          <w:rFonts w:eastAsia="Times New Roman" w:cstheme="minorHAnsi"/>
          <w:sz w:val="24"/>
          <w:szCs w:val="24"/>
        </w:rPr>
        <w:t>nurodyt</w:t>
      </w:r>
      <w:r w:rsidRPr="008A486E">
        <w:rPr>
          <w:rFonts w:eastAsia="Times New Roman" w:cstheme="minorHAnsi"/>
          <w:sz w:val="24"/>
          <w:szCs w:val="24"/>
        </w:rPr>
        <w:t>os</w:t>
      </w:r>
      <w:r w:rsidR="00350E65" w:rsidRPr="008A486E">
        <w:rPr>
          <w:rFonts w:eastAsia="Times New Roman" w:cstheme="minorHAnsi"/>
          <w:sz w:val="24"/>
          <w:szCs w:val="24"/>
        </w:rPr>
        <w:t xml:space="preserve"> aplinkyb</w:t>
      </w:r>
      <w:r w:rsidRPr="008A486E">
        <w:rPr>
          <w:rFonts w:eastAsia="Times New Roman" w:cstheme="minorHAnsi"/>
          <w:sz w:val="24"/>
          <w:szCs w:val="24"/>
        </w:rPr>
        <w:t>ė</w:t>
      </w:r>
      <w:r w:rsidR="00350E65" w:rsidRPr="008A486E">
        <w:rPr>
          <w:rFonts w:eastAsia="Times New Roman" w:cstheme="minorHAnsi"/>
          <w:sz w:val="24"/>
          <w:szCs w:val="24"/>
        </w:rPr>
        <w:t xml:space="preserve">s ir </w:t>
      </w:r>
      <w:r w:rsidR="002F7767" w:rsidRPr="008A486E">
        <w:rPr>
          <w:rFonts w:eastAsia="Times New Roman" w:cstheme="minorHAnsi"/>
          <w:sz w:val="24"/>
          <w:szCs w:val="24"/>
        </w:rPr>
        <w:t>argument</w:t>
      </w:r>
      <w:r w:rsidRPr="008A486E">
        <w:rPr>
          <w:rFonts w:eastAsia="Times New Roman" w:cstheme="minorHAnsi"/>
          <w:sz w:val="24"/>
          <w:szCs w:val="24"/>
        </w:rPr>
        <w:t>ai</w:t>
      </w:r>
      <w:r w:rsidR="00873038" w:rsidRPr="008A486E">
        <w:rPr>
          <w:rFonts w:eastAsia="Times New Roman" w:cstheme="minorHAnsi"/>
          <w:sz w:val="24"/>
          <w:szCs w:val="24"/>
        </w:rPr>
        <w:t xml:space="preserve"> atitinka Įstatymo 71 straipsnio 1 dalies 2 punkto b papunktyje įtvirtintus pagrindus</w:t>
      </w:r>
      <w:r w:rsidR="00D117AD" w:rsidRPr="008A486E">
        <w:rPr>
          <w:rFonts w:eastAsia="Times New Roman" w:cstheme="minorHAnsi"/>
          <w:sz w:val="24"/>
          <w:szCs w:val="24"/>
        </w:rPr>
        <w:t>,</w:t>
      </w:r>
      <w:r w:rsidR="002E1D39" w:rsidRPr="008A486E">
        <w:rPr>
          <w:rFonts w:eastAsia="Times New Roman" w:cstheme="minorHAnsi"/>
          <w:sz w:val="24"/>
          <w:szCs w:val="24"/>
        </w:rPr>
        <w:t xml:space="preserve"> </w:t>
      </w:r>
      <w:r w:rsidR="00CC3209" w:rsidRPr="008A486E">
        <w:rPr>
          <w:rFonts w:eastAsia="Times New Roman" w:cstheme="minorHAnsi"/>
          <w:sz w:val="24"/>
          <w:szCs w:val="24"/>
        </w:rPr>
        <w:t>susijusius su techninių priežasčių egzistavim</w:t>
      </w:r>
      <w:r w:rsidR="004B24A7" w:rsidRPr="008A486E">
        <w:rPr>
          <w:rFonts w:eastAsia="Times New Roman" w:cstheme="minorHAnsi"/>
          <w:sz w:val="24"/>
          <w:szCs w:val="24"/>
        </w:rPr>
        <w:t>u</w:t>
      </w:r>
      <w:r w:rsidR="00CC3209" w:rsidRPr="008A486E">
        <w:rPr>
          <w:rFonts w:eastAsia="Times New Roman" w:cstheme="minorHAnsi"/>
          <w:sz w:val="24"/>
          <w:szCs w:val="24"/>
        </w:rPr>
        <w:t>, nes</w:t>
      </w:r>
      <w:r w:rsidR="00D117AD" w:rsidRPr="008A486E">
        <w:rPr>
          <w:rFonts w:eastAsia="Times New Roman" w:cstheme="minorHAnsi"/>
          <w:sz w:val="24"/>
          <w:szCs w:val="24"/>
        </w:rPr>
        <w:t xml:space="preserve"> „</w:t>
      </w:r>
      <w:proofErr w:type="spellStart"/>
      <w:r w:rsidR="00D117AD" w:rsidRPr="008A486E">
        <w:rPr>
          <w:rFonts w:eastAsia="Times New Roman" w:cstheme="minorHAnsi"/>
          <w:sz w:val="24"/>
          <w:szCs w:val="24"/>
        </w:rPr>
        <w:t>Oracle</w:t>
      </w:r>
      <w:proofErr w:type="spellEnd"/>
      <w:r w:rsidR="00D117AD" w:rsidRPr="008A486E">
        <w:rPr>
          <w:rFonts w:eastAsia="Times New Roman" w:cstheme="minorHAnsi"/>
          <w:sz w:val="24"/>
          <w:szCs w:val="24"/>
        </w:rPr>
        <w:t>“ pagrindu sukurtų ir veikiančių duomenų bazių paslauga, kuri susideda iš techninės ir programinės dalies, yra vientisa ir nedaloma paslauga, ir yra laikoma išskirtine „</w:t>
      </w:r>
      <w:proofErr w:type="spellStart"/>
      <w:r w:rsidR="00D117AD" w:rsidRPr="008A486E">
        <w:rPr>
          <w:rFonts w:eastAsia="Times New Roman" w:cstheme="minorHAnsi"/>
          <w:sz w:val="24"/>
          <w:szCs w:val="24"/>
        </w:rPr>
        <w:t>Oracle</w:t>
      </w:r>
      <w:proofErr w:type="spellEnd"/>
      <w:r w:rsidR="00D117AD" w:rsidRPr="008A486E">
        <w:rPr>
          <w:rFonts w:eastAsia="Times New Roman" w:cstheme="minorHAnsi"/>
          <w:sz w:val="24"/>
          <w:szCs w:val="24"/>
        </w:rPr>
        <w:t>“ intelektine nuosavybe,</w:t>
      </w:r>
      <w:r w:rsidR="00D117AD" w:rsidRPr="008A486E">
        <w:rPr>
          <w:rFonts w:cstheme="minorHAnsi"/>
          <w:sz w:val="24"/>
          <w:szCs w:val="24"/>
        </w:rPr>
        <w:t xml:space="preserve"> taip pat k</w:t>
      </w:r>
      <w:r w:rsidR="00D117AD" w:rsidRPr="008A486E">
        <w:rPr>
          <w:rFonts w:eastAsia="Times New Roman" w:cstheme="minorHAnsi"/>
          <w:sz w:val="24"/>
          <w:szCs w:val="24"/>
        </w:rPr>
        <w:t>ritinės Registrų centro sistemos ir registrai veikia „</w:t>
      </w:r>
      <w:proofErr w:type="spellStart"/>
      <w:r w:rsidR="00D117AD" w:rsidRPr="008A486E">
        <w:rPr>
          <w:rFonts w:eastAsia="Times New Roman" w:cstheme="minorHAnsi"/>
          <w:sz w:val="24"/>
          <w:szCs w:val="24"/>
        </w:rPr>
        <w:t>Oracle</w:t>
      </w:r>
      <w:proofErr w:type="spellEnd"/>
      <w:r w:rsidR="00D117AD" w:rsidRPr="008A486E">
        <w:rPr>
          <w:rFonts w:eastAsia="Times New Roman" w:cstheme="minorHAnsi"/>
          <w:sz w:val="24"/>
          <w:szCs w:val="24"/>
        </w:rPr>
        <w:t>“ duomenų bazės valdymo sistemos pagrindu</w:t>
      </w:r>
      <w:r w:rsidR="009F77E3" w:rsidRPr="008A486E">
        <w:rPr>
          <w:rFonts w:eastAsia="Times New Roman" w:cstheme="minorHAnsi"/>
          <w:sz w:val="24"/>
          <w:szCs w:val="24"/>
        </w:rPr>
        <w:t xml:space="preserve">, </w:t>
      </w:r>
      <w:r w:rsidR="00FA3E32" w:rsidRPr="008A486E">
        <w:rPr>
          <w:rFonts w:eastAsia="Times New Roman" w:cstheme="minorHAnsi"/>
          <w:sz w:val="24"/>
          <w:szCs w:val="24"/>
        </w:rPr>
        <w:t xml:space="preserve">atitinkamai, </w:t>
      </w:r>
      <w:r w:rsidR="00456B28" w:rsidRPr="008A486E">
        <w:rPr>
          <w:rFonts w:eastAsia="Times New Roman" w:cstheme="minorHAnsi"/>
          <w:sz w:val="24"/>
          <w:szCs w:val="24"/>
        </w:rPr>
        <w:t>siekiamas įsigyti paslaugas gali suteikti tik konkretūs gamintojo „</w:t>
      </w:r>
      <w:proofErr w:type="spellStart"/>
      <w:r w:rsidR="00456B28" w:rsidRPr="008A486E">
        <w:rPr>
          <w:rFonts w:eastAsia="Times New Roman" w:cstheme="minorHAnsi"/>
          <w:sz w:val="24"/>
          <w:szCs w:val="24"/>
        </w:rPr>
        <w:t>Oracle</w:t>
      </w:r>
      <w:proofErr w:type="spellEnd"/>
      <w:r w:rsidR="00456B28" w:rsidRPr="008A486E">
        <w:rPr>
          <w:rFonts w:eastAsia="Times New Roman" w:cstheme="minorHAnsi"/>
          <w:sz w:val="24"/>
          <w:szCs w:val="24"/>
        </w:rPr>
        <w:t>“ atstovai</w:t>
      </w:r>
      <w:r w:rsidR="002E1D39" w:rsidRPr="008A486E">
        <w:rPr>
          <w:rFonts w:eastAsia="Times New Roman" w:cstheme="minorHAnsi"/>
          <w:sz w:val="24"/>
          <w:szCs w:val="24"/>
        </w:rPr>
        <w:t>.</w:t>
      </w:r>
      <w:r w:rsidR="009F77E3" w:rsidRPr="008A486E">
        <w:rPr>
          <w:rFonts w:eastAsia="Times New Roman" w:cstheme="minorHAnsi"/>
          <w:sz w:val="24"/>
          <w:szCs w:val="24"/>
        </w:rPr>
        <w:t xml:space="preserve"> Atsižvelgdama į tai, kas nurodyta</w:t>
      </w:r>
      <w:r w:rsidR="00456B28" w:rsidRPr="008A486E">
        <w:rPr>
          <w:rFonts w:eastAsia="Times New Roman" w:cstheme="minorHAnsi"/>
          <w:sz w:val="24"/>
          <w:szCs w:val="24"/>
        </w:rPr>
        <w:t xml:space="preserve">, </w:t>
      </w:r>
      <w:r w:rsidR="00943431" w:rsidRPr="008A486E">
        <w:rPr>
          <w:rFonts w:eastAsia="Times New Roman" w:cstheme="minorHAnsi"/>
          <w:bCs/>
          <w:sz w:val="24"/>
          <w:szCs w:val="24"/>
        </w:rPr>
        <w:t xml:space="preserve">Perkančioji organizacija </w:t>
      </w:r>
      <w:r w:rsidR="00943431" w:rsidRPr="008A486E">
        <w:rPr>
          <w:rFonts w:eastAsia="Times New Roman" w:cstheme="minorHAnsi"/>
          <w:sz w:val="24"/>
          <w:szCs w:val="24"/>
        </w:rPr>
        <w:t>priėmė sprendimą</w:t>
      </w:r>
      <w:r w:rsidR="00AC3440" w:rsidRPr="008A486E">
        <w:rPr>
          <w:rFonts w:eastAsia="Times New Roman" w:cstheme="minorHAnsi"/>
          <w:sz w:val="24"/>
          <w:szCs w:val="24"/>
        </w:rPr>
        <w:t>,</w:t>
      </w:r>
      <w:r w:rsidR="00943431" w:rsidRPr="008A486E">
        <w:rPr>
          <w:rFonts w:eastAsia="Times New Roman" w:cstheme="minorHAnsi"/>
          <w:sz w:val="24"/>
          <w:szCs w:val="24"/>
        </w:rPr>
        <w:t xml:space="preserve"> Pirkimą vykdyti neskelbiamų derybų būdu, į derybas kviečiant </w:t>
      </w:r>
      <w:r w:rsidR="00A13F73" w:rsidRPr="008A486E">
        <w:rPr>
          <w:rFonts w:eastAsia="Times New Roman" w:cstheme="minorHAnsi"/>
          <w:sz w:val="24"/>
          <w:szCs w:val="24"/>
        </w:rPr>
        <w:t xml:space="preserve">gamintojo </w:t>
      </w:r>
      <w:r w:rsidR="006F4EC5">
        <w:rPr>
          <w:rFonts w:eastAsia="Times New Roman" w:cstheme="minorHAnsi"/>
          <w:sz w:val="24"/>
          <w:szCs w:val="24"/>
        </w:rPr>
        <w:t>„</w:t>
      </w:r>
      <w:proofErr w:type="spellStart"/>
      <w:r w:rsidR="00A13F73" w:rsidRPr="008A486E">
        <w:rPr>
          <w:rFonts w:eastAsia="Times New Roman" w:cstheme="minorHAnsi"/>
          <w:sz w:val="24"/>
          <w:szCs w:val="24"/>
        </w:rPr>
        <w:t>Oracle</w:t>
      </w:r>
      <w:proofErr w:type="spellEnd"/>
      <w:r w:rsidR="006F4EC5">
        <w:rPr>
          <w:rFonts w:eastAsia="Times New Roman" w:cstheme="minorHAnsi"/>
          <w:sz w:val="24"/>
          <w:szCs w:val="24"/>
        </w:rPr>
        <w:t>“</w:t>
      </w:r>
      <w:r w:rsidR="00A13F73" w:rsidRPr="008A486E">
        <w:rPr>
          <w:rFonts w:eastAsia="Times New Roman" w:cstheme="minorHAnsi"/>
          <w:sz w:val="24"/>
          <w:szCs w:val="24"/>
        </w:rPr>
        <w:t xml:space="preserve"> atst</w:t>
      </w:r>
      <w:r w:rsidR="00DD24BA" w:rsidRPr="008A486E">
        <w:rPr>
          <w:rFonts w:eastAsia="Times New Roman" w:cstheme="minorHAnsi"/>
          <w:sz w:val="24"/>
          <w:szCs w:val="24"/>
        </w:rPr>
        <w:t>ovus</w:t>
      </w:r>
      <w:r w:rsidR="00726FFD" w:rsidRPr="008A486E">
        <w:rPr>
          <w:rFonts w:eastAsia="Times New Roman" w:cstheme="minorHAnsi"/>
          <w:sz w:val="24"/>
          <w:szCs w:val="24"/>
        </w:rPr>
        <w:t xml:space="preserve"> – AB „Telia Lietuva“, UAB „</w:t>
      </w:r>
      <w:proofErr w:type="spellStart"/>
      <w:r w:rsidR="00726FFD" w:rsidRPr="008A486E">
        <w:rPr>
          <w:rFonts w:eastAsia="Times New Roman" w:cstheme="minorHAnsi"/>
          <w:sz w:val="24"/>
          <w:szCs w:val="24"/>
        </w:rPr>
        <w:t>Novian</w:t>
      </w:r>
      <w:proofErr w:type="spellEnd"/>
      <w:r w:rsidR="00726FFD" w:rsidRPr="008A486E">
        <w:rPr>
          <w:rFonts w:eastAsia="Times New Roman" w:cstheme="minorHAnsi"/>
          <w:sz w:val="24"/>
          <w:szCs w:val="24"/>
        </w:rPr>
        <w:t xml:space="preserve"> Technologies“, </w:t>
      </w:r>
      <w:proofErr w:type="spellStart"/>
      <w:r w:rsidR="00726FFD" w:rsidRPr="008A486E">
        <w:rPr>
          <w:rFonts w:eastAsia="Times New Roman" w:cstheme="minorHAnsi"/>
          <w:sz w:val="24"/>
          <w:szCs w:val="24"/>
        </w:rPr>
        <w:t>Oracle</w:t>
      </w:r>
      <w:proofErr w:type="spellEnd"/>
      <w:r w:rsidR="00726FFD" w:rsidRPr="008A486E">
        <w:rPr>
          <w:rFonts w:eastAsia="Times New Roman" w:cstheme="minorHAnsi"/>
          <w:sz w:val="24"/>
          <w:szCs w:val="24"/>
        </w:rPr>
        <w:t xml:space="preserve"> </w:t>
      </w:r>
      <w:proofErr w:type="spellStart"/>
      <w:r w:rsidR="00726FFD" w:rsidRPr="008A486E">
        <w:rPr>
          <w:rFonts w:eastAsia="Times New Roman" w:cstheme="minorHAnsi"/>
          <w:sz w:val="24"/>
          <w:szCs w:val="24"/>
        </w:rPr>
        <w:t>East</w:t>
      </w:r>
      <w:proofErr w:type="spellEnd"/>
      <w:r w:rsidR="00726FFD" w:rsidRPr="008A486E">
        <w:rPr>
          <w:rFonts w:eastAsia="Times New Roman" w:cstheme="minorHAnsi"/>
          <w:sz w:val="24"/>
          <w:szCs w:val="24"/>
        </w:rPr>
        <w:t xml:space="preserve"> </w:t>
      </w:r>
      <w:proofErr w:type="spellStart"/>
      <w:r w:rsidR="00726FFD" w:rsidRPr="008A486E">
        <w:rPr>
          <w:rFonts w:eastAsia="Times New Roman" w:cstheme="minorHAnsi"/>
          <w:sz w:val="24"/>
          <w:szCs w:val="24"/>
        </w:rPr>
        <w:t>Central</w:t>
      </w:r>
      <w:proofErr w:type="spellEnd"/>
      <w:r w:rsidR="00726FFD" w:rsidRPr="008A486E">
        <w:rPr>
          <w:rFonts w:eastAsia="Times New Roman" w:cstheme="minorHAnsi"/>
          <w:sz w:val="24"/>
          <w:szCs w:val="24"/>
        </w:rPr>
        <w:t xml:space="preserve"> </w:t>
      </w:r>
      <w:proofErr w:type="spellStart"/>
      <w:r w:rsidR="00726FFD" w:rsidRPr="008A486E">
        <w:rPr>
          <w:rFonts w:eastAsia="Times New Roman" w:cstheme="minorHAnsi"/>
          <w:sz w:val="24"/>
          <w:szCs w:val="24"/>
        </w:rPr>
        <w:t>Europe</w:t>
      </w:r>
      <w:proofErr w:type="spellEnd"/>
      <w:r w:rsidR="00726FFD" w:rsidRPr="008A486E">
        <w:rPr>
          <w:rFonts w:eastAsia="Times New Roman" w:cstheme="minorHAnsi"/>
          <w:sz w:val="24"/>
          <w:szCs w:val="24"/>
        </w:rPr>
        <w:t xml:space="preserve"> </w:t>
      </w:r>
      <w:proofErr w:type="spellStart"/>
      <w:r w:rsidR="00726FFD" w:rsidRPr="008A486E">
        <w:rPr>
          <w:rFonts w:eastAsia="Times New Roman" w:cstheme="minorHAnsi"/>
          <w:sz w:val="24"/>
          <w:szCs w:val="24"/>
        </w:rPr>
        <w:t>Limited</w:t>
      </w:r>
      <w:proofErr w:type="spellEnd"/>
      <w:r w:rsidR="00726FFD" w:rsidRPr="008A486E">
        <w:rPr>
          <w:rFonts w:eastAsia="Times New Roman" w:cstheme="minorHAnsi"/>
          <w:sz w:val="24"/>
          <w:szCs w:val="24"/>
        </w:rPr>
        <w:t xml:space="preserve"> filial</w:t>
      </w:r>
      <w:r w:rsidR="002C6EEB" w:rsidRPr="008A486E">
        <w:rPr>
          <w:rFonts w:eastAsia="Times New Roman" w:cstheme="minorHAnsi"/>
          <w:sz w:val="24"/>
          <w:szCs w:val="24"/>
        </w:rPr>
        <w:t>ą</w:t>
      </w:r>
      <w:r w:rsidR="00943431" w:rsidRPr="008A486E">
        <w:rPr>
          <w:rFonts w:eastAsia="Times New Roman" w:cstheme="minorHAnsi"/>
          <w:sz w:val="24"/>
          <w:szCs w:val="24"/>
        </w:rPr>
        <w:t>,</w:t>
      </w:r>
      <w:r w:rsidR="00943431" w:rsidRPr="008A486E">
        <w:rPr>
          <w:rFonts w:cstheme="minorHAnsi"/>
          <w:sz w:val="24"/>
          <w:szCs w:val="24"/>
        </w:rPr>
        <w:t xml:space="preserve"> </w:t>
      </w:r>
      <w:r w:rsidR="00943431" w:rsidRPr="008A486E">
        <w:rPr>
          <w:rFonts w:eastAsia="Times New Roman" w:cstheme="minorHAnsi"/>
          <w:sz w:val="24"/>
          <w:szCs w:val="24"/>
        </w:rPr>
        <w:t xml:space="preserve">ir kreiptis į Tarnybą sutikimo dėl tokio </w:t>
      </w:r>
      <w:r w:rsidR="00FA3E32" w:rsidRPr="008A486E">
        <w:rPr>
          <w:rFonts w:eastAsia="Times New Roman" w:cstheme="minorHAnsi"/>
          <w:sz w:val="24"/>
          <w:szCs w:val="24"/>
        </w:rPr>
        <w:t>Pi</w:t>
      </w:r>
      <w:r w:rsidR="00943431" w:rsidRPr="008A486E">
        <w:rPr>
          <w:rFonts w:eastAsia="Times New Roman" w:cstheme="minorHAnsi"/>
          <w:sz w:val="24"/>
          <w:szCs w:val="24"/>
        </w:rPr>
        <w:t>rkimo būdo pasirinkimo.</w:t>
      </w:r>
    </w:p>
    <w:p w14:paraId="2450CFDD" w14:textId="244D3BFB" w:rsidR="00943431" w:rsidRPr="008A486E" w:rsidRDefault="00943431" w:rsidP="003F0CDD">
      <w:pPr>
        <w:tabs>
          <w:tab w:val="left" w:pos="851"/>
          <w:tab w:val="left" w:pos="1134"/>
        </w:tabs>
        <w:spacing w:after="0"/>
        <w:ind w:firstLine="567"/>
        <w:contextualSpacing/>
        <w:rPr>
          <w:rFonts w:eastAsia="Times New Roman" w:cstheme="minorHAnsi"/>
          <w:sz w:val="24"/>
          <w:szCs w:val="24"/>
        </w:rPr>
      </w:pPr>
      <w:r w:rsidRPr="008A486E">
        <w:rPr>
          <w:rFonts w:eastAsia="Times New Roman" w:cstheme="minorHAnsi"/>
          <w:sz w:val="24"/>
          <w:szCs w:val="24"/>
        </w:rPr>
        <w:lastRenderedPageBreak/>
        <w:t xml:space="preserve">Planuojama Pirkimo vertė – </w:t>
      </w:r>
      <w:r w:rsidR="00F86E51" w:rsidRPr="008A486E">
        <w:rPr>
          <w:rFonts w:eastAsia="Times New Roman" w:cstheme="minorHAnsi"/>
          <w:sz w:val="24"/>
          <w:szCs w:val="24"/>
        </w:rPr>
        <w:t>5 100</w:t>
      </w:r>
      <w:r w:rsidR="004E62C2" w:rsidRPr="008A486E">
        <w:rPr>
          <w:rFonts w:eastAsia="Times New Roman" w:cstheme="minorHAnsi"/>
          <w:sz w:val="24"/>
          <w:szCs w:val="24"/>
        </w:rPr>
        <w:t xml:space="preserve"> 000,00</w:t>
      </w:r>
      <w:r w:rsidRPr="008A486E">
        <w:rPr>
          <w:rFonts w:eastAsia="Times New Roman" w:cstheme="minorHAnsi"/>
          <w:sz w:val="24"/>
          <w:szCs w:val="24"/>
        </w:rPr>
        <w:t xml:space="preserve"> Eur be PVM. Numatomos sudaryti Pirkimo sutarties trukmė – </w:t>
      </w:r>
      <w:r w:rsidR="00CD1800" w:rsidRPr="008A486E">
        <w:rPr>
          <w:rFonts w:eastAsia="Times New Roman" w:cstheme="minorHAnsi"/>
          <w:sz w:val="24"/>
          <w:szCs w:val="24"/>
        </w:rPr>
        <w:t>60</w:t>
      </w:r>
      <w:r w:rsidRPr="008A486E">
        <w:rPr>
          <w:rFonts w:eastAsia="Times New Roman" w:cstheme="minorHAnsi"/>
          <w:sz w:val="24"/>
          <w:szCs w:val="24"/>
        </w:rPr>
        <w:t xml:space="preserve"> mėnesi</w:t>
      </w:r>
      <w:r w:rsidR="00CB5F9A" w:rsidRPr="008A486E">
        <w:rPr>
          <w:rFonts w:eastAsia="Times New Roman" w:cstheme="minorHAnsi"/>
          <w:sz w:val="24"/>
          <w:szCs w:val="24"/>
        </w:rPr>
        <w:t>ų</w:t>
      </w:r>
      <w:r w:rsidRPr="008A486E">
        <w:rPr>
          <w:rFonts w:eastAsia="Times New Roman" w:cstheme="minorHAnsi"/>
          <w:sz w:val="24"/>
          <w:szCs w:val="24"/>
          <w:vertAlign w:val="superscript"/>
        </w:rPr>
        <w:footnoteReference w:id="13"/>
      </w:r>
      <w:r w:rsidRPr="008A486E">
        <w:rPr>
          <w:rFonts w:eastAsia="Times New Roman" w:cstheme="minorHAnsi"/>
          <w:sz w:val="24"/>
          <w:szCs w:val="24"/>
        </w:rPr>
        <w:t>.</w:t>
      </w:r>
    </w:p>
    <w:p w14:paraId="4B4328E0" w14:textId="2B56EBF4" w:rsidR="00943431" w:rsidRPr="008A486E" w:rsidRDefault="00943431" w:rsidP="003F0CDD">
      <w:pPr>
        <w:tabs>
          <w:tab w:val="left" w:pos="851"/>
          <w:tab w:val="left" w:pos="1134"/>
        </w:tabs>
        <w:spacing w:after="0"/>
        <w:ind w:firstLine="567"/>
        <w:contextualSpacing/>
        <w:rPr>
          <w:rFonts w:eastAsia="Times New Roman" w:cstheme="minorHAnsi"/>
          <w:sz w:val="24"/>
          <w:szCs w:val="24"/>
        </w:rPr>
      </w:pPr>
      <w:r w:rsidRPr="008A486E">
        <w:rPr>
          <w:rFonts w:eastAsia="Times New Roman" w:cstheme="minorHAnsi"/>
          <w:sz w:val="24"/>
          <w:szCs w:val="24"/>
        </w:rPr>
        <w:t>Įstatymo 71 straipsnio 1 dalies 2 punkto b papunk</w:t>
      </w:r>
      <w:r w:rsidR="00427A1B" w:rsidRPr="008A486E">
        <w:rPr>
          <w:rFonts w:eastAsia="Times New Roman" w:cstheme="minorHAnsi"/>
          <w:sz w:val="24"/>
          <w:szCs w:val="24"/>
        </w:rPr>
        <w:t>tyje</w:t>
      </w:r>
      <w:r w:rsidRPr="008A486E">
        <w:rPr>
          <w:rFonts w:eastAsia="Times New Roman" w:cstheme="minorHAnsi"/>
          <w:sz w:val="24"/>
          <w:szCs w:val="24"/>
        </w:rPr>
        <w:t xml:space="preserve"> nustatyta, kad paslaugos neskelbiamų derybų būdu gali būti perkamos: „jeigu &lt;...&gt; paslaugas teikti &lt;...&gt; gali tik konkretus tiekėjas dėl vienos iš šių priežasčių: &lt;...&gt; b) konkurencijos nėra dėl techninių priežasčių“</w:t>
      </w:r>
      <w:r w:rsidR="00345FA2" w:rsidRPr="008A486E">
        <w:rPr>
          <w:rFonts w:eastAsia="Times New Roman" w:cstheme="minorHAnsi"/>
          <w:sz w:val="24"/>
          <w:szCs w:val="24"/>
        </w:rPr>
        <w:t xml:space="preserve">, o </w:t>
      </w:r>
      <w:r w:rsidR="00625B2A" w:rsidRPr="008A486E">
        <w:rPr>
          <w:rFonts w:eastAsia="Times New Roman" w:cstheme="minorHAnsi"/>
          <w:sz w:val="24"/>
          <w:szCs w:val="24"/>
        </w:rPr>
        <w:t>Įstatymo 71 straipsnio 2 dalyje nustatyta, kad „Šio straipsnio 1 dalies 2 punkto b ir c papunkčiai gali būti taikomi tik tuo atveju, kai nėra pagrįstos alternatyvos ar pakaitalo ir konkurencijos nebuvimas nėra sukurtas perkančiosios organizacijos, jai dirbtinai sugriežtinus pirkimo reikalavimus“.</w:t>
      </w:r>
    </w:p>
    <w:p w14:paraId="671ABEE5" w14:textId="2174410B" w:rsidR="00625B2A" w:rsidRPr="008A486E" w:rsidRDefault="00625B2A" w:rsidP="003F0CDD">
      <w:pPr>
        <w:tabs>
          <w:tab w:val="left" w:pos="851"/>
          <w:tab w:val="left" w:pos="1134"/>
        </w:tabs>
        <w:spacing w:after="0"/>
        <w:ind w:firstLine="567"/>
        <w:jc w:val="both"/>
        <w:rPr>
          <w:rFonts w:cstheme="minorHAnsi"/>
          <w:sz w:val="24"/>
          <w:szCs w:val="24"/>
        </w:rPr>
      </w:pPr>
      <w:r w:rsidRPr="008A486E">
        <w:rPr>
          <w:rFonts w:cstheme="minorHAnsi"/>
          <w:sz w:val="24"/>
          <w:szCs w:val="24"/>
        </w:rPr>
        <w:t>Pažym</w:t>
      </w:r>
      <w:r w:rsidR="006F4EC5">
        <w:rPr>
          <w:rFonts w:cstheme="minorHAnsi"/>
          <w:sz w:val="24"/>
          <w:szCs w:val="24"/>
        </w:rPr>
        <w:t>ėtina</w:t>
      </w:r>
      <w:r w:rsidRPr="008A486E">
        <w:rPr>
          <w:rFonts w:cstheme="minorHAnsi"/>
          <w:sz w:val="24"/>
          <w:szCs w:val="24"/>
        </w:rPr>
        <w:t>, kad Įstatymo 71 straipsnio nuostatomis įgyvendinamos Europos Parlamento ir Tarybos 2014 m. vasario 26 d. direktyvos 2014/24/ES dėl viešųjų pirkimų, kuria panaikinama Direktyva 2004/18/EB, 32 straipsnio, reglamentuojančio neskelbiamas derybas, nuostatos. Europos Sąjungos Teisingumo Teismas (toliau – ESTT) nuosekliai formuoja teisminę praktiką, akcentuojančią, jog neskelbiamų derybų pirkimo būdas turi būti taikomas išimtiniais atvejais, o neskelbiamas derybas reglamentuojančios normos aiškinamos tik siaurai, įrodinėjimo pareigai tenkant tai šaliai, kuri atitinkamu įrodymu remiasi</w:t>
      </w:r>
      <w:r w:rsidRPr="008A486E">
        <w:rPr>
          <w:rStyle w:val="FootnoteReference"/>
          <w:rFonts w:cstheme="minorHAnsi"/>
          <w:sz w:val="24"/>
          <w:szCs w:val="24"/>
        </w:rPr>
        <w:footnoteReference w:id="14"/>
      </w:r>
      <w:r w:rsidRPr="008A486E">
        <w:rPr>
          <w:rFonts w:cstheme="minorHAnsi"/>
          <w:sz w:val="24"/>
          <w:szCs w:val="24"/>
        </w:rPr>
        <w:t>.</w:t>
      </w:r>
    </w:p>
    <w:p w14:paraId="081A3694" w14:textId="77777777" w:rsidR="00625B2A" w:rsidRPr="008A486E" w:rsidRDefault="00625B2A" w:rsidP="003F0CDD">
      <w:pPr>
        <w:spacing w:after="0"/>
        <w:ind w:firstLine="567"/>
        <w:jc w:val="both"/>
        <w:rPr>
          <w:rFonts w:cstheme="minorHAnsi"/>
          <w:i/>
          <w:iCs/>
          <w:sz w:val="24"/>
          <w:szCs w:val="24"/>
          <w:shd w:val="clear" w:color="auto" w:fill="FFFFFF"/>
        </w:rPr>
      </w:pPr>
      <w:r w:rsidRPr="008A486E">
        <w:rPr>
          <w:rFonts w:cstheme="minorHAnsi"/>
          <w:sz w:val="24"/>
          <w:szCs w:val="24"/>
        </w:rPr>
        <w:t xml:space="preserve">Tarnyba atkreipia dėmesį, jog nurodytos teisės normos neskelbiamas derybas, kaip išimtinį viešųjų pirkimų būdą, leidžia taikyti tik tuomet, jeigu rinkoje nėra panašių prekių, paslaugų ar darbų alternatyvos ar pakaitalo. 2014 m. vasario 26 d. </w:t>
      </w:r>
      <w:bookmarkStart w:id="4" w:name="_Hlk103332768"/>
      <w:r w:rsidRPr="008A486E">
        <w:rPr>
          <w:rFonts w:cstheme="minorHAnsi"/>
          <w:sz w:val="24"/>
          <w:szCs w:val="24"/>
        </w:rPr>
        <w:t>Europos Parlamento Direktyvos 2014/24/ES dėl viešųjų pirkimų</w:t>
      </w:r>
      <w:bookmarkEnd w:id="4"/>
      <w:r w:rsidRPr="008A486E">
        <w:rPr>
          <w:rFonts w:cstheme="minorHAnsi"/>
          <w:sz w:val="24"/>
          <w:szCs w:val="24"/>
        </w:rPr>
        <w:t xml:space="preserve">, kuria panaikinama </w:t>
      </w:r>
      <w:bookmarkStart w:id="5" w:name="_Hlk103323244"/>
      <w:r w:rsidRPr="008A486E">
        <w:rPr>
          <w:rFonts w:cstheme="minorHAnsi"/>
          <w:sz w:val="24"/>
          <w:szCs w:val="24"/>
        </w:rPr>
        <w:t xml:space="preserve">Direktyva 2004/18/EB preambulėje </w:t>
      </w:r>
      <w:bookmarkEnd w:id="5"/>
      <w:r w:rsidRPr="008A486E">
        <w:rPr>
          <w:rFonts w:cstheme="minorHAnsi"/>
          <w:sz w:val="24"/>
          <w:szCs w:val="24"/>
        </w:rPr>
        <w:t xml:space="preserve">(50) nustatyta, kad „&lt;...&gt; atsižvelgiant į žalingus padarinius konkurencijai, derybos be išankstinio skelbimo apie pirkimą turėtų būti naudojamos tik išimtinėmis aplinkybėmis. </w:t>
      </w:r>
      <w:r w:rsidRPr="008A486E">
        <w:rPr>
          <w:rFonts w:cstheme="minorHAnsi"/>
          <w:sz w:val="24"/>
          <w:szCs w:val="24"/>
          <w:shd w:val="clear" w:color="auto" w:fill="FFFFFF"/>
        </w:rPr>
        <w:t xml:space="preserve">Ši išimtis turėtų būti taikoma tik tais atvejais, kai paskelbimas neįmanomas &lt;...&gt; jeigu nuo pat pradžių aišku, kad paskelbimas &lt;...&gt; neužtikrins geresnių pirkimo rezultatų, ypač jeigu vertinant objektyviai yra </w:t>
      </w:r>
      <w:bookmarkStart w:id="6" w:name="_Hlk131076498"/>
      <w:r w:rsidRPr="008A486E">
        <w:rPr>
          <w:rFonts w:cstheme="minorHAnsi"/>
          <w:sz w:val="24"/>
          <w:szCs w:val="24"/>
          <w:shd w:val="clear" w:color="auto" w:fill="FFFFFF"/>
        </w:rPr>
        <w:t>tik vienas ekonominės veiklos vykdytojas, galintis įvykdyti sutartį</w:t>
      </w:r>
      <w:bookmarkEnd w:id="6"/>
      <w:r w:rsidRPr="008A486E">
        <w:rPr>
          <w:rFonts w:cstheme="minorHAnsi"/>
          <w:sz w:val="24"/>
          <w:szCs w:val="24"/>
          <w:shd w:val="clear" w:color="auto" w:fill="FFFFFF"/>
        </w:rPr>
        <w:t xml:space="preserve">. &lt;...&gt; Kai išskirtinumo padėtis yra susidariusi dėl techninių priežasčių, jos turėtų būti tiksliai apibrėžtos ir kiekvienu atskiru atveju pagrįstos. Minėtosios priežastys galėtų būti &lt;...&gt; faktas, kad </w:t>
      </w:r>
      <w:bookmarkStart w:id="7" w:name="_Hlk69995448"/>
      <w:r w:rsidRPr="008A486E">
        <w:rPr>
          <w:rFonts w:cstheme="minorHAnsi"/>
          <w:sz w:val="24"/>
          <w:szCs w:val="24"/>
          <w:shd w:val="clear" w:color="auto" w:fill="FFFFFF"/>
        </w:rPr>
        <w:t>kitam ekonominės veiklos vykdytojui techniniu atžvilgiu beveik neįmanoma įvykdyti užduoties, arba būtinybė, kad būtų naudojamasi tam tikra praktine patirtimi, priemonėmis ar metodais, kuriais disponuoja tik vienas ekonominės veiklos vykdytojas. Techninės priežastys taip pat gali būti susijusios su specialiais sąveikumo reikalavimais, kurie turi būti įvykdyti siekiant užtikrinti perkamų darbų, prekių ar paslaugų funkcinį tinkamum</w:t>
      </w:r>
      <w:bookmarkEnd w:id="7"/>
      <w:r w:rsidRPr="008A486E">
        <w:rPr>
          <w:rFonts w:cstheme="minorHAnsi"/>
          <w:sz w:val="24"/>
          <w:szCs w:val="24"/>
          <w:shd w:val="clear" w:color="auto" w:fill="FFFFFF"/>
        </w:rPr>
        <w:t>ą &lt;...&gt;“.</w:t>
      </w:r>
    </w:p>
    <w:p w14:paraId="70AC8801" w14:textId="77777777" w:rsidR="00625B2A" w:rsidRPr="008A486E" w:rsidRDefault="00625B2A" w:rsidP="003F0CDD">
      <w:pPr>
        <w:tabs>
          <w:tab w:val="left" w:pos="851"/>
          <w:tab w:val="left" w:pos="1134"/>
        </w:tabs>
        <w:spacing w:after="0"/>
        <w:ind w:firstLine="567"/>
        <w:jc w:val="both"/>
        <w:rPr>
          <w:rFonts w:eastAsia="Times New Roman" w:cstheme="minorHAnsi"/>
          <w:bCs/>
          <w:sz w:val="24"/>
          <w:szCs w:val="24"/>
        </w:rPr>
      </w:pPr>
      <w:r w:rsidRPr="008A486E">
        <w:rPr>
          <w:rFonts w:cstheme="minorHAnsi"/>
          <w:sz w:val="24"/>
          <w:szCs w:val="24"/>
        </w:rPr>
        <w:t xml:space="preserve">Analogiškos pozicijos laikosi ir ESTT, kuris pažymi, kad neskelbiamos derybos prašyme nurodytu pagrindu gali būti vykdomos tik tuo atveju, jei egzistuoja ne tik techninės priežastys, bet kartu turi būti tik vienintelis potencialus tiekėjas, o </w:t>
      </w:r>
      <w:r w:rsidRPr="008A486E">
        <w:rPr>
          <w:rFonts w:cstheme="minorHAnsi"/>
          <w:iCs/>
          <w:sz w:val="24"/>
          <w:szCs w:val="24"/>
        </w:rPr>
        <w:t>techninės priežastys, dėl kurių pirkimo objektą gali pateikti vienintelis tiekėjas,</w:t>
      </w:r>
      <w:r w:rsidRPr="008A486E">
        <w:rPr>
          <w:rFonts w:cstheme="minorHAnsi"/>
          <w:sz w:val="24"/>
          <w:szCs w:val="24"/>
        </w:rPr>
        <w:t xml:space="preserve"> turi įrodyti, kad joks kitas tiekėjas objektyviai negali pateikti perkančiajai organizacijai reikalingo pirkimo objekto</w:t>
      </w:r>
      <w:r w:rsidRPr="008A486E">
        <w:rPr>
          <w:rStyle w:val="FootnoteReference"/>
          <w:rFonts w:cstheme="minorHAnsi"/>
          <w:sz w:val="24"/>
          <w:szCs w:val="24"/>
        </w:rPr>
        <w:footnoteReference w:id="15"/>
      </w:r>
      <w:r w:rsidRPr="008A486E">
        <w:rPr>
          <w:rFonts w:cstheme="minorHAnsi"/>
          <w:sz w:val="24"/>
          <w:szCs w:val="24"/>
        </w:rPr>
        <w:t>.</w:t>
      </w:r>
    </w:p>
    <w:p w14:paraId="67AF36C7" w14:textId="5CFDC7AD" w:rsidR="00345FA2" w:rsidRPr="008A486E" w:rsidRDefault="005E008B" w:rsidP="005A6E6E">
      <w:pPr>
        <w:tabs>
          <w:tab w:val="left" w:pos="1134"/>
        </w:tabs>
        <w:spacing w:after="0"/>
        <w:ind w:firstLine="567"/>
        <w:contextualSpacing/>
        <w:rPr>
          <w:rFonts w:eastAsia="Times New Roman" w:cstheme="minorHAnsi"/>
          <w:sz w:val="24"/>
          <w:szCs w:val="24"/>
        </w:rPr>
      </w:pPr>
      <w:r>
        <w:rPr>
          <w:rFonts w:eastAsia="Times New Roman" w:cstheme="minorHAnsi"/>
          <w:sz w:val="24"/>
          <w:szCs w:val="24"/>
        </w:rPr>
        <w:t xml:space="preserve">Iš Perkančiosios organizacijos pateiktų dokumentų </w:t>
      </w:r>
      <w:r w:rsidR="0014080D">
        <w:rPr>
          <w:rFonts w:eastAsia="Times New Roman" w:cstheme="minorHAnsi"/>
          <w:sz w:val="24"/>
          <w:szCs w:val="24"/>
        </w:rPr>
        <w:t>ir</w:t>
      </w:r>
      <w:r>
        <w:rPr>
          <w:rFonts w:eastAsia="Times New Roman" w:cstheme="minorHAnsi"/>
          <w:sz w:val="24"/>
          <w:szCs w:val="24"/>
        </w:rPr>
        <w:t xml:space="preserve"> paaiškinimų nustatyta, kad nagrinėjamu atveju</w:t>
      </w:r>
      <w:r w:rsidR="0014080D">
        <w:rPr>
          <w:rFonts w:eastAsia="Times New Roman" w:cstheme="minorHAnsi"/>
          <w:sz w:val="24"/>
          <w:szCs w:val="24"/>
        </w:rPr>
        <w:t>,</w:t>
      </w:r>
      <w:r w:rsidR="00345FA2" w:rsidRPr="008A486E">
        <w:rPr>
          <w:rFonts w:eastAsia="Times New Roman" w:cstheme="minorHAnsi"/>
          <w:sz w:val="24"/>
          <w:szCs w:val="24"/>
        </w:rPr>
        <w:t xml:space="preserve"> rinkoje yra </w:t>
      </w:r>
      <w:r>
        <w:rPr>
          <w:rFonts w:eastAsia="Times New Roman" w:cstheme="minorHAnsi"/>
          <w:sz w:val="24"/>
          <w:szCs w:val="24"/>
        </w:rPr>
        <w:t xml:space="preserve">ne </w:t>
      </w:r>
      <w:r w:rsidR="00345FA2" w:rsidRPr="008A486E">
        <w:rPr>
          <w:rFonts w:eastAsia="Times New Roman" w:cstheme="minorHAnsi"/>
          <w:sz w:val="24"/>
          <w:szCs w:val="24"/>
        </w:rPr>
        <w:t xml:space="preserve">vienas ekonominės veiklos vykdytojas, galintis </w:t>
      </w:r>
      <w:r>
        <w:rPr>
          <w:rFonts w:eastAsia="Times New Roman" w:cstheme="minorHAnsi"/>
          <w:sz w:val="24"/>
          <w:szCs w:val="24"/>
        </w:rPr>
        <w:t xml:space="preserve">Perkančiajai organizacijai </w:t>
      </w:r>
      <w:r w:rsidR="00345FA2" w:rsidRPr="008A486E">
        <w:rPr>
          <w:rFonts w:eastAsia="Times New Roman" w:cstheme="minorHAnsi"/>
          <w:sz w:val="24"/>
          <w:szCs w:val="24"/>
        </w:rPr>
        <w:t xml:space="preserve">tinkamai </w:t>
      </w:r>
      <w:r w:rsidR="000A0B6C" w:rsidRPr="008A486E">
        <w:rPr>
          <w:rFonts w:eastAsia="Times New Roman" w:cstheme="minorHAnsi"/>
          <w:sz w:val="24"/>
          <w:szCs w:val="24"/>
        </w:rPr>
        <w:t xml:space="preserve">suteikti </w:t>
      </w:r>
      <w:r>
        <w:rPr>
          <w:rFonts w:eastAsia="Times New Roman" w:cstheme="minorHAnsi"/>
          <w:sz w:val="24"/>
          <w:szCs w:val="24"/>
        </w:rPr>
        <w:t xml:space="preserve">Pirkimu </w:t>
      </w:r>
      <w:r w:rsidR="000A0B6C" w:rsidRPr="008A486E">
        <w:rPr>
          <w:rFonts w:eastAsia="Times New Roman" w:cstheme="minorHAnsi"/>
          <w:sz w:val="24"/>
          <w:szCs w:val="24"/>
        </w:rPr>
        <w:t>siekiamas įs</w:t>
      </w:r>
      <w:r w:rsidR="00C11264" w:rsidRPr="008A486E">
        <w:rPr>
          <w:rFonts w:eastAsia="Times New Roman" w:cstheme="minorHAnsi"/>
          <w:sz w:val="24"/>
          <w:szCs w:val="24"/>
        </w:rPr>
        <w:t xml:space="preserve">igyti paslaugas, </w:t>
      </w:r>
      <w:r>
        <w:rPr>
          <w:rFonts w:eastAsia="Times New Roman" w:cstheme="minorHAnsi"/>
          <w:sz w:val="24"/>
          <w:szCs w:val="24"/>
        </w:rPr>
        <w:t>be to</w:t>
      </w:r>
      <w:r w:rsidR="0014080D">
        <w:rPr>
          <w:rFonts w:eastAsia="Times New Roman" w:cstheme="minorHAnsi"/>
          <w:sz w:val="24"/>
          <w:szCs w:val="24"/>
        </w:rPr>
        <w:t>,</w:t>
      </w:r>
      <w:r w:rsidR="00C11264" w:rsidRPr="008A486E">
        <w:rPr>
          <w:rFonts w:eastAsia="Times New Roman" w:cstheme="minorHAnsi"/>
          <w:sz w:val="24"/>
          <w:szCs w:val="24"/>
        </w:rPr>
        <w:t xml:space="preserve"> </w:t>
      </w:r>
      <w:r>
        <w:rPr>
          <w:rFonts w:eastAsia="Times New Roman" w:cstheme="minorHAnsi"/>
          <w:sz w:val="24"/>
          <w:szCs w:val="24"/>
        </w:rPr>
        <w:t xml:space="preserve">Perkančiosios organizacijos </w:t>
      </w:r>
      <w:r w:rsidR="00C11264" w:rsidRPr="008A486E">
        <w:rPr>
          <w:rFonts w:eastAsia="Times New Roman" w:cstheme="minorHAnsi"/>
          <w:sz w:val="24"/>
          <w:szCs w:val="24"/>
        </w:rPr>
        <w:t xml:space="preserve">pasirinktas </w:t>
      </w:r>
      <w:r w:rsidR="00C11264" w:rsidRPr="008A486E">
        <w:rPr>
          <w:rFonts w:eastAsia="Times New Roman" w:cstheme="minorHAnsi"/>
          <w:sz w:val="24"/>
          <w:szCs w:val="24"/>
        </w:rPr>
        <w:lastRenderedPageBreak/>
        <w:t>Pirkimo modelis, kai</w:t>
      </w:r>
      <w:r w:rsidR="00373174" w:rsidRPr="008A486E">
        <w:rPr>
          <w:rFonts w:eastAsia="Times New Roman" w:cstheme="minorHAnsi"/>
          <w:sz w:val="24"/>
          <w:szCs w:val="24"/>
        </w:rPr>
        <w:t xml:space="preserve"> </w:t>
      </w:r>
      <w:r w:rsidR="005A6E6E" w:rsidRPr="008A486E">
        <w:rPr>
          <w:rFonts w:eastAsia="Times New Roman" w:cstheme="minorHAnsi"/>
          <w:sz w:val="24"/>
          <w:szCs w:val="24"/>
        </w:rPr>
        <w:t>siekiama įsigyti vientiso integruoto sprendimo paslaugą</w:t>
      </w:r>
      <w:r w:rsidR="0083245E" w:rsidRPr="008A486E">
        <w:rPr>
          <w:rFonts w:eastAsia="Times New Roman" w:cstheme="minorHAnsi"/>
          <w:sz w:val="24"/>
          <w:szCs w:val="24"/>
        </w:rPr>
        <w:t>,</w:t>
      </w:r>
      <w:r w:rsidR="005A6E6E" w:rsidRPr="008A486E">
        <w:rPr>
          <w:rFonts w:eastAsia="Times New Roman" w:cstheme="minorHAnsi"/>
          <w:sz w:val="24"/>
          <w:szCs w:val="24"/>
        </w:rPr>
        <w:t xml:space="preserve"> </w:t>
      </w:r>
      <w:r w:rsidR="00621DAA" w:rsidRPr="008A486E">
        <w:rPr>
          <w:rFonts w:eastAsia="Times New Roman" w:cstheme="minorHAnsi"/>
          <w:sz w:val="24"/>
          <w:szCs w:val="24"/>
        </w:rPr>
        <w:t>apjungia</w:t>
      </w:r>
      <w:r w:rsidR="005A6E6E" w:rsidRPr="008A486E">
        <w:rPr>
          <w:rFonts w:eastAsia="Times New Roman" w:cstheme="minorHAnsi"/>
          <w:sz w:val="24"/>
          <w:szCs w:val="24"/>
        </w:rPr>
        <w:t>nt</w:t>
      </w:r>
      <w:r w:rsidR="000A6FBE" w:rsidRPr="008A486E">
        <w:rPr>
          <w:rFonts w:eastAsia="Times New Roman" w:cstheme="minorHAnsi"/>
          <w:sz w:val="24"/>
          <w:szCs w:val="24"/>
        </w:rPr>
        <w:t xml:space="preserve"> visiškai skirtingas </w:t>
      </w:r>
      <w:r>
        <w:rPr>
          <w:rFonts w:eastAsia="Times New Roman" w:cstheme="minorHAnsi"/>
          <w:sz w:val="24"/>
          <w:szCs w:val="24"/>
        </w:rPr>
        <w:t xml:space="preserve">objekto </w:t>
      </w:r>
      <w:r w:rsidR="000A6FBE" w:rsidRPr="008A486E">
        <w:rPr>
          <w:rFonts w:eastAsia="Times New Roman" w:cstheme="minorHAnsi"/>
          <w:sz w:val="24"/>
          <w:szCs w:val="24"/>
        </w:rPr>
        <w:t>dalis, apimančias</w:t>
      </w:r>
      <w:r w:rsidR="00621DAA" w:rsidRPr="008A486E">
        <w:rPr>
          <w:rFonts w:eastAsia="Times New Roman" w:cstheme="minorHAnsi"/>
          <w:sz w:val="24"/>
          <w:szCs w:val="24"/>
        </w:rPr>
        <w:t xml:space="preserve"> </w:t>
      </w:r>
      <w:r w:rsidR="000C3BC1" w:rsidRPr="008A486E">
        <w:rPr>
          <w:rFonts w:eastAsia="Times New Roman" w:cstheme="minorHAnsi"/>
          <w:sz w:val="24"/>
          <w:szCs w:val="24"/>
        </w:rPr>
        <w:t>techninės įrangos nuom</w:t>
      </w:r>
      <w:r w:rsidR="000A6FBE" w:rsidRPr="008A486E">
        <w:rPr>
          <w:rFonts w:eastAsia="Times New Roman" w:cstheme="minorHAnsi"/>
          <w:sz w:val="24"/>
          <w:szCs w:val="24"/>
        </w:rPr>
        <w:t>ą</w:t>
      </w:r>
      <w:r w:rsidR="000C3BC1" w:rsidRPr="008A486E">
        <w:rPr>
          <w:rFonts w:eastAsia="Times New Roman" w:cstheme="minorHAnsi"/>
          <w:sz w:val="24"/>
          <w:szCs w:val="24"/>
        </w:rPr>
        <w:t xml:space="preserve"> ir paslaug</w:t>
      </w:r>
      <w:r w:rsidR="000A6FBE" w:rsidRPr="008A486E">
        <w:rPr>
          <w:rFonts w:eastAsia="Times New Roman" w:cstheme="minorHAnsi"/>
          <w:sz w:val="24"/>
          <w:szCs w:val="24"/>
        </w:rPr>
        <w:t>a</w:t>
      </w:r>
      <w:r w:rsidR="0038308B" w:rsidRPr="008A486E">
        <w:rPr>
          <w:rFonts w:eastAsia="Times New Roman" w:cstheme="minorHAnsi"/>
          <w:sz w:val="24"/>
          <w:szCs w:val="24"/>
        </w:rPr>
        <w:t>s</w:t>
      </w:r>
      <w:r w:rsidR="000C3BC1" w:rsidRPr="008A486E">
        <w:rPr>
          <w:rFonts w:eastAsia="Times New Roman" w:cstheme="minorHAnsi"/>
          <w:sz w:val="24"/>
          <w:szCs w:val="24"/>
        </w:rPr>
        <w:t>,</w:t>
      </w:r>
      <w:r w:rsidR="0038308B" w:rsidRPr="008A486E">
        <w:rPr>
          <w:rFonts w:eastAsia="Times New Roman" w:cstheme="minorHAnsi"/>
          <w:sz w:val="24"/>
          <w:szCs w:val="24"/>
        </w:rPr>
        <w:t xml:space="preserve"> </w:t>
      </w:r>
      <w:r w:rsidR="000C3BC1" w:rsidRPr="008A486E">
        <w:rPr>
          <w:rFonts w:eastAsia="Times New Roman" w:cstheme="minorHAnsi"/>
          <w:sz w:val="24"/>
          <w:szCs w:val="24"/>
        </w:rPr>
        <w:t>susijusi</w:t>
      </w:r>
      <w:r w:rsidR="000A6FBE" w:rsidRPr="008A486E">
        <w:rPr>
          <w:rFonts w:eastAsia="Times New Roman" w:cstheme="minorHAnsi"/>
          <w:sz w:val="24"/>
          <w:szCs w:val="24"/>
        </w:rPr>
        <w:t>a</w:t>
      </w:r>
      <w:r w:rsidR="000C3BC1" w:rsidRPr="008A486E">
        <w:rPr>
          <w:rFonts w:eastAsia="Times New Roman" w:cstheme="minorHAnsi"/>
          <w:sz w:val="24"/>
          <w:szCs w:val="24"/>
        </w:rPr>
        <w:t>s su technine įranga</w:t>
      </w:r>
      <w:r w:rsidR="0038308B" w:rsidRPr="008A486E">
        <w:rPr>
          <w:rFonts w:eastAsia="Times New Roman" w:cstheme="minorHAnsi"/>
          <w:sz w:val="24"/>
          <w:szCs w:val="24"/>
        </w:rPr>
        <w:t xml:space="preserve">, </w:t>
      </w:r>
      <w:r w:rsidR="001D5A70" w:rsidRPr="008A486E">
        <w:rPr>
          <w:rFonts w:eastAsia="Times New Roman" w:cstheme="minorHAnsi"/>
          <w:sz w:val="24"/>
          <w:szCs w:val="24"/>
        </w:rPr>
        <w:t>„</w:t>
      </w:r>
      <w:proofErr w:type="spellStart"/>
      <w:r w:rsidR="001D5A70" w:rsidRPr="008A486E">
        <w:rPr>
          <w:rFonts w:eastAsia="Times New Roman" w:cstheme="minorHAnsi"/>
          <w:sz w:val="24"/>
          <w:szCs w:val="24"/>
        </w:rPr>
        <w:t>Oracle</w:t>
      </w:r>
      <w:proofErr w:type="spellEnd"/>
      <w:r w:rsidR="001D5A70" w:rsidRPr="008A486E">
        <w:rPr>
          <w:rFonts w:eastAsia="Times New Roman" w:cstheme="minorHAnsi"/>
          <w:sz w:val="24"/>
          <w:szCs w:val="24"/>
        </w:rPr>
        <w:t>“ programinės įrangos licencijų įsigijim</w:t>
      </w:r>
      <w:r w:rsidR="000A6FBE" w:rsidRPr="008A486E">
        <w:rPr>
          <w:rFonts w:eastAsia="Times New Roman" w:cstheme="minorHAnsi"/>
          <w:sz w:val="24"/>
          <w:szCs w:val="24"/>
        </w:rPr>
        <w:t>ą</w:t>
      </w:r>
      <w:r w:rsidR="005A6E6E" w:rsidRPr="008A486E">
        <w:rPr>
          <w:rFonts w:eastAsia="Times New Roman" w:cstheme="minorHAnsi"/>
          <w:sz w:val="24"/>
          <w:szCs w:val="24"/>
        </w:rPr>
        <w:t xml:space="preserve"> ir paslaug</w:t>
      </w:r>
      <w:r w:rsidR="000A6FBE" w:rsidRPr="008A486E">
        <w:rPr>
          <w:rFonts w:eastAsia="Times New Roman" w:cstheme="minorHAnsi"/>
          <w:sz w:val="24"/>
          <w:szCs w:val="24"/>
        </w:rPr>
        <w:t>a</w:t>
      </w:r>
      <w:r w:rsidR="005A6E6E" w:rsidRPr="008A486E">
        <w:rPr>
          <w:rFonts w:eastAsia="Times New Roman" w:cstheme="minorHAnsi"/>
          <w:sz w:val="24"/>
          <w:szCs w:val="24"/>
        </w:rPr>
        <w:t>s, susijusi</w:t>
      </w:r>
      <w:r w:rsidR="000A6FBE" w:rsidRPr="008A486E">
        <w:rPr>
          <w:rFonts w:eastAsia="Times New Roman" w:cstheme="minorHAnsi"/>
          <w:sz w:val="24"/>
          <w:szCs w:val="24"/>
        </w:rPr>
        <w:t>a</w:t>
      </w:r>
      <w:r w:rsidR="005A6E6E" w:rsidRPr="008A486E">
        <w:rPr>
          <w:rFonts w:eastAsia="Times New Roman" w:cstheme="minorHAnsi"/>
          <w:sz w:val="24"/>
          <w:szCs w:val="24"/>
        </w:rPr>
        <w:t>s su „</w:t>
      </w:r>
      <w:proofErr w:type="spellStart"/>
      <w:r w:rsidR="005A6E6E" w:rsidRPr="008A486E">
        <w:rPr>
          <w:rFonts w:eastAsia="Times New Roman" w:cstheme="minorHAnsi"/>
          <w:sz w:val="24"/>
          <w:szCs w:val="24"/>
        </w:rPr>
        <w:t>Oracle</w:t>
      </w:r>
      <w:proofErr w:type="spellEnd"/>
      <w:r w:rsidR="005A6E6E" w:rsidRPr="008A486E">
        <w:rPr>
          <w:rFonts w:eastAsia="Times New Roman" w:cstheme="minorHAnsi"/>
          <w:sz w:val="24"/>
          <w:szCs w:val="24"/>
        </w:rPr>
        <w:t>“ programine įranga,</w:t>
      </w:r>
      <w:r w:rsidR="001D5A70" w:rsidRPr="008A486E">
        <w:rPr>
          <w:rFonts w:eastAsia="Times New Roman" w:cstheme="minorHAnsi"/>
          <w:sz w:val="24"/>
          <w:szCs w:val="24"/>
        </w:rPr>
        <w:t xml:space="preserve"> </w:t>
      </w:r>
      <w:r>
        <w:rPr>
          <w:rFonts w:eastAsia="Times New Roman" w:cstheme="minorHAnsi"/>
          <w:sz w:val="24"/>
          <w:szCs w:val="24"/>
        </w:rPr>
        <w:t xml:space="preserve">neįrodo, kad toks būdas yra </w:t>
      </w:r>
      <w:r w:rsidR="00345FA2" w:rsidRPr="008A486E">
        <w:rPr>
          <w:rFonts w:eastAsia="Times New Roman" w:cstheme="minorHAnsi"/>
          <w:sz w:val="24"/>
          <w:szCs w:val="24"/>
        </w:rPr>
        <w:t>vienintelis</w:t>
      </w:r>
      <w:r w:rsidR="00C11264" w:rsidRPr="008A486E">
        <w:rPr>
          <w:rFonts w:eastAsia="Times New Roman" w:cstheme="minorHAnsi"/>
          <w:sz w:val="24"/>
          <w:szCs w:val="24"/>
        </w:rPr>
        <w:t xml:space="preserve">, </w:t>
      </w:r>
      <w:r w:rsidR="00932AEB" w:rsidRPr="008A486E">
        <w:rPr>
          <w:rFonts w:eastAsia="Times New Roman" w:cstheme="minorHAnsi"/>
          <w:sz w:val="24"/>
          <w:szCs w:val="24"/>
        </w:rPr>
        <w:t xml:space="preserve">kuris </w:t>
      </w:r>
      <w:r w:rsidR="0087678B" w:rsidRPr="008A486E">
        <w:rPr>
          <w:rFonts w:eastAsia="Times New Roman" w:cstheme="minorHAnsi"/>
          <w:sz w:val="24"/>
          <w:szCs w:val="24"/>
        </w:rPr>
        <w:t xml:space="preserve">tinkamai </w:t>
      </w:r>
      <w:r w:rsidR="00345FA2" w:rsidRPr="008A486E">
        <w:rPr>
          <w:rFonts w:eastAsia="Times New Roman" w:cstheme="minorHAnsi"/>
          <w:sz w:val="24"/>
          <w:szCs w:val="24"/>
        </w:rPr>
        <w:t>užtikri</w:t>
      </w:r>
      <w:r w:rsidR="00C11264" w:rsidRPr="008A486E">
        <w:rPr>
          <w:rFonts w:eastAsia="Times New Roman" w:cstheme="minorHAnsi"/>
          <w:sz w:val="24"/>
          <w:szCs w:val="24"/>
        </w:rPr>
        <w:t>nt</w:t>
      </w:r>
      <w:r w:rsidR="00932AEB" w:rsidRPr="008A486E">
        <w:rPr>
          <w:rFonts w:eastAsia="Times New Roman" w:cstheme="minorHAnsi"/>
          <w:sz w:val="24"/>
          <w:szCs w:val="24"/>
        </w:rPr>
        <w:t>ų</w:t>
      </w:r>
      <w:r w:rsidR="005946B7" w:rsidRPr="008A486E">
        <w:rPr>
          <w:rFonts w:eastAsia="Times New Roman" w:cstheme="minorHAnsi"/>
          <w:sz w:val="24"/>
          <w:szCs w:val="24"/>
        </w:rPr>
        <w:t xml:space="preserve"> </w:t>
      </w:r>
      <w:r w:rsidR="00345FA2" w:rsidRPr="008A486E">
        <w:rPr>
          <w:rFonts w:eastAsia="Times New Roman" w:cstheme="minorHAnsi"/>
          <w:sz w:val="24"/>
          <w:szCs w:val="24"/>
        </w:rPr>
        <w:t xml:space="preserve">Perkančiosios organizacijos </w:t>
      </w:r>
      <w:r w:rsidR="00BA639C" w:rsidRPr="008A486E">
        <w:rPr>
          <w:rFonts w:eastAsia="Times New Roman" w:cstheme="minorHAnsi"/>
          <w:sz w:val="24"/>
          <w:szCs w:val="24"/>
        </w:rPr>
        <w:t>poreikius</w:t>
      </w:r>
      <w:r>
        <w:rPr>
          <w:rFonts w:eastAsia="Times New Roman" w:cstheme="minorHAnsi"/>
          <w:sz w:val="24"/>
          <w:szCs w:val="24"/>
        </w:rPr>
        <w:t xml:space="preserve"> ir leistų pasiekti Pirkimo tikslą</w:t>
      </w:r>
      <w:r w:rsidR="00BA639C" w:rsidRPr="008A486E">
        <w:rPr>
          <w:rFonts w:eastAsia="Times New Roman" w:cstheme="minorHAnsi"/>
          <w:sz w:val="24"/>
          <w:szCs w:val="24"/>
        </w:rPr>
        <w:t>.</w:t>
      </w:r>
    </w:p>
    <w:p w14:paraId="0F2E7D6A" w14:textId="72371148" w:rsidR="00D01772" w:rsidRPr="008A486E" w:rsidRDefault="00D01772" w:rsidP="003F0CDD">
      <w:pPr>
        <w:tabs>
          <w:tab w:val="left" w:pos="1134"/>
        </w:tabs>
        <w:spacing w:after="0"/>
        <w:ind w:firstLine="567"/>
        <w:contextualSpacing/>
        <w:rPr>
          <w:rFonts w:eastAsia="Times New Roman" w:cstheme="minorHAnsi"/>
          <w:sz w:val="24"/>
          <w:szCs w:val="24"/>
        </w:rPr>
      </w:pPr>
      <w:r w:rsidRPr="008A486E">
        <w:rPr>
          <w:rFonts w:eastAsia="Times New Roman" w:cstheme="minorHAnsi"/>
          <w:sz w:val="24"/>
          <w:szCs w:val="24"/>
        </w:rPr>
        <w:t xml:space="preserve">Nagrinėjamu atveju, </w:t>
      </w:r>
      <w:r w:rsidR="005E008B">
        <w:rPr>
          <w:rFonts w:eastAsia="Times New Roman" w:cstheme="minorHAnsi"/>
          <w:sz w:val="24"/>
          <w:szCs w:val="24"/>
        </w:rPr>
        <w:t xml:space="preserve">pati </w:t>
      </w:r>
      <w:r w:rsidRPr="008A486E">
        <w:rPr>
          <w:rFonts w:eastAsia="Times New Roman" w:cstheme="minorHAnsi"/>
          <w:sz w:val="24"/>
          <w:szCs w:val="24"/>
        </w:rPr>
        <w:t xml:space="preserve">Perkančioji organizacija prašyme nurodė, kad </w:t>
      </w:r>
      <w:r w:rsidR="008B1BEA">
        <w:rPr>
          <w:rFonts w:eastAsia="Times New Roman" w:cstheme="minorHAnsi"/>
          <w:sz w:val="24"/>
          <w:szCs w:val="24"/>
        </w:rPr>
        <w:t>į neskelbiamas derybas planuoja kviesti net kelis</w:t>
      </w:r>
      <w:r w:rsidRPr="008A486E">
        <w:rPr>
          <w:rFonts w:eastAsia="Times New Roman" w:cstheme="minorHAnsi"/>
          <w:sz w:val="24"/>
          <w:szCs w:val="24"/>
        </w:rPr>
        <w:t xml:space="preserve"> gamintojo „</w:t>
      </w:r>
      <w:proofErr w:type="spellStart"/>
      <w:r w:rsidRPr="008A486E">
        <w:rPr>
          <w:rFonts w:eastAsia="Times New Roman" w:cstheme="minorHAnsi"/>
          <w:sz w:val="24"/>
          <w:szCs w:val="24"/>
        </w:rPr>
        <w:t>Oracle</w:t>
      </w:r>
      <w:proofErr w:type="spellEnd"/>
      <w:r w:rsidRPr="008A486E">
        <w:rPr>
          <w:rFonts w:eastAsia="Times New Roman" w:cstheme="minorHAnsi"/>
          <w:sz w:val="24"/>
          <w:szCs w:val="24"/>
        </w:rPr>
        <w:t>“ atstovus – AB „Telia Lietuva“, UAB „</w:t>
      </w:r>
      <w:proofErr w:type="spellStart"/>
      <w:r w:rsidRPr="008A486E">
        <w:rPr>
          <w:rFonts w:eastAsia="Times New Roman" w:cstheme="minorHAnsi"/>
          <w:sz w:val="24"/>
          <w:szCs w:val="24"/>
        </w:rPr>
        <w:t>Novian</w:t>
      </w:r>
      <w:proofErr w:type="spellEnd"/>
      <w:r w:rsidRPr="008A486E">
        <w:rPr>
          <w:rFonts w:eastAsia="Times New Roman" w:cstheme="minorHAnsi"/>
          <w:sz w:val="24"/>
          <w:szCs w:val="24"/>
        </w:rPr>
        <w:t xml:space="preserve"> Technologies“, </w:t>
      </w:r>
      <w:proofErr w:type="spellStart"/>
      <w:r w:rsidRPr="008A486E">
        <w:rPr>
          <w:rFonts w:eastAsia="Times New Roman" w:cstheme="minorHAnsi"/>
          <w:sz w:val="24"/>
          <w:szCs w:val="24"/>
        </w:rPr>
        <w:t>Oracle</w:t>
      </w:r>
      <w:proofErr w:type="spellEnd"/>
      <w:r w:rsidRPr="008A486E">
        <w:rPr>
          <w:rFonts w:eastAsia="Times New Roman" w:cstheme="minorHAnsi"/>
          <w:sz w:val="24"/>
          <w:szCs w:val="24"/>
        </w:rPr>
        <w:t xml:space="preserve"> </w:t>
      </w:r>
      <w:proofErr w:type="spellStart"/>
      <w:r w:rsidRPr="008A486E">
        <w:rPr>
          <w:rFonts w:eastAsia="Times New Roman" w:cstheme="minorHAnsi"/>
          <w:sz w:val="24"/>
          <w:szCs w:val="24"/>
        </w:rPr>
        <w:t>East</w:t>
      </w:r>
      <w:proofErr w:type="spellEnd"/>
      <w:r w:rsidRPr="008A486E">
        <w:rPr>
          <w:rFonts w:eastAsia="Times New Roman" w:cstheme="minorHAnsi"/>
          <w:sz w:val="24"/>
          <w:szCs w:val="24"/>
        </w:rPr>
        <w:t xml:space="preserve"> </w:t>
      </w:r>
      <w:proofErr w:type="spellStart"/>
      <w:r w:rsidRPr="008A486E">
        <w:rPr>
          <w:rFonts w:eastAsia="Times New Roman" w:cstheme="minorHAnsi"/>
          <w:sz w:val="24"/>
          <w:szCs w:val="24"/>
        </w:rPr>
        <w:t>Central</w:t>
      </w:r>
      <w:proofErr w:type="spellEnd"/>
      <w:r w:rsidRPr="008A486E">
        <w:rPr>
          <w:rFonts w:eastAsia="Times New Roman" w:cstheme="minorHAnsi"/>
          <w:sz w:val="24"/>
          <w:szCs w:val="24"/>
        </w:rPr>
        <w:t xml:space="preserve"> </w:t>
      </w:r>
      <w:proofErr w:type="spellStart"/>
      <w:r w:rsidRPr="008A486E">
        <w:rPr>
          <w:rFonts w:eastAsia="Times New Roman" w:cstheme="minorHAnsi"/>
          <w:sz w:val="24"/>
          <w:szCs w:val="24"/>
        </w:rPr>
        <w:t>Europe</w:t>
      </w:r>
      <w:proofErr w:type="spellEnd"/>
      <w:r w:rsidRPr="008A486E">
        <w:rPr>
          <w:rFonts w:eastAsia="Times New Roman" w:cstheme="minorHAnsi"/>
          <w:sz w:val="24"/>
          <w:szCs w:val="24"/>
        </w:rPr>
        <w:t xml:space="preserve"> </w:t>
      </w:r>
      <w:proofErr w:type="spellStart"/>
      <w:r w:rsidRPr="008A486E">
        <w:rPr>
          <w:rFonts w:eastAsia="Times New Roman" w:cstheme="minorHAnsi"/>
          <w:sz w:val="24"/>
          <w:szCs w:val="24"/>
        </w:rPr>
        <w:t>Limited</w:t>
      </w:r>
      <w:proofErr w:type="spellEnd"/>
      <w:r w:rsidRPr="008A486E">
        <w:rPr>
          <w:rFonts w:eastAsia="Times New Roman" w:cstheme="minorHAnsi"/>
          <w:sz w:val="24"/>
          <w:szCs w:val="24"/>
        </w:rPr>
        <w:t xml:space="preserve"> filial</w:t>
      </w:r>
      <w:r w:rsidR="0086747C" w:rsidRPr="008A486E">
        <w:rPr>
          <w:rFonts w:eastAsia="Times New Roman" w:cstheme="minorHAnsi"/>
          <w:sz w:val="24"/>
          <w:szCs w:val="24"/>
        </w:rPr>
        <w:t>ą</w:t>
      </w:r>
      <w:r w:rsidRPr="008A486E">
        <w:rPr>
          <w:rFonts w:eastAsia="Times New Roman" w:cstheme="minorHAnsi"/>
          <w:sz w:val="24"/>
          <w:szCs w:val="24"/>
        </w:rPr>
        <w:t>, t. y.</w:t>
      </w:r>
      <w:r w:rsidR="00C7262A">
        <w:rPr>
          <w:rFonts w:eastAsia="Times New Roman" w:cstheme="minorHAnsi"/>
          <w:sz w:val="24"/>
          <w:szCs w:val="24"/>
        </w:rPr>
        <w:t>,</w:t>
      </w:r>
      <w:r w:rsidRPr="008A486E">
        <w:rPr>
          <w:rFonts w:eastAsia="Times New Roman" w:cstheme="minorHAnsi"/>
          <w:sz w:val="24"/>
          <w:szCs w:val="24"/>
        </w:rPr>
        <w:t xml:space="preserve"> </w:t>
      </w:r>
      <w:r w:rsidR="00C558AC" w:rsidRPr="008A486E">
        <w:rPr>
          <w:rFonts w:eastAsia="Times New Roman" w:cstheme="minorHAnsi"/>
          <w:sz w:val="24"/>
          <w:szCs w:val="24"/>
        </w:rPr>
        <w:t>Perkančioji organizacija</w:t>
      </w:r>
      <w:r w:rsidR="00C7262A">
        <w:rPr>
          <w:rFonts w:eastAsia="Times New Roman" w:cstheme="minorHAnsi"/>
          <w:sz w:val="24"/>
          <w:szCs w:val="24"/>
        </w:rPr>
        <w:t>,</w:t>
      </w:r>
      <w:r w:rsidR="00C558AC" w:rsidRPr="008A486E">
        <w:rPr>
          <w:rFonts w:eastAsia="Times New Roman" w:cstheme="minorHAnsi"/>
          <w:sz w:val="24"/>
          <w:szCs w:val="24"/>
        </w:rPr>
        <w:t xml:space="preserve"> </w:t>
      </w:r>
      <w:r w:rsidR="008B1BEA">
        <w:rPr>
          <w:rFonts w:eastAsia="Times New Roman" w:cstheme="minorHAnsi"/>
          <w:sz w:val="24"/>
          <w:szCs w:val="24"/>
        </w:rPr>
        <w:t>šiuo atveju</w:t>
      </w:r>
      <w:r w:rsidR="00C7262A">
        <w:rPr>
          <w:rFonts w:eastAsia="Times New Roman" w:cstheme="minorHAnsi"/>
          <w:sz w:val="24"/>
          <w:szCs w:val="24"/>
        </w:rPr>
        <w:t>,</w:t>
      </w:r>
      <w:r w:rsidR="008B1BEA">
        <w:rPr>
          <w:rFonts w:eastAsia="Times New Roman" w:cstheme="minorHAnsi"/>
          <w:sz w:val="24"/>
          <w:szCs w:val="24"/>
        </w:rPr>
        <w:t xml:space="preserve"> </w:t>
      </w:r>
      <w:r w:rsidRPr="008A486E">
        <w:rPr>
          <w:rFonts w:eastAsia="Times New Roman" w:cstheme="minorHAnsi"/>
          <w:sz w:val="24"/>
          <w:szCs w:val="24"/>
        </w:rPr>
        <w:t>kreip</w:t>
      </w:r>
      <w:r w:rsidR="00DF39B8">
        <w:rPr>
          <w:rFonts w:eastAsia="Times New Roman" w:cstheme="minorHAnsi"/>
          <w:sz w:val="24"/>
          <w:szCs w:val="24"/>
        </w:rPr>
        <w:t>s</w:t>
      </w:r>
      <w:r w:rsidRPr="008A486E">
        <w:rPr>
          <w:rFonts w:eastAsia="Times New Roman" w:cstheme="minorHAnsi"/>
          <w:sz w:val="24"/>
          <w:szCs w:val="24"/>
        </w:rPr>
        <w:t xml:space="preserve">is ne į vieną konkretų </w:t>
      </w:r>
      <w:r w:rsidR="008B1BEA">
        <w:rPr>
          <w:rFonts w:eastAsia="Times New Roman" w:cstheme="minorHAnsi"/>
          <w:sz w:val="24"/>
          <w:szCs w:val="24"/>
        </w:rPr>
        <w:t>rinkoje veikiant</w:t>
      </w:r>
      <w:r w:rsidR="0092418E">
        <w:rPr>
          <w:rFonts w:eastAsia="Times New Roman" w:cstheme="minorHAnsi"/>
          <w:sz w:val="24"/>
          <w:szCs w:val="24"/>
        </w:rPr>
        <w:t>į</w:t>
      </w:r>
      <w:r w:rsidR="008B1BEA">
        <w:rPr>
          <w:rFonts w:eastAsia="Times New Roman" w:cstheme="minorHAnsi"/>
          <w:sz w:val="24"/>
          <w:szCs w:val="24"/>
        </w:rPr>
        <w:t xml:space="preserve"> </w:t>
      </w:r>
      <w:r w:rsidR="00C7262A">
        <w:rPr>
          <w:rFonts w:eastAsia="Times New Roman" w:cstheme="minorHAnsi"/>
          <w:sz w:val="24"/>
          <w:szCs w:val="24"/>
        </w:rPr>
        <w:t>ir</w:t>
      </w:r>
      <w:r w:rsidR="008B1BEA">
        <w:rPr>
          <w:rFonts w:eastAsia="Times New Roman" w:cstheme="minorHAnsi"/>
          <w:sz w:val="24"/>
          <w:szCs w:val="24"/>
        </w:rPr>
        <w:t xml:space="preserve"> Pirkimo objektą galintį pasiūlyti tiekėją, </w:t>
      </w:r>
      <w:r w:rsidRPr="008A486E">
        <w:rPr>
          <w:rFonts w:eastAsia="Times New Roman" w:cstheme="minorHAnsi"/>
          <w:sz w:val="24"/>
          <w:szCs w:val="24"/>
        </w:rPr>
        <w:t>bet į tris</w:t>
      </w:r>
      <w:r w:rsidR="008B1BEA">
        <w:rPr>
          <w:rFonts w:eastAsia="Times New Roman" w:cstheme="minorHAnsi"/>
          <w:sz w:val="24"/>
          <w:szCs w:val="24"/>
        </w:rPr>
        <w:t xml:space="preserve"> tiekėjus</w:t>
      </w:r>
      <w:r w:rsidRPr="008A486E">
        <w:rPr>
          <w:rFonts w:eastAsia="Times New Roman" w:cstheme="minorHAnsi"/>
          <w:sz w:val="24"/>
          <w:szCs w:val="24"/>
        </w:rPr>
        <w:t>.</w:t>
      </w:r>
    </w:p>
    <w:p w14:paraId="1903CA94" w14:textId="5BD5AD51" w:rsidR="0094631A" w:rsidRPr="008A486E" w:rsidRDefault="00D01772" w:rsidP="003F0CDD">
      <w:pPr>
        <w:tabs>
          <w:tab w:val="left" w:pos="1134"/>
        </w:tabs>
        <w:spacing w:after="0"/>
        <w:ind w:firstLine="567"/>
        <w:contextualSpacing/>
        <w:rPr>
          <w:rFonts w:eastAsia="Times New Roman" w:cstheme="minorHAnsi"/>
          <w:sz w:val="24"/>
          <w:szCs w:val="24"/>
        </w:rPr>
      </w:pPr>
      <w:r w:rsidRPr="008A486E">
        <w:rPr>
          <w:rFonts w:eastAsia="Times New Roman" w:cstheme="minorHAnsi"/>
          <w:sz w:val="24"/>
          <w:szCs w:val="24"/>
        </w:rPr>
        <w:t xml:space="preserve">Perkančioji organizacija, </w:t>
      </w:r>
      <w:r w:rsidR="008555B9" w:rsidRPr="008A486E">
        <w:rPr>
          <w:rFonts w:eastAsia="Times New Roman" w:cstheme="minorHAnsi"/>
          <w:sz w:val="24"/>
          <w:szCs w:val="24"/>
        </w:rPr>
        <w:t>atsakydama į Tarnybos prašymą paaiškinti, dėl kokių priežasčių bus kreipiamasi į tris skirting</w:t>
      </w:r>
      <w:r w:rsidR="00AF7636" w:rsidRPr="008A486E">
        <w:rPr>
          <w:rFonts w:eastAsia="Times New Roman" w:cstheme="minorHAnsi"/>
          <w:sz w:val="24"/>
          <w:szCs w:val="24"/>
        </w:rPr>
        <w:t>us tiekėjus</w:t>
      </w:r>
      <w:r w:rsidR="00C92072" w:rsidRPr="008A486E">
        <w:rPr>
          <w:rFonts w:eastAsia="Times New Roman" w:cstheme="minorHAnsi"/>
          <w:sz w:val="24"/>
          <w:szCs w:val="24"/>
        </w:rPr>
        <w:t>, nurodė</w:t>
      </w:r>
      <w:r w:rsidRPr="008A486E">
        <w:rPr>
          <w:rStyle w:val="FootnoteReference"/>
          <w:rFonts w:eastAsia="Times New Roman" w:cstheme="minorHAnsi"/>
          <w:sz w:val="24"/>
          <w:szCs w:val="24"/>
        </w:rPr>
        <w:footnoteReference w:id="16"/>
      </w:r>
      <w:r w:rsidRPr="008A486E">
        <w:rPr>
          <w:rFonts w:eastAsia="Times New Roman" w:cstheme="minorHAnsi"/>
          <w:sz w:val="24"/>
          <w:szCs w:val="24"/>
        </w:rPr>
        <w:t xml:space="preserve">, kad buvo </w:t>
      </w:r>
      <w:r w:rsidR="0084234C" w:rsidRPr="008A486E">
        <w:rPr>
          <w:rFonts w:eastAsia="Times New Roman" w:cstheme="minorHAnsi"/>
          <w:sz w:val="24"/>
          <w:szCs w:val="24"/>
        </w:rPr>
        <w:t xml:space="preserve">vykdyta </w:t>
      </w:r>
      <w:r w:rsidRPr="008A486E">
        <w:rPr>
          <w:rFonts w:eastAsia="Times New Roman" w:cstheme="minorHAnsi"/>
          <w:sz w:val="24"/>
          <w:szCs w:val="24"/>
        </w:rPr>
        <w:t>rinkos konsultacija</w:t>
      </w:r>
      <w:r w:rsidRPr="008A486E">
        <w:rPr>
          <w:rStyle w:val="FootnoteReference"/>
          <w:rFonts w:eastAsia="Times New Roman" w:cstheme="minorHAnsi"/>
          <w:sz w:val="24"/>
          <w:szCs w:val="24"/>
        </w:rPr>
        <w:footnoteReference w:id="17"/>
      </w:r>
      <w:r w:rsidRPr="008A486E">
        <w:rPr>
          <w:rFonts w:eastAsia="Times New Roman" w:cstheme="minorHAnsi"/>
          <w:sz w:val="24"/>
          <w:szCs w:val="24"/>
        </w:rPr>
        <w:t>, kurios metu</w:t>
      </w:r>
      <w:r w:rsidR="0084234C" w:rsidRPr="008A486E">
        <w:rPr>
          <w:rFonts w:eastAsia="Times New Roman" w:cstheme="minorHAnsi"/>
          <w:sz w:val="24"/>
          <w:szCs w:val="24"/>
        </w:rPr>
        <w:t>,</w:t>
      </w:r>
      <w:r w:rsidRPr="008A486E">
        <w:rPr>
          <w:rFonts w:eastAsia="Times New Roman" w:cstheme="minorHAnsi"/>
          <w:sz w:val="24"/>
          <w:szCs w:val="24"/>
        </w:rPr>
        <w:t xml:space="preserve"> minėt</w:t>
      </w:r>
      <w:r w:rsidR="0078090E" w:rsidRPr="008A486E">
        <w:rPr>
          <w:rFonts w:eastAsia="Times New Roman" w:cstheme="minorHAnsi"/>
          <w:sz w:val="24"/>
          <w:szCs w:val="24"/>
        </w:rPr>
        <w:t>i tiekėjai</w:t>
      </w:r>
      <w:r w:rsidRPr="008A486E">
        <w:rPr>
          <w:rFonts w:eastAsia="Times New Roman" w:cstheme="minorHAnsi"/>
          <w:sz w:val="24"/>
          <w:szCs w:val="24"/>
        </w:rPr>
        <w:t xml:space="preserve"> (AB „Telia Lietuva“, UAB „</w:t>
      </w:r>
      <w:proofErr w:type="spellStart"/>
      <w:r w:rsidRPr="008A486E">
        <w:rPr>
          <w:rFonts w:eastAsia="Times New Roman" w:cstheme="minorHAnsi"/>
          <w:sz w:val="24"/>
          <w:szCs w:val="24"/>
        </w:rPr>
        <w:t>Novian</w:t>
      </w:r>
      <w:proofErr w:type="spellEnd"/>
      <w:r w:rsidRPr="008A486E">
        <w:rPr>
          <w:rFonts w:eastAsia="Times New Roman" w:cstheme="minorHAnsi"/>
          <w:sz w:val="24"/>
          <w:szCs w:val="24"/>
        </w:rPr>
        <w:t xml:space="preserve"> Technologies“ ir </w:t>
      </w:r>
      <w:proofErr w:type="spellStart"/>
      <w:r w:rsidRPr="008A486E">
        <w:rPr>
          <w:rFonts w:eastAsia="Times New Roman" w:cstheme="minorHAnsi"/>
          <w:sz w:val="24"/>
          <w:szCs w:val="24"/>
        </w:rPr>
        <w:t>Oracle</w:t>
      </w:r>
      <w:proofErr w:type="spellEnd"/>
      <w:r w:rsidRPr="008A486E">
        <w:rPr>
          <w:rFonts w:eastAsia="Times New Roman" w:cstheme="minorHAnsi"/>
          <w:sz w:val="24"/>
          <w:szCs w:val="24"/>
        </w:rPr>
        <w:t xml:space="preserve"> </w:t>
      </w:r>
      <w:proofErr w:type="spellStart"/>
      <w:r w:rsidRPr="008A486E">
        <w:rPr>
          <w:rFonts w:eastAsia="Times New Roman" w:cstheme="minorHAnsi"/>
          <w:sz w:val="24"/>
          <w:szCs w:val="24"/>
        </w:rPr>
        <w:t>East</w:t>
      </w:r>
      <w:proofErr w:type="spellEnd"/>
      <w:r w:rsidRPr="008A486E">
        <w:rPr>
          <w:rFonts w:eastAsia="Times New Roman" w:cstheme="minorHAnsi"/>
          <w:sz w:val="24"/>
          <w:szCs w:val="24"/>
        </w:rPr>
        <w:t xml:space="preserve"> </w:t>
      </w:r>
      <w:proofErr w:type="spellStart"/>
      <w:r w:rsidRPr="008A486E">
        <w:rPr>
          <w:rFonts w:eastAsia="Times New Roman" w:cstheme="minorHAnsi"/>
          <w:sz w:val="24"/>
          <w:szCs w:val="24"/>
        </w:rPr>
        <w:t>Central</w:t>
      </w:r>
      <w:proofErr w:type="spellEnd"/>
      <w:r w:rsidRPr="008A486E">
        <w:rPr>
          <w:rFonts w:eastAsia="Times New Roman" w:cstheme="minorHAnsi"/>
          <w:sz w:val="24"/>
          <w:szCs w:val="24"/>
        </w:rPr>
        <w:t xml:space="preserve"> </w:t>
      </w:r>
      <w:proofErr w:type="spellStart"/>
      <w:r w:rsidRPr="008A486E">
        <w:rPr>
          <w:rFonts w:eastAsia="Times New Roman" w:cstheme="minorHAnsi"/>
          <w:sz w:val="24"/>
          <w:szCs w:val="24"/>
        </w:rPr>
        <w:t>Europe</w:t>
      </w:r>
      <w:proofErr w:type="spellEnd"/>
      <w:r w:rsidRPr="008A486E">
        <w:rPr>
          <w:rFonts w:eastAsia="Times New Roman" w:cstheme="minorHAnsi"/>
          <w:sz w:val="24"/>
          <w:szCs w:val="24"/>
        </w:rPr>
        <w:t xml:space="preserve"> </w:t>
      </w:r>
      <w:proofErr w:type="spellStart"/>
      <w:r w:rsidRPr="008A486E">
        <w:rPr>
          <w:rFonts w:eastAsia="Times New Roman" w:cstheme="minorHAnsi"/>
          <w:sz w:val="24"/>
          <w:szCs w:val="24"/>
        </w:rPr>
        <w:t>Limited</w:t>
      </w:r>
      <w:proofErr w:type="spellEnd"/>
      <w:r w:rsidR="003E5D75" w:rsidRPr="008A486E">
        <w:rPr>
          <w:rFonts w:eastAsia="Times New Roman" w:cstheme="minorHAnsi"/>
          <w:sz w:val="24"/>
          <w:szCs w:val="24"/>
        </w:rPr>
        <w:t xml:space="preserve"> filialas</w:t>
      </w:r>
      <w:r w:rsidRPr="008A486E">
        <w:rPr>
          <w:rFonts w:eastAsia="Times New Roman" w:cstheme="minorHAnsi"/>
          <w:sz w:val="24"/>
          <w:szCs w:val="24"/>
        </w:rPr>
        <w:t xml:space="preserve">) </w:t>
      </w:r>
      <w:r w:rsidR="00A0577A" w:rsidRPr="008A486E">
        <w:rPr>
          <w:rFonts w:eastAsia="Times New Roman" w:cstheme="minorHAnsi"/>
          <w:sz w:val="24"/>
          <w:szCs w:val="24"/>
        </w:rPr>
        <w:t>informavo</w:t>
      </w:r>
      <w:r w:rsidRPr="008A486E">
        <w:rPr>
          <w:rFonts w:eastAsia="Times New Roman" w:cstheme="minorHAnsi"/>
          <w:sz w:val="24"/>
          <w:szCs w:val="24"/>
        </w:rPr>
        <w:t>, kad gali parduoti Pirkimo techninėje specifikacijoje nurodytas paslaugas</w:t>
      </w:r>
      <w:r w:rsidR="008B1BEA">
        <w:rPr>
          <w:rFonts w:eastAsia="Times New Roman" w:cstheme="minorHAnsi"/>
          <w:sz w:val="24"/>
          <w:szCs w:val="24"/>
        </w:rPr>
        <w:t xml:space="preserve"> visa apimtimi</w:t>
      </w:r>
      <w:r w:rsidRPr="008A486E">
        <w:rPr>
          <w:rFonts w:eastAsia="Times New Roman" w:cstheme="minorHAnsi"/>
          <w:sz w:val="24"/>
          <w:szCs w:val="24"/>
        </w:rPr>
        <w:t xml:space="preserve">, </w:t>
      </w:r>
      <w:r w:rsidR="0022153E" w:rsidRPr="008A486E">
        <w:rPr>
          <w:rFonts w:eastAsia="Times New Roman" w:cstheme="minorHAnsi"/>
          <w:sz w:val="24"/>
          <w:szCs w:val="24"/>
        </w:rPr>
        <w:t>t</w:t>
      </w:r>
      <w:r w:rsidR="005C7CB4" w:rsidRPr="008A486E">
        <w:rPr>
          <w:rFonts w:eastAsia="Times New Roman" w:cstheme="minorHAnsi"/>
          <w:sz w:val="24"/>
          <w:szCs w:val="24"/>
        </w:rPr>
        <w:t xml:space="preserve">aip pat </w:t>
      </w:r>
      <w:r w:rsidR="00542C4F" w:rsidRPr="008A486E">
        <w:rPr>
          <w:rFonts w:eastAsia="Times New Roman" w:cstheme="minorHAnsi"/>
          <w:sz w:val="24"/>
          <w:szCs w:val="24"/>
        </w:rPr>
        <w:t>nurodė</w:t>
      </w:r>
      <w:r w:rsidR="005C7CB4" w:rsidRPr="008A486E">
        <w:rPr>
          <w:rFonts w:eastAsia="Times New Roman" w:cstheme="minorHAnsi"/>
          <w:sz w:val="24"/>
          <w:szCs w:val="24"/>
        </w:rPr>
        <w:t xml:space="preserve">, kad </w:t>
      </w:r>
      <w:r w:rsidR="009672DC" w:rsidRPr="008A486E">
        <w:rPr>
          <w:rFonts w:eastAsia="Times New Roman" w:cstheme="minorHAnsi"/>
          <w:sz w:val="24"/>
          <w:szCs w:val="24"/>
        </w:rPr>
        <w:t xml:space="preserve">įvykdžius Pirkimą, </w:t>
      </w:r>
      <w:r w:rsidR="005C7CB4" w:rsidRPr="008A486E">
        <w:rPr>
          <w:rFonts w:eastAsia="Times New Roman" w:cstheme="minorHAnsi"/>
          <w:sz w:val="24"/>
          <w:szCs w:val="24"/>
        </w:rPr>
        <w:t xml:space="preserve">planuojama sudaryti vieną sutartį su vienu tiekėju, kuris pasiūlys ekonomiškai naudingiausią ir visas </w:t>
      </w:r>
      <w:r w:rsidR="003652AD" w:rsidRPr="008A486E">
        <w:rPr>
          <w:rFonts w:eastAsia="Times New Roman" w:cstheme="minorHAnsi"/>
          <w:sz w:val="24"/>
          <w:szCs w:val="24"/>
        </w:rPr>
        <w:t>P</w:t>
      </w:r>
      <w:r w:rsidR="005C7CB4" w:rsidRPr="008A486E">
        <w:rPr>
          <w:rFonts w:eastAsia="Times New Roman" w:cstheme="minorHAnsi"/>
          <w:sz w:val="24"/>
          <w:szCs w:val="24"/>
        </w:rPr>
        <w:t>irkimo techninėje specifikacijoje nurodytas paslaugas apimantį pasiūlymą</w:t>
      </w:r>
      <w:r w:rsidR="003652AD" w:rsidRPr="008A486E">
        <w:rPr>
          <w:rFonts w:eastAsia="Times New Roman" w:cstheme="minorHAnsi"/>
          <w:sz w:val="24"/>
          <w:szCs w:val="24"/>
        </w:rPr>
        <w:t>.</w:t>
      </w:r>
    </w:p>
    <w:p w14:paraId="55AE57A4" w14:textId="6DB4FF74" w:rsidR="00EC295E" w:rsidRPr="008A486E" w:rsidRDefault="0094631A" w:rsidP="003F0CDD">
      <w:pPr>
        <w:tabs>
          <w:tab w:val="left" w:pos="1134"/>
        </w:tabs>
        <w:spacing w:after="0"/>
        <w:ind w:firstLine="567"/>
        <w:contextualSpacing/>
        <w:rPr>
          <w:rFonts w:eastAsia="Times New Roman" w:cstheme="minorHAnsi"/>
          <w:sz w:val="24"/>
          <w:szCs w:val="24"/>
        </w:rPr>
      </w:pPr>
      <w:r w:rsidRPr="008A486E">
        <w:rPr>
          <w:rFonts w:eastAsia="Times New Roman" w:cstheme="minorHAnsi"/>
          <w:sz w:val="24"/>
          <w:szCs w:val="24"/>
        </w:rPr>
        <w:t xml:space="preserve">Tarnyba atkreipia dėmesį, kad neskelbiamos derybos, </w:t>
      </w:r>
      <w:r w:rsidR="0098061A" w:rsidRPr="008A486E">
        <w:rPr>
          <w:rFonts w:eastAsia="Times New Roman" w:cstheme="minorHAnsi"/>
          <w:sz w:val="24"/>
          <w:szCs w:val="24"/>
        </w:rPr>
        <w:t>vadovaujantis</w:t>
      </w:r>
      <w:r w:rsidRPr="008A486E">
        <w:rPr>
          <w:rFonts w:eastAsia="Times New Roman" w:cstheme="minorHAnsi"/>
          <w:sz w:val="24"/>
          <w:szCs w:val="24"/>
        </w:rPr>
        <w:t xml:space="preserve"> Įstatymo 71 straipsnio 1 dalies 2 punkto b papunk</w:t>
      </w:r>
      <w:r w:rsidR="0098061A" w:rsidRPr="008A486E">
        <w:rPr>
          <w:rFonts w:eastAsia="Times New Roman" w:cstheme="minorHAnsi"/>
          <w:sz w:val="24"/>
          <w:szCs w:val="24"/>
        </w:rPr>
        <w:t>čiu</w:t>
      </w:r>
      <w:r w:rsidR="008E3698" w:rsidRPr="008A486E">
        <w:rPr>
          <w:rFonts w:eastAsia="Times New Roman" w:cstheme="minorHAnsi"/>
          <w:sz w:val="24"/>
          <w:szCs w:val="24"/>
        </w:rPr>
        <w:t>,</w:t>
      </w:r>
      <w:r w:rsidRPr="008A486E">
        <w:rPr>
          <w:rFonts w:eastAsia="Times New Roman" w:cstheme="minorHAnsi"/>
          <w:sz w:val="24"/>
          <w:szCs w:val="24"/>
        </w:rPr>
        <w:t xml:space="preserve"> </w:t>
      </w:r>
      <w:r w:rsidR="00A060C4" w:rsidRPr="008A486E">
        <w:rPr>
          <w:rFonts w:eastAsia="Times New Roman" w:cstheme="minorHAnsi"/>
          <w:sz w:val="24"/>
          <w:szCs w:val="24"/>
        </w:rPr>
        <w:t xml:space="preserve">gali būti vykdomos tik tuo atveju, kai išpildomos </w:t>
      </w:r>
      <w:r w:rsidR="008B1BEA">
        <w:rPr>
          <w:rFonts w:eastAsia="Times New Roman" w:cstheme="minorHAnsi"/>
          <w:sz w:val="24"/>
          <w:szCs w:val="24"/>
        </w:rPr>
        <w:t xml:space="preserve">visos </w:t>
      </w:r>
      <w:r w:rsidR="006D0835" w:rsidRPr="008A486E">
        <w:rPr>
          <w:rFonts w:eastAsia="Times New Roman" w:cstheme="minorHAnsi"/>
          <w:sz w:val="24"/>
          <w:szCs w:val="24"/>
        </w:rPr>
        <w:t>šiame</w:t>
      </w:r>
      <w:r w:rsidR="00A060C4" w:rsidRPr="008A486E">
        <w:rPr>
          <w:rFonts w:eastAsia="Times New Roman" w:cstheme="minorHAnsi"/>
          <w:sz w:val="24"/>
          <w:szCs w:val="24"/>
        </w:rPr>
        <w:t xml:space="preserve"> straipsnyje </w:t>
      </w:r>
      <w:r w:rsidR="00B376D1" w:rsidRPr="008A486E">
        <w:rPr>
          <w:rFonts w:eastAsia="Times New Roman" w:cstheme="minorHAnsi"/>
          <w:sz w:val="24"/>
          <w:szCs w:val="24"/>
        </w:rPr>
        <w:t xml:space="preserve">imperatyviai </w:t>
      </w:r>
      <w:r w:rsidR="00A060C4" w:rsidRPr="008A486E">
        <w:rPr>
          <w:rFonts w:eastAsia="Times New Roman" w:cstheme="minorHAnsi"/>
          <w:sz w:val="24"/>
          <w:szCs w:val="24"/>
        </w:rPr>
        <w:t>nustatytos sąlygos</w:t>
      </w:r>
      <w:r w:rsidR="00203A9D" w:rsidRPr="008A486E">
        <w:rPr>
          <w:rFonts w:eastAsia="Times New Roman" w:cstheme="minorHAnsi"/>
          <w:sz w:val="24"/>
          <w:szCs w:val="24"/>
        </w:rPr>
        <w:t>.</w:t>
      </w:r>
      <w:r w:rsidR="006D0835" w:rsidRPr="008A486E">
        <w:rPr>
          <w:rFonts w:eastAsia="Times New Roman" w:cstheme="minorHAnsi"/>
          <w:sz w:val="24"/>
          <w:szCs w:val="24"/>
        </w:rPr>
        <w:t xml:space="preserve"> Įstatymo 71 straipsnio 1 dalies 2 punkt</w:t>
      </w:r>
      <w:r w:rsidR="00012EDE" w:rsidRPr="008A486E">
        <w:rPr>
          <w:rFonts w:eastAsia="Times New Roman" w:cstheme="minorHAnsi"/>
          <w:sz w:val="24"/>
          <w:szCs w:val="24"/>
        </w:rPr>
        <w:t>o</w:t>
      </w:r>
      <w:r w:rsidR="006D0835" w:rsidRPr="008A486E">
        <w:rPr>
          <w:rFonts w:eastAsia="Times New Roman" w:cstheme="minorHAnsi"/>
          <w:sz w:val="24"/>
          <w:szCs w:val="24"/>
        </w:rPr>
        <w:t xml:space="preserve"> b papunktyje</w:t>
      </w:r>
      <w:r w:rsidR="00A576E5" w:rsidRPr="008A486E">
        <w:rPr>
          <w:rFonts w:eastAsia="Times New Roman" w:cstheme="minorHAnsi"/>
          <w:sz w:val="24"/>
          <w:szCs w:val="24"/>
        </w:rPr>
        <w:t>, kaip viena iš sąlygų,</w:t>
      </w:r>
      <w:r w:rsidR="006D0835" w:rsidRPr="008A486E">
        <w:rPr>
          <w:rFonts w:eastAsia="Times New Roman" w:cstheme="minorHAnsi"/>
          <w:sz w:val="24"/>
          <w:szCs w:val="24"/>
        </w:rPr>
        <w:t xml:space="preserve"> nustatyta, kad neskelbiamas </w:t>
      </w:r>
      <w:r w:rsidR="002D58F0" w:rsidRPr="008A486E">
        <w:rPr>
          <w:rFonts w:eastAsia="Times New Roman" w:cstheme="minorHAnsi"/>
          <w:sz w:val="24"/>
          <w:szCs w:val="24"/>
        </w:rPr>
        <w:t>derybos</w:t>
      </w:r>
      <w:r w:rsidR="006D0835" w:rsidRPr="008A486E">
        <w:rPr>
          <w:rFonts w:eastAsia="Times New Roman" w:cstheme="minorHAnsi"/>
          <w:sz w:val="24"/>
          <w:szCs w:val="24"/>
        </w:rPr>
        <w:t xml:space="preserve"> dėl </w:t>
      </w:r>
      <w:r w:rsidR="002D58F0" w:rsidRPr="008A486E">
        <w:rPr>
          <w:rFonts w:eastAsia="Times New Roman" w:cstheme="minorHAnsi"/>
          <w:sz w:val="24"/>
          <w:szCs w:val="24"/>
        </w:rPr>
        <w:t xml:space="preserve">egzistuojančių </w:t>
      </w:r>
      <w:r w:rsidR="006D0835" w:rsidRPr="008A486E">
        <w:rPr>
          <w:rFonts w:eastAsia="Times New Roman" w:cstheme="minorHAnsi"/>
          <w:sz w:val="24"/>
          <w:szCs w:val="24"/>
        </w:rPr>
        <w:t xml:space="preserve">techninių priežasčių gali būti </w:t>
      </w:r>
      <w:r w:rsidR="003E573D" w:rsidRPr="008A486E">
        <w:rPr>
          <w:rFonts w:eastAsia="Times New Roman" w:cstheme="minorHAnsi"/>
          <w:sz w:val="24"/>
          <w:szCs w:val="24"/>
        </w:rPr>
        <w:t>vykdomos</w:t>
      </w:r>
      <w:r w:rsidR="006D0835" w:rsidRPr="008A486E">
        <w:rPr>
          <w:rFonts w:eastAsia="Times New Roman" w:cstheme="minorHAnsi"/>
          <w:sz w:val="24"/>
          <w:szCs w:val="24"/>
        </w:rPr>
        <w:t xml:space="preserve"> tik tada, kai tik vienas tiekėjas gali pasiūlyti reikalingą prekę ar paslaugą</w:t>
      </w:r>
      <w:r w:rsidR="00CB7850" w:rsidRPr="008A486E">
        <w:rPr>
          <w:rFonts w:eastAsia="Times New Roman" w:cstheme="minorHAnsi"/>
          <w:sz w:val="24"/>
          <w:szCs w:val="24"/>
        </w:rPr>
        <w:t xml:space="preserve">, </w:t>
      </w:r>
      <w:r w:rsidR="00A060C4" w:rsidRPr="008A486E">
        <w:rPr>
          <w:rFonts w:eastAsia="Times New Roman" w:cstheme="minorHAnsi"/>
          <w:sz w:val="24"/>
          <w:szCs w:val="24"/>
        </w:rPr>
        <w:t xml:space="preserve">t. y., </w:t>
      </w:r>
      <w:r w:rsidRPr="008A486E">
        <w:rPr>
          <w:rFonts w:eastAsia="Times New Roman" w:cstheme="minorHAnsi"/>
          <w:sz w:val="24"/>
          <w:szCs w:val="24"/>
        </w:rPr>
        <w:t xml:space="preserve">dėl </w:t>
      </w:r>
      <w:r w:rsidRPr="008A486E">
        <w:rPr>
          <w:rFonts w:eastAsia="Times New Roman" w:cstheme="minorHAnsi"/>
          <w:b/>
          <w:bCs/>
          <w:sz w:val="24"/>
          <w:szCs w:val="24"/>
        </w:rPr>
        <w:t xml:space="preserve">objektyvių priežasčių </w:t>
      </w:r>
      <w:r w:rsidR="005E34DA" w:rsidRPr="008A486E">
        <w:rPr>
          <w:rFonts w:eastAsia="Times New Roman" w:cstheme="minorHAnsi"/>
          <w:sz w:val="24"/>
          <w:szCs w:val="24"/>
        </w:rPr>
        <w:t>gali būti</w:t>
      </w:r>
      <w:r w:rsidR="005E34DA" w:rsidRPr="008A486E">
        <w:rPr>
          <w:rFonts w:eastAsia="Times New Roman" w:cstheme="minorHAnsi"/>
          <w:b/>
          <w:bCs/>
          <w:sz w:val="24"/>
          <w:szCs w:val="24"/>
        </w:rPr>
        <w:t xml:space="preserve"> </w:t>
      </w:r>
      <w:r w:rsidRPr="008A486E">
        <w:rPr>
          <w:rFonts w:eastAsia="Times New Roman" w:cstheme="minorHAnsi"/>
          <w:sz w:val="24"/>
          <w:szCs w:val="24"/>
        </w:rPr>
        <w:t xml:space="preserve">kreipiamasi </w:t>
      </w:r>
      <w:r w:rsidRPr="008A486E">
        <w:rPr>
          <w:rFonts w:eastAsia="Times New Roman" w:cstheme="minorHAnsi"/>
          <w:b/>
          <w:bCs/>
          <w:sz w:val="24"/>
          <w:szCs w:val="24"/>
        </w:rPr>
        <w:t>tik į vieną konkretų tiekėją</w:t>
      </w:r>
      <w:r w:rsidR="008F28F8" w:rsidRPr="008A486E">
        <w:rPr>
          <w:rFonts w:eastAsia="Times New Roman" w:cstheme="minorHAnsi"/>
          <w:sz w:val="24"/>
          <w:szCs w:val="24"/>
        </w:rPr>
        <w:t>, nes</w:t>
      </w:r>
      <w:r w:rsidR="0059085D" w:rsidRPr="008A486E">
        <w:rPr>
          <w:rFonts w:eastAsia="Times New Roman" w:cstheme="minorHAnsi"/>
          <w:sz w:val="24"/>
          <w:szCs w:val="24"/>
        </w:rPr>
        <w:t xml:space="preserve"> rinkoje </w:t>
      </w:r>
      <w:r w:rsidRPr="008A486E">
        <w:rPr>
          <w:rFonts w:eastAsia="Times New Roman" w:cstheme="minorHAnsi"/>
          <w:b/>
          <w:bCs/>
          <w:sz w:val="24"/>
          <w:szCs w:val="24"/>
        </w:rPr>
        <w:t xml:space="preserve">nėra (ar negali būti) kitų </w:t>
      </w:r>
      <w:r w:rsidR="0059085D" w:rsidRPr="008A486E">
        <w:rPr>
          <w:rFonts w:eastAsia="Times New Roman" w:cstheme="minorHAnsi"/>
          <w:b/>
          <w:bCs/>
          <w:sz w:val="24"/>
          <w:szCs w:val="24"/>
        </w:rPr>
        <w:t>tiekėjų</w:t>
      </w:r>
      <w:r w:rsidRPr="008A486E">
        <w:rPr>
          <w:rFonts w:eastAsia="Times New Roman" w:cstheme="minorHAnsi"/>
          <w:sz w:val="24"/>
          <w:szCs w:val="24"/>
        </w:rPr>
        <w:t xml:space="preserve">, kurie perkančiajai organizacijai galėtų parduoti pirkimo objektą. </w:t>
      </w:r>
      <w:r w:rsidR="00F61AED" w:rsidRPr="008A486E">
        <w:rPr>
          <w:rFonts w:eastAsia="Times New Roman" w:cstheme="minorHAnsi"/>
          <w:sz w:val="24"/>
          <w:szCs w:val="24"/>
        </w:rPr>
        <w:t>Nagrinėjamu atveju</w:t>
      </w:r>
      <w:r w:rsidR="00962BC1">
        <w:rPr>
          <w:rFonts w:eastAsia="Times New Roman" w:cstheme="minorHAnsi"/>
          <w:sz w:val="24"/>
          <w:szCs w:val="24"/>
        </w:rPr>
        <w:t>,</w:t>
      </w:r>
      <w:r w:rsidR="008B1BEA">
        <w:rPr>
          <w:rFonts w:eastAsia="Times New Roman" w:cstheme="minorHAnsi"/>
          <w:sz w:val="24"/>
          <w:szCs w:val="24"/>
        </w:rPr>
        <w:t xml:space="preserve"> pati </w:t>
      </w:r>
      <w:r w:rsidRPr="008A486E">
        <w:rPr>
          <w:rFonts w:eastAsia="Times New Roman" w:cstheme="minorHAnsi"/>
          <w:sz w:val="24"/>
          <w:szCs w:val="24"/>
        </w:rPr>
        <w:t>Perkančioji organizacija</w:t>
      </w:r>
      <w:r w:rsidR="008B1BEA">
        <w:rPr>
          <w:rFonts w:eastAsia="Times New Roman" w:cstheme="minorHAnsi"/>
          <w:sz w:val="24"/>
          <w:szCs w:val="24"/>
        </w:rPr>
        <w:t xml:space="preserve"> nurodo, </w:t>
      </w:r>
      <w:r w:rsidRPr="008A486E">
        <w:rPr>
          <w:rFonts w:eastAsia="Times New Roman" w:cstheme="minorHAnsi"/>
          <w:sz w:val="24"/>
          <w:szCs w:val="24"/>
        </w:rPr>
        <w:t>kad rinkoje yra daugiau ne</w:t>
      </w:r>
      <w:r w:rsidR="00DF5F98" w:rsidRPr="008A486E">
        <w:rPr>
          <w:rFonts w:eastAsia="Times New Roman" w:cstheme="minorHAnsi"/>
          <w:sz w:val="24"/>
          <w:szCs w:val="24"/>
        </w:rPr>
        <w:t>gu</w:t>
      </w:r>
      <w:r w:rsidRPr="008A486E">
        <w:rPr>
          <w:rFonts w:eastAsia="Times New Roman" w:cstheme="minorHAnsi"/>
          <w:sz w:val="24"/>
          <w:szCs w:val="24"/>
        </w:rPr>
        <w:t xml:space="preserve"> vienas tiekėjas, kuri</w:t>
      </w:r>
      <w:r w:rsidR="008B1BEA">
        <w:rPr>
          <w:rFonts w:eastAsia="Times New Roman" w:cstheme="minorHAnsi"/>
          <w:sz w:val="24"/>
          <w:szCs w:val="24"/>
        </w:rPr>
        <w:t>e</w:t>
      </w:r>
      <w:r w:rsidRPr="008A486E">
        <w:rPr>
          <w:rFonts w:eastAsia="Times New Roman" w:cstheme="minorHAnsi"/>
          <w:sz w:val="24"/>
          <w:szCs w:val="24"/>
        </w:rPr>
        <w:t xml:space="preserve"> gali </w:t>
      </w:r>
      <w:r w:rsidR="008B1BEA">
        <w:rPr>
          <w:rFonts w:eastAsia="Times New Roman" w:cstheme="minorHAnsi"/>
          <w:sz w:val="24"/>
          <w:szCs w:val="24"/>
        </w:rPr>
        <w:t xml:space="preserve">suteikti Pirkimu </w:t>
      </w:r>
      <w:r w:rsidR="00E70A8F" w:rsidRPr="008A486E">
        <w:rPr>
          <w:rFonts w:eastAsia="Times New Roman" w:cstheme="minorHAnsi"/>
          <w:sz w:val="24"/>
          <w:szCs w:val="24"/>
        </w:rPr>
        <w:t>siekiamas</w:t>
      </w:r>
      <w:r w:rsidR="0083728B" w:rsidRPr="008A486E">
        <w:rPr>
          <w:rFonts w:eastAsia="Times New Roman" w:cstheme="minorHAnsi"/>
          <w:sz w:val="24"/>
          <w:szCs w:val="24"/>
        </w:rPr>
        <w:t xml:space="preserve"> įsigyti </w:t>
      </w:r>
      <w:r w:rsidRPr="008A486E">
        <w:rPr>
          <w:rFonts w:eastAsia="Times New Roman" w:cstheme="minorHAnsi"/>
          <w:sz w:val="24"/>
          <w:szCs w:val="24"/>
        </w:rPr>
        <w:t>paslaug</w:t>
      </w:r>
      <w:r w:rsidR="00140540" w:rsidRPr="008A486E">
        <w:rPr>
          <w:rFonts w:eastAsia="Times New Roman" w:cstheme="minorHAnsi"/>
          <w:sz w:val="24"/>
          <w:szCs w:val="24"/>
        </w:rPr>
        <w:t>as</w:t>
      </w:r>
      <w:r w:rsidR="003F1B8F" w:rsidRPr="008A486E">
        <w:rPr>
          <w:rFonts w:eastAsia="Times New Roman" w:cstheme="minorHAnsi"/>
          <w:sz w:val="24"/>
          <w:szCs w:val="24"/>
        </w:rPr>
        <w:t xml:space="preserve">, atitinkamai, </w:t>
      </w:r>
      <w:r w:rsidR="00B2538C" w:rsidRPr="008A486E">
        <w:rPr>
          <w:rFonts w:eastAsia="Times New Roman" w:cstheme="minorHAnsi"/>
          <w:sz w:val="24"/>
          <w:szCs w:val="24"/>
        </w:rPr>
        <w:t xml:space="preserve">šio Pirkimo atveju, </w:t>
      </w:r>
      <w:r w:rsidR="00FC33D7" w:rsidRPr="008A486E">
        <w:rPr>
          <w:rFonts w:eastAsia="Times New Roman" w:cstheme="minorHAnsi"/>
          <w:sz w:val="24"/>
          <w:szCs w:val="24"/>
        </w:rPr>
        <w:t>n</w:t>
      </w:r>
      <w:r w:rsidR="008B1BEA">
        <w:rPr>
          <w:rFonts w:eastAsia="Times New Roman" w:cstheme="minorHAnsi"/>
          <w:sz w:val="24"/>
          <w:szCs w:val="24"/>
        </w:rPr>
        <w:t xml:space="preserve">ėra tenkinama </w:t>
      </w:r>
      <w:r w:rsidR="00B2538C" w:rsidRPr="008A486E">
        <w:rPr>
          <w:rFonts w:eastAsia="Times New Roman" w:cstheme="minorHAnsi"/>
          <w:sz w:val="24"/>
          <w:szCs w:val="24"/>
        </w:rPr>
        <w:t>Įstatymo 71 straipsnio 1 dalies 2 punkte b papunktyje n</w:t>
      </w:r>
      <w:r w:rsidR="0041085F" w:rsidRPr="008A486E">
        <w:rPr>
          <w:rFonts w:eastAsia="Times New Roman" w:cstheme="minorHAnsi"/>
          <w:sz w:val="24"/>
          <w:szCs w:val="24"/>
        </w:rPr>
        <w:t>ustatyt</w:t>
      </w:r>
      <w:r w:rsidR="008B1BEA">
        <w:rPr>
          <w:rFonts w:eastAsia="Times New Roman" w:cstheme="minorHAnsi"/>
          <w:sz w:val="24"/>
          <w:szCs w:val="24"/>
        </w:rPr>
        <w:t>a</w:t>
      </w:r>
      <w:r w:rsidR="00792BC3" w:rsidRPr="008A486E">
        <w:rPr>
          <w:rFonts w:eastAsia="Times New Roman" w:cstheme="minorHAnsi"/>
          <w:sz w:val="24"/>
          <w:szCs w:val="24"/>
        </w:rPr>
        <w:t xml:space="preserve"> vien</w:t>
      </w:r>
      <w:r w:rsidR="008B1BEA">
        <w:rPr>
          <w:rFonts w:eastAsia="Times New Roman" w:cstheme="minorHAnsi"/>
          <w:sz w:val="24"/>
          <w:szCs w:val="24"/>
        </w:rPr>
        <w:t>a</w:t>
      </w:r>
      <w:r w:rsidR="00792BC3" w:rsidRPr="008A486E">
        <w:rPr>
          <w:rFonts w:eastAsia="Times New Roman" w:cstheme="minorHAnsi"/>
          <w:sz w:val="24"/>
          <w:szCs w:val="24"/>
        </w:rPr>
        <w:t xml:space="preserve"> iš</w:t>
      </w:r>
      <w:r w:rsidR="0041085F" w:rsidRPr="008A486E">
        <w:rPr>
          <w:rFonts w:eastAsia="Times New Roman" w:cstheme="minorHAnsi"/>
          <w:sz w:val="24"/>
          <w:szCs w:val="24"/>
        </w:rPr>
        <w:t xml:space="preserve"> sąlygų, kuri</w:t>
      </w:r>
      <w:r w:rsidR="00792BC3" w:rsidRPr="008A486E">
        <w:rPr>
          <w:rFonts w:eastAsia="Times New Roman" w:cstheme="minorHAnsi"/>
          <w:sz w:val="24"/>
          <w:szCs w:val="24"/>
        </w:rPr>
        <w:t>ai</w:t>
      </w:r>
      <w:r w:rsidR="0041085F" w:rsidRPr="008A486E">
        <w:rPr>
          <w:rFonts w:eastAsia="Times New Roman" w:cstheme="minorHAnsi"/>
          <w:sz w:val="24"/>
          <w:szCs w:val="24"/>
        </w:rPr>
        <w:t xml:space="preserve"> esant </w:t>
      </w:r>
      <w:r w:rsidR="008B1BEA">
        <w:rPr>
          <w:rFonts w:eastAsia="Times New Roman" w:cstheme="minorHAnsi"/>
          <w:sz w:val="24"/>
          <w:szCs w:val="24"/>
        </w:rPr>
        <w:t>būtų pagrindas</w:t>
      </w:r>
      <w:r w:rsidR="0041085F" w:rsidRPr="008A486E">
        <w:rPr>
          <w:rFonts w:eastAsia="Times New Roman" w:cstheme="minorHAnsi"/>
          <w:sz w:val="24"/>
          <w:szCs w:val="24"/>
        </w:rPr>
        <w:t xml:space="preserve"> </w:t>
      </w:r>
      <w:r w:rsidR="003D1D08" w:rsidRPr="008A486E">
        <w:rPr>
          <w:rFonts w:eastAsia="Times New Roman" w:cstheme="minorHAnsi"/>
          <w:sz w:val="24"/>
          <w:szCs w:val="24"/>
        </w:rPr>
        <w:t>vykd</w:t>
      </w:r>
      <w:r w:rsidR="008B1BEA">
        <w:rPr>
          <w:rFonts w:eastAsia="Times New Roman" w:cstheme="minorHAnsi"/>
          <w:sz w:val="24"/>
          <w:szCs w:val="24"/>
        </w:rPr>
        <w:t xml:space="preserve">yti Pirkimą </w:t>
      </w:r>
      <w:r w:rsidR="003D1D08" w:rsidRPr="008A486E">
        <w:rPr>
          <w:rFonts w:eastAsia="Times New Roman" w:cstheme="minorHAnsi"/>
          <w:sz w:val="24"/>
          <w:szCs w:val="24"/>
        </w:rPr>
        <w:t>neskelbiam</w:t>
      </w:r>
      <w:r w:rsidR="008B1BEA">
        <w:rPr>
          <w:rFonts w:eastAsia="Times New Roman" w:cstheme="minorHAnsi"/>
          <w:sz w:val="24"/>
          <w:szCs w:val="24"/>
        </w:rPr>
        <w:t>ų</w:t>
      </w:r>
      <w:r w:rsidR="003D1D08" w:rsidRPr="008A486E">
        <w:rPr>
          <w:rFonts w:eastAsia="Times New Roman" w:cstheme="minorHAnsi"/>
          <w:sz w:val="24"/>
          <w:szCs w:val="24"/>
        </w:rPr>
        <w:t xml:space="preserve"> deryb</w:t>
      </w:r>
      <w:r w:rsidR="008B1BEA">
        <w:rPr>
          <w:rFonts w:eastAsia="Times New Roman" w:cstheme="minorHAnsi"/>
          <w:sz w:val="24"/>
          <w:szCs w:val="24"/>
        </w:rPr>
        <w:t>ų būdu</w:t>
      </w:r>
      <w:r w:rsidRPr="008A486E">
        <w:rPr>
          <w:rFonts w:eastAsia="Times New Roman" w:cstheme="minorHAnsi"/>
          <w:sz w:val="24"/>
          <w:szCs w:val="24"/>
        </w:rPr>
        <w:t xml:space="preserve">. </w:t>
      </w:r>
    </w:p>
    <w:p w14:paraId="058DFBEA" w14:textId="68CB9552" w:rsidR="00D01772" w:rsidRPr="00A44488" w:rsidRDefault="00DB1750" w:rsidP="00A44488">
      <w:pPr>
        <w:tabs>
          <w:tab w:val="left" w:pos="1134"/>
        </w:tabs>
        <w:spacing w:after="0"/>
        <w:ind w:firstLine="567"/>
        <w:contextualSpacing/>
        <w:rPr>
          <w:rFonts w:eastAsia="Times New Roman" w:cstheme="minorHAnsi"/>
          <w:sz w:val="24"/>
          <w:szCs w:val="24"/>
        </w:rPr>
      </w:pPr>
      <w:r w:rsidRPr="008A486E">
        <w:rPr>
          <w:rFonts w:eastAsia="Times New Roman" w:cstheme="minorHAnsi"/>
          <w:sz w:val="24"/>
          <w:szCs w:val="24"/>
        </w:rPr>
        <w:t>Papildomai Tarnyba atkreipia dėmesį į tai, kad</w:t>
      </w:r>
      <w:r w:rsidR="00A44488">
        <w:rPr>
          <w:rFonts w:eastAsia="Times New Roman" w:cstheme="minorHAnsi"/>
          <w:sz w:val="24"/>
          <w:szCs w:val="24"/>
        </w:rPr>
        <w:t xml:space="preserve"> </w:t>
      </w:r>
      <w:r w:rsidR="00D01772" w:rsidRPr="00A44488">
        <w:rPr>
          <w:rFonts w:eastAsia="Times New Roman" w:cstheme="minorHAnsi"/>
          <w:sz w:val="24"/>
          <w:szCs w:val="24"/>
        </w:rPr>
        <w:t>Perkančioji organizacija</w:t>
      </w:r>
      <w:r w:rsidR="00E912BD" w:rsidRPr="00A44488">
        <w:rPr>
          <w:rFonts w:eastAsia="Times New Roman" w:cstheme="minorHAnsi"/>
          <w:sz w:val="24"/>
          <w:szCs w:val="24"/>
        </w:rPr>
        <w:t>, pateikdama papildomą informaciją</w:t>
      </w:r>
      <w:r w:rsidR="00F32883" w:rsidRPr="00A44488">
        <w:rPr>
          <w:rFonts w:eastAsia="Times New Roman" w:cstheme="minorHAnsi"/>
          <w:sz w:val="24"/>
          <w:szCs w:val="24"/>
        </w:rPr>
        <w:t>,</w:t>
      </w:r>
      <w:r w:rsidR="00E912BD" w:rsidRPr="00A44488">
        <w:rPr>
          <w:rFonts w:eastAsia="Times New Roman" w:cstheme="minorHAnsi"/>
          <w:sz w:val="24"/>
          <w:szCs w:val="24"/>
        </w:rPr>
        <w:t xml:space="preserve"> nurodė, kad </w:t>
      </w:r>
      <w:r w:rsidR="00D01772" w:rsidRPr="00A44488">
        <w:rPr>
          <w:rFonts w:eastAsia="Times New Roman" w:cstheme="minorHAnsi"/>
          <w:sz w:val="24"/>
          <w:szCs w:val="24"/>
        </w:rPr>
        <w:t>buvo kreiptasi</w:t>
      </w:r>
      <w:r w:rsidR="00712955" w:rsidRPr="008A486E">
        <w:rPr>
          <w:rStyle w:val="FootnoteReference"/>
          <w:rFonts w:eastAsia="Times New Roman" w:cstheme="minorHAnsi"/>
          <w:sz w:val="24"/>
          <w:szCs w:val="24"/>
        </w:rPr>
        <w:footnoteReference w:id="18"/>
      </w:r>
      <w:r w:rsidR="00D01772" w:rsidRPr="00A44488">
        <w:rPr>
          <w:rFonts w:eastAsia="Times New Roman" w:cstheme="minorHAnsi"/>
          <w:sz w:val="24"/>
          <w:szCs w:val="24"/>
        </w:rPr>
        <w:t xml:space="preserve"> į „</w:t>
      </w:r>
      <w:proofErr w:type="spellStart"/>
      <w:r w:rsidR="00D01772" w:rsidRPr="00A44488">
        <w:rPr>
          <w:rFonts w:eastAsia="Times New Roman" w:cstheme="minorHAnsi"/>
          <w:sz w:val="24"/>
          <w:szCs w:val="24"/>
        </w:rPr>
        <w:t>Oracle</w:t>
      </w:r>
      <w:proofErr w:type="spellEnd"/>
      <w:r w:rsidR="00D01772" w:rsidRPr="00A44488">
        <w:rPr>
          <w:rFonts w:eastAsia="Times New Roman" w:cstheme="minorHAnsi"/>
          <w:sz w:val="24"/>
          <w:szCs w:val="24"/>
        </w:rPr>
        <w:t>“ gamintojo atstov</w:t>
      </w:r>
      <w:r w:rsidR="005A5D25" w:rsidRPr="00A44488">
        <w:rPr>
          <w:rFonts w:eastAsia="Times New Roman" w:cstheme="minorHAnsi"/>
          <w:sz w:val="24"/>
          <w:szCs w:val="24"/>
        </w:rPr>
        <w:t>ą</w:t>
      </w:r>
      <w:r w:rsidR="00D01772" w:rsidRPr="00A44488">
        <w:rPr>
          <w:rFonts w:eastAsia="Times New Roman" w:cstheme="minorHAnsi"/>
          <w:sz w:val="24"/>
          <w:szCs w:val="24"/>
        </w:rPr>
        <w:t xml:space="preserve"> –</w:t>
      </w:r>
      <w:r w:rsidR="00392098" w:rsidRPr="00A44488">
        <w:rPr>
          <w:rFonts w:eastAsia="Times New Roman" w:cstheme="minorHAnsi"/>
          <w:sz w:val="24"/>
          <w:szCs w:val="24"/>
        </w:rPr>
        <w:t xml:space="preserve"> </w:t>
      </w:r>
      <w:proofErr w:type="spellStart"/>
      <w:r w:rsidR="00D01772" w:rsidRPr="00A44488">
        <w:rPr>
          <w:rFonts w:eastAsia="Times New Roman" w:cstheme="minorHAnsi"/>
          <w:sz w:val="24"/>
          <w:szCs w:val="24"/>
        </w:rPr>
        <w:t>Oracle</w:t>
      </w:r>
      <w:proofErr w:type="spellEnd"/>
      <w:r w:rsidR="00D01772" w:rsidRPr="00A44488">
        <w:rPr>
          <w:rFonts w:eastAsia="Times New Roman" w:cstheme="minorHAnsi"/>
          <w:sz w:val="24"/>
          <w:szCs w:val="24"/>
        </w:rPr>
        <w:t xml:space="preserve"> </w:t>
      </w:r>
      <w:proofErr w:type="spellStart"/>
      <w:r w:rsidR="00D01772" w:rsidRPr="00A44488">
        <w:rPr>
          <w:rFonts w:eastAsia="Times New Roman" w:cstheme="minorHAnsi"/>
          <w:sz w:val="24"/>
          <w:szCs w:val="24"/>
        </w:rPr>
        <w:t>East</w:t>
      </w:r>
      <w:proofErr w:type="spellEnd"/>
      <w:r w:rsidR="00D01772" w:rsidRPr="00A44488">
        <w:rPr>
          <w:rFonts w:eastAsia="Times New Roman" w:cstheme="minorHAnsi"/>
          <w:sz w:val="24"/>
          <w:szCs w:val="24"/>
        </w:rPr>
        <w:t xml:space="preserve"> </w:t>
      </w:r>
      <w:proofErr w:type="spellStart"/>
      <w:r w:rsidR="00D01772" w:rsidRPr="00A44488">
        <w:rPr>
          <w:rFonts w:eastAsia="Times New Roman" w:cstheme="minorHAnsi"/>
          <w:sz w:val="24"/>
          <w:szCs w:val="24"/>
        </w:rPr>
        <w:t>Central</w:t>
      </w:r>
      <w:proofErr w:type="spellEnd"/>
      <w:r w:rsidR="00D01772" w:rsidRPr="00A44488">
        <w:rPr>
          <w:rFonts w:eastAsia="Times New Roman" w:cstheme="minorHAnsi"/>
          <w:sz w:val="24"/>
          <w:szCs w:val="24"/>
        </w:rPr>
        <w:t xml:space="preserve"> </w:t>
      </w:r>
      <w:proofErr w:type="spellStart"/>
      <w:r w:rsidR="00D01772" w:rsidRPr="00A44488">
        <w:rPr>
          <w:rFonts w:eastAsia="Times New Roman" w:cstheme="minorHAnsi"/>
          <w:sz w:val="24"/>
          <w:szCs w:val="24"/>
        </w:rPr>
        <w:t>Europe</w:t>
      </w:r>
      <w:proofErr w:type="spellEnd"/>
      <w:r w:rsidR="00D01772" w:rsidRPr="00A44488">
        <w:rPr>
          <w:rFonts w:eastAsia="Times New Roman" w:cstheme="minorHAnsi"/>
          <w:sz w:val="24"/>
          <w:szCs w:val="24"/>
        </w:rPr>
        <w:t xml:space="preserve"> </w:t>
      </w:r>
      <w:proofErr w:type="spellStart"/>
      <w:r w:rsidR="00D01772" w:rsidRPr="00A44488">
        <w:rPr>
          <w:rFonts w:eastAsia="Times New Roman" w:cstheme="minorHAnsi"/>
          <w:sz w:val="24"/>
          <w:szCs w:val="24"/>
        </w:rPr>
        <w:t>Limited</w:t>
      </w:r>
      <w:proofErr w:type="spellEnd"/>
      <w:r w:rsidR="00D01772" w:rsidRPr="00A44488">
        <w:rPr>
          <w:rFonts w:eastAsia="Times New Roman" w:cstheme="minorHAnsi"/>
          <w:sz w:val="24"/>
          <w:szCs w:val="24"/>
        </w:rPr>
        <w:t xml:space="preserve"> </w:t>
      </w:r>
      <w:r w:rsidR="00392098" w:rsidRPr="00A44488">
        <w:rPr>
          <w:rFonts w:eastAsia="Times New Roman" w:cstheme="minorHAnsi"/>
          <w:sz w:val="24"/>
          <w:szCs w:val="24"/>
        </w:rPr>
        <w:t xml:space="preserve">filialą, </w:t>
      </w:r>
      <w:r w:rsidR="009D40BF" w:rsidRPr="00A44488">
        <w:rPr>
          <w:rFonts w:eastAsia="Times New Roman" w:cstheme="minorHAnsi"/>
          <w:sz w:val="24"/>
          <w:szCs w:val="24"/>
        </w:rPr>
        <w:t xml:space="preserve">su prašymu nurodyti rinkos dalyvius ar </w:t>
      </w:r>
      <w:r w:rsidR="008908BE" w:rsidRPr="00A44488">
        <w:rPr>
          <w:rFonts w:eastAsia="Times New Roman" w:cstheme="minorHAnsi"/>
          <w:sz w:val="24"/>
          <w:szCs w:val="24"/>
        </w:rPr>
        <w:t>„</w:t>
      </w:r>
      <w:proofErr w:type="spellStart"/>
      <w:r w:rsidR="009D40BF" w:rsidRPr="00A44488">
        <w:rPr>
          <w:rFonts w:eastAsia="Times New Roman" w:cstheme="minorHAnsi"/>
          <w:sz w:val="24"/>
          <w:szCs w:val="24"/>
        </w:rPr>
        <w:t>Oracle</w:t>
      </w:r>
      <w:proofErr w:type="spellEnd"/>
      <w:r w:rsidR="008908BE" w:rsidRPr="00A44488">
        <w:rPr>
          <w:rFonts w:eastAsia="Times New Roman" w:cstheme="minorHAnsi"/>
          <w:sz w:val="24"/>
          <w:szCs w:val="24"/>
        </w:rPr>
        <w:t>“</w:t>
      </w:r>
      <w:r w:rsidR="009D40BF" w:rsidRPr="00A44488">
        <w:rPr>
          <w:rFonts w:eastAsia="Times New Roman" w:cstheme="minorHAnsi"/>
          <w:sz w:val="24"/>
          <w:szCs w:val="24"/>
        </w:rPr>
        <w:t xml:space="preserve"> partnerius, kurie </w:t>
      </w:r>
      <w:r w:rsidR="007B270D" w:rsidRPr="00A44488">
        <w:rPr>
          <w:rFonts w:eastAsia="Times New Roman" w:cstheme="minorHAnsi"/>
          <w:sz w:val="24"/>
          <w:szCs w:val="24"/>
        </w:rPr>
        <w:t xml:space="preserve">galėtų suteikti </w:t>
      </w:r>
      <w:r w:rsidR="007F4FAE" w:rsidRPr="00A44488">
        <w:rPr>
          <w:rFonts w:eastAsia="Times New Roman" w:cstheme="minorHAnsi"/>
          <w:sz w:val="24"/>
          <w:szCs w:val="24"/>
        </w:rPr>
        <w:t>siekiam</w:t>
      </w:r>
      <w:r w:rsidR="00DA3B0C" w:rsidRPr="00A44488">
        <w:rPr>
          <w:rFonts w:eastAsia="Times New Roman" w:cstheme="minorHAnsi"/>
          <w:sz w:val="24"/>
          <w:szCs w:val="24"/>
        </w:rPr>
        <w:t>as</w:t>
      </w:r>
      <w:r w:rsidR="007F4FAE" w:rsidRPr="00A44488">
        <w:rPr>
          <w:rFonts w:eastAsia="Times New Roman" w:cstheme="minorHAnsi"/>
          <w:sz w:val="24"/>
          <w:szCs w:val="24"/>
        </w:rPr>
        <w:t xml:space="preserve"> įsigyti </w:t>
      </w:r>
      <w:r w:rsidR="007B270D" w:rsidRPr="00A44488">
        <w:rPr>
          <w:rFonts w:eastAsia="Times New Roman" w:cstheme="minorHAnsi"/>
          <w:sz w:val="24"/>
          <w:szCs w:val="24"/>
        </w:rPr>
        <w:t>paslaug</w:t>
      </w:r>
      <w:r w:rsidR="00DA3B0C" w:rsidRPr="00A44488">
        <w:rPr>
          <w:rFonts w:eastAsia="Times New Roman" w:cstheme="minorHAnsi"/>
          <w:sz w:val="24"/>
          <w:szCs w:val="24"/>
        </w:rPr>
        <w:t>as</w:t>
      </w:r>
      <w:r w:rsidR="00DE73D2" w:rsidRPr="00A44488">
        <w:rPr>
          <w:rFonts w:eastAsia="Times New Roman" w:cstheme="minorHAnsi"/>
          <w:sz w:val="24"/>
          <w:szCs w:val="24"/>
        </w:rPr>
        <w:t xml:space="preserve">. </w:t>
      </w:r>
      <w:proofErr w:type="spellStart"/>
      <w:r w:rsidR="007F4FAE" w:rsidRPr="00A44488">
        <w:rPr>
          <w:rFonts w:eastAsia="Times New Roman" w:cstheme="minorHAnsi"/>
          <w:sz w:val="24"/>
          <w:szCs w:val="24"/>
        </w:rPr>
        <w:t>Oracle</w:t>
      </w:r>
      <w:proofErr w:type="spellEnd"/>
      <w:r w:rsidR="007F4FAE" w:rsidRPr="00A44488">
        <w:rPr>
          <w:rFonts w:eastAsia="Times New Roman" w:cstheme="minorHAnsi"/>
          <w:sz w:val="24"/>
          <w:szCs w:val="24"/>
        </w:rPr>
        <w:t xml:space="preserve"> </w:t>
      </w:r>
      <w:proofErr w:type="spellStart"/>
      <w:r w:rsidR="007F4FAE" w:rsidRPr="00A44488">
        <w:rPr>
          <w:rFonts w:eastAsia="Times New Roman" w:cstheme="minorHAnsi"/>
          <w:sz w:val="24"/>
          <w:szCs w:val="24"/>
        </w:rPr>
        <w:t>East</w:t>
      </w:r>
      <w:proofErr w:type="spellEnd"/>
      <w:r w:rsidR="007F4FAE" w:rsidRPr="00A44488">
        <w:rPr>
          <w:rFonts w:eastAsia="Times New Roman" w:cstheme="minorHAnsi"/>
          <w:sz w:val="24"/>
          <w:szCs w:val="24"/>
        </w:rPr>
        <w:t xml:space="preserve"> </w:t>
      </w:r>
      <w:proofErr w:type="spellStart"/>
      <w:r w:rsidR="007F4FAE" w:rsidRPr="00A44488">
        <w:rPr>
          <w:rFonts w:eastAsia="Times New Roman" w:cstheme="minorHAnsi"/>
          <w:sz w:val="24"/>
          <w:szCs w:val="24"/>
        </w:rPr>
        <w:t>Central</w:t>
      </w:r>
      <w:proofErr w:type="spellEnd"/>
      <w:r w:rsidR="007F4FAE" w:rsidRPr="00A44488">
        <w:rPr>
          <w:rFonts w:eastAsia="Times New Roman" w:cstheme="minorHAnsi"/>
          <w:sz w:val="24"/>
          <w:szCs w:val="24"/>
        </w:rPr>
        <w:t xml:space="preserve"> </w:t>
      </w:r>
      <w:proofErr w:type="spellStart"/>
      <w:r w:rsidR="007F4FAE" w:rsidRPr="00A44488">
        <w:rPr>
          <w:rFonts w:eastAsia="Times New Roman" w:cstheme="minorHAnsi"/>
          <w:sz w:val="24"/>
          <w:szCs w:val="24"/>
        </w:rPr>
        <w:t>Europe</w:t>
      </w:r>
      <w:proofErr w:type="spellEnd"/>
      <w:r w:rsidR="007F4FAE" w:rsidRPr="00A44488">
        <w:rPr>
          <w:rFonts w:eastAsia="Times New Roman" w:cstheme="minorHAnsi"/>
          <w:sz w:val="24"/>
          <w:szCs w:val="24"/>
        </w:rPr>
        <w:t xml:space="preserve"> </w:t>
      </w:r>
      <w:proofErr w:type="spellStart"/>
      <w:r w:rsidR="007F4FAE" w:rsidRPr="00A44488">
        <w:rPr>
          <w:rFonts w:eastAsia="Times New Roman" w:cstheme="minorHAnsi"/>
          <w:sz w:val="24"/>
          <w:szCs w:val="24"/>
        </w:rPr>
        <w:t>Limited</w:t>
      </w:r>
      <w:proofErr w:type="spellEnd"/>
      <w:r w:rsidR="007F4FAE" w:rsidRPr="00A44488">
        <w:rPr>
          <w:rFonts w:eastAsia="Times New Roman" w:cstheme="minorHAnsi"/>
          <w:sz w:val="24"/>
          <w:szCs w:val="24"/>
        </w:rPr>
        <w:t xml:space="preserve"> filialas informavo</w:t>
      </w:r>
      <w:r w:rsidR="00D476A5" w:rsidRPr="008A486E">
        <w:rPr>
          <w:rStyle w:val="FootnoteReference"/>
          <w:rFonts w:eastAsia="Times New Roman" w:cstheme="minorHAnsi"/>
          <w:sz w:val="24"/>
          <w:szCs w:val="24"/>
        </w:rPr>
        <w:footnoteReference w:id="19"/>
      </w:r>
      <w:r w:rsidR="007F4FAE" w:rsidRPr="00A44488">
        <w:rPr>
          <w:rFonts w:eastAsia="Times New Roman" w:cstheme="minorHAnsi"/>
          <w:sz w:val="24"/>
          <w:szCs w:val="24"/>
        </w:rPr>
        <w:t xml:space="preserve"> Perkančiąją organi</w:t>
      </w:r>
      <w:r w:rsidR="004A5785" w:rsidRPr="00A44488">
        <w:rPr>
          <w:rFonts w:eastAsia="Times New Roman" w:cstheme="minorHAnsi"/>
          <w:sz w:val="24"/>
          <w:szCs w:val="24"/>
        </w:rPr>
        <w:t>z</w:t>
      </w:r>
      <w:r w:rsidR="007F4FAE" w:rsidRPr="00A44488">
        <w:rPr>
          <w:rFonts w:eastAsia="Times New Roman" w:cstheme="minorHAnsi"/>
          <w:sz w:val="24"/>
          <w:szCs w:val="24"/>
        </w:rPr>
        <w:t>aciją</w:t>
      </w:r>
      <w:r w:rsidR="007B270D" w:rsidRPr="00A44488">
        <w:rPr>
          <w:rFonts w:eastAsia="Times New Roman" w:cstheme="minorHAnsi"/>
          <w:sz w:val="24"/>
          <w:szCs w:val="24"/>
        </w:rPr>
        <w:t xml:space="preserve">, kad </w:t>
      </w:r>
      <w:r w:rsidR="00D01772" w:rsidRPr="00A44488">
        <w:rPr>
          <w:rFonts w:eastAsia="Times New Roman" w:cstheme="minorHAnsi"/>
          <w:sz w:val="24"/>
          <w:szCs w:val="24"/>
        </w:rPr>
        <w:t>Pirkimu siekiamas įsigyti paslaugas gali parduoti AB „Telia Lietuva“, UAB „</w:t>
      </w:r>
      <w:proofErr w:type="spellStart"/>
      <w:r w:rsidR="00D01772" w:rsidRPr="00A44488">
        <w:rPr>
          <w:rFonts w:eastAsia="Times New Roman" w:cstheme="minorHAnsi"/>
          <w:sz w:val="24"/>
          <w:szCs w:val="24"/>
        </w:rPr>
        <w:t>Asseco</w:t>
      </w:r>
      <w:proofErr w:type="spellEnd"/>
      <w:r w:rsidR="00D01772" w:rsidRPr="00A44488">
        <w:rPr>
          <w:rFonts w:eastAsia="Times New Roman" w:cstheme="minorHAnsi"/>
          <w:sz w:val="24"/>
          <w:szCs w:val="24"/>
        </w:rPr>
        <w:t xml:space="preserve"> Lietuva” ir UAB „NBCS”, </w:t>
      </w:r>
      <w:r w:rsidR="00E002B4" w:rsidRPr="00A44488">
        <w:rPr>
          <w:rFonts w:eastAsia="Times New Roman" w:cstheme="minorHAnsi"/>
          <w:sz w:val="24"/>
          <w:szCs w:val="24"/>
        </w:rPr>
        <w:t>t. y.</w:t>
      </w:r>
      <w:r w:rsidR="00F14E5F">
        <w:rPr>
          <w:rFonts w:eastAsia="Times New Roman" w:cstheme="minorHAnsi"/>
          <w:sz w:val="24"/>
          <w:szCs w:val="24"/>
        </w:rPr>
        <w:t>,</w:t>
      </w:r>
      <w:r w:rsidR="00E002B4" w:rsidRPr="00A44488">
        <w:rPr>
          <w:rFonts w:eastAsia="Times New Roman" w:cstheme="minorHAnsi"/>
          <w:sz w:val="24"/>
          <w:szCs w:val="24"/>
        </w:rPr>
        <w:t xml:space="preserve"> </w:t>
      </w:r>
      <w:r w:rsidR="00C7706D" w:rsidRPr="00A44488">
        <w:rPr>
          <w:rFonts w:eastAsia="Times New Roman" w:cstheme="minorHAnsi"/>
          <w:sz w:val="24"/>
          <w:szCs w:val="24"/>
        </w:rPr>
        <w:t>„</w:t>
      </w:r>
      <w:proofErr w:type="spellStart"/>
      <w:r w:rsidR="00C7706D" w:rsidRPr="00A44488">
        <w:rPr>
          <w:rFonts w:eastAsia="Times New Roman" w:cstheme="minorHAnsi"/>
          <w:sz w:val="24"/>
          <w:szCs w:val="24"/>
        </w:rPr>
        <w:t>Oracle</w:t>
      </w:r>
      <w:proofErr w:type="spellEnd"/>
      <w:r w:rsidR="00C7706D" w:rsidRPr="00A44488">
        <w:rPr>
          <w:rFonts w:eastAsia="Times New Roman" w:cstheme="minorHAnsi"/>
          <w:sz w:val="24"/>
          <w:szCs w:val="24"/>
        </w:rPr>
        <w:t>“ gamintojo atstovas nurodė</w:t>
      </w:r>
      <w:r w:rsidR="009031BF" w:rsidRPr="00A44488">
        <w:rPr>
          <w:rFonts w:eastAsia="Times New Roman" w:cstheme="minorHAnsi"/>
          <w:sz w:val="24"/>
          <w:szCs w:val="24"/>
        </w:rPr>
        <w:t xml:space="preserve"> kitus tiekėjus, nei Perkančioji organizacija </w:t>
      </w:r>
      <w:r w:rsidR="008B1BEA">
        <w:rPr>
          <w:rFonts w:eastAsia="Times New Roman" w:cstheme="minorHAnsi"/>
          <w:sz w:val="24"/>
          <w:szCs w:val="24"/>
        </w:rPr>
        <w:t xml:space="preserve">savo </w:t>
      </w:r>
      <w:r w:rsidR="00F74666" w:rsidRPr="00A44488">
        <w:rPr>
          <w:rFonts w:eastAsia="Times New Roman" w:cstheme="minorHAnsi"/>
          <w:sz w:val="24"/>
          <w:szCs w:val="24"/>
        </w:rPr>
        <w:t>prašyme (sutapo tik vienas tiekėjas)</w:t>
      </w:r>
      <w:r w:rsidR="00D01772" w:rsidRPr="00A44488">
        <w:rPr>
          <w:rFonts w:eastAsia="Times New Roman" w:cstheme="minorHAnsi"/>
          <w:sz w:val="24"/>
          <w:szCs w:val="24"/>
        </w:rPr>
        <w:t>.</w:t>
      </w:r>
      <w:r w:rsidR="00F74666" w:rsidRPr="00A44488">
        <w:rPr>
          <w:rFonts w:eastAsia="Times New Roman" w:cstheme="minorHAnsi"/>
          <w:sz w:val="24"/>
          <w:szCs w:val="24"/>
        </w:rPr>
        <w:t xml:space="preserve"> </w:t>
      </w:r>
    </w:p>
    <w:p w14:paraId="33060086" w14:textId="1061CB50" w:rsidR="00D01772" w:rsidRPr="008A486E" w:rsidRDefault="005D715D" w:rsidP="002D5443">
      <w:pPr>
        <w:tabs>
          <w:tab w:val="left" w:pos="1134"/>
        </w:tabs>
        <w:spacing w:after="0"/>
        <w:ind w:firstLine="567"/>
        <w:contextualSpacing/>
        <w:rPr>
          <w:rFonts w:eastAsia="Times New Roman" w:cstheme="minorHAnsi"/>
          <w:sz w:val="24"/>
          <w:szCs w:val="24"/>
        </w:rPr>
      </w:pPr>
      <w:r>
        <w:rPr>
          <w:rFonts w:eastAsia="Times New Roman" w:cstheme="minorHAnsi"/>
          <w:sz w:val="24"/>
          <w:szCs w:val="24"/>
        </w:rPr>
        <w:t xml:space="preserve">Be to, </w:t>
      </w:r>
      <w:r w:rsidR="00D01772" w:rsidRPr="008A486E">
        <w:rPr>
          <w:rFonts w:eastAsia="Times New Roman" w:cstheme="minorHAnsi"/>
          <w:sz w:val="24"/>
          <w:szCs w:val="24"/>
        </w:rPr>
        <w:t>susipažinus su viešai</w:t>
      </w:r>
      <w:r w:rsidR="00990CCB">
        <w:rPr>
          <w:rFonts w:eastAsia="Times New Roman" w:cstheme="minorHAnsi"/>
          <w:sz w:val="24"/>
          <w:szCs w:val="24"/>
        </w:rPr>
        <w:t xml:space="preserve"> </w:t>
      </w:r>
      <w:r w:rsidR="00D01772" w:rsidRPr="008A486E">
        <w:rPr>
          <w:rFonts w:eastAsia="Times New Roman" w:cstheme="minorHAnsi"/>
          <w:sz w:val="24"/>
          <w:szCs w:val="24"/>
        </w:rPr>
        <w:t>skelbia</w:t>
      </w:r>
      <w:r w:rsidR="00EA32D2" w:rsidRPr="008A486E">
        <w:rPr>
          <w:rFonts w:eastAsia="Times New Roman" w:cstheme="minorHAnsi"/>
          <w:sz w:val="24"/>
          <w:szCs w:val="24"/>
        </w:rPr>
        <w:t>m</w:t>
      </w:r>
      <w:r w:rsidR="008B1BEA">
        <w:rPr>
          <w:rFonts w:eastAsia="Times New Roman" w:cstheme="minorHAnsi"/>
          <w:sz w:val="24"/>
          <w:szCs w:val="24"/>
        </w:rPr>
        <w:t>u</w:t>
      </w:r>
      <w:r w:rsidR="00D01772" w:rsidRPr="008A486E">
        <w:rPr>
          <w:rStyle w:val="FootnoteReference"/>
          <w:rFonts w:eastAsia="Times New Roman" w:cstheme="minorHAnsi"/>
          <w:sz w:val="24"/>
          <w:szCs w:val="24"/>
        </w:rPr>
        <w:footnoteReference w:id="20"/>
      </w:r>
      <w:r w:rsidR="00EA32D2" w:rsidRPr="008A486E">
        <w:rPr>
          <w:rFonts w:eastAsia="Times New Roman" w:cstheme="minorHAnsi"/>
          <w:sz w:val="24"/>
          <w:szCs w:val="24"/>
        </w:rPr>
        <w:t xml:space="preserve"> </w:t>
      </w:r>
      <w:r w:rsidR="00A352E6" w:rsidRPr="008A486E">
        <w:rPr>
          <w:rFonts w:eastAsia="Times New Roman" w:cstheme="minorHAnsi"/>
          <w:sz w:val="24"/>
          <w:szCs w:val="24"/>
        </w:rPr>
        <w:t>„</w:t>
      </w:r>
      <w:proofErr w:type="spellStart"/>
      <w:r w:rsidR="00D01772" w:rsidRPr="008A486E">
        <w:rPr>
          <w:rFonts w:eastAsia="Times New Roman" w:cstheme="minorHAnsi"/>
          <w:sz w:val="24"/>
          <w:szCs w:val="24"/>
        </w:rPr>
        <w:t>Oracle</w:t>
      </w:r>
      <w:proofErr w:type="spellEnd"/>
      <w:r w:rsidR="00A352E6" w:rsidRPr="008A486E">
        <w:rPr>
          <w:rFonts w:eastAsia="Times New Roman" w:cstheme="minorHAnsi"/>
          <w:sz w:val="24"/>
          <w:szCs w:val="24"/>
        </w:rPr>
        <w:t>“</w:t>
      </w:r>
      <w:r w:rsidR="00D01772" w:rsidRPr="008A486E">
        <w:rPr>
          <w:rFonts w:eastAsia="Times New Roman" w:cstheme="minorHAnsi"/>
          <w:sz w:val="24"/>
          <w:szCs w:val="24"/>
        </w:rPr>
        <w:t xml:space="preserve"> partnerių sąraš</w:t>
      </w:r>
      <w:r w:rsidR="008B1BEA">
        <w:rPr>
          <w:rFonts w:eastAsia="Times New Roman" w:cstheme="minorHAnsi"/>
          <w:sz w:val="24"/>
          <w:szCs w:val="24"/>
        </w:rPr>
        <w:t>u</w:t>
      </w:r>
      <w:r w:rsidR="00EC6494" w:rsidRPr="008A486E">
        <w:rPr>
          <w:rFonts w:eastAsia="Times New Roman" w:cstheme="minorHAnsi"/>
          <w:sz w:val="24"/>
          <w:szCs w:val="24"/>
        </w:rPr>
        <w:t xml:space="preserve"> (katalog</w:t>
      </w:r>
      <w:r w:rsidR="008B1BEA">
        <w:rPr>
          <w:rFonts w:eastAsia="Times New Roman" w:cstheme="minorHAnsi"/>
          <w:sz w:val="24"/>
          <w:szCs w:val="24"/>
        </w:rPr>
        <w:t>u</w:t>
      </w:r>
      <w:r w:rsidR="00B87142">
        <w:rPr>
          <w:rFonts w:eastAsia="Times New Roman" w:cstheme="minorHAnsi"/>
          <w:sz w:val="24"/>
          <w:szCs w:val="24"/>
        </w:rPr>
        <w:t>)</w:t>
      </w:r>
      <w:r w:rsidR="008B1BEA">
        <w:rPr>
          <w:rFonts w:eastAsia="Times New Roman" w:cstheme="minorHAnsi"/>
          <w:sz w:val="24"/>
          <w:szCs w:val="24"/>
        </w:rPr>
        <w:t>, nustatyta</w:t>
      </w:r>
      <w:r w:rsidR="007E4C49">
        <w:rPr>
          <w:rFonts w:eastAsia="Times New Roman" w:cstheme="minorHAnsi"/>
          <w:sz w:val="24"/>
          <w:szCs w:val="24"/>
        </w:rPr>
        <w:t xml:space="preserve">, kad </w:t>
      </w:r>
      <w:r w:rsidR="008B1BEA">
        <w:rPr>
          <w:rFonts w:eastAsia="Times New Roman" w:cstheme="minorHAnsi"/>
          <w:sz w:val="24"/>
          <w:szCs w:val="24"/>
        </w:rPr>
        <w:t xml:space="preserve">vien </w:t>
      </w:r>
      <w:r w:rsidR="007E4C49">
        <w:rPr>
          <w:rFonts w:eastAsia="Times New Roman" w:cstheme="minorHAnsi"/>
          <w:sz w:val="24"/>
          <w:szCs w:val="24"/>
        </w:rPr>
        <w:t xml:space="preserve">Lietuvoje yra </w:t>
      </w:r>
      <w:r w:rsidR="0070501B" w:rsidRPr="008A486E">
        <w:rPr>
          <w:rFonts w:eastAsia="Times New Roman" w:cstheme="minorHAnsi"/>
          <w:sz w:val="24"/>
          <w:szCs w:val="24"/>
        </w:rPr>
        <w:t xml:space="preserve">27 </w:t>
      </w:r>
      <w:r w:rsidR="00A352E6" w:rsidRPr="008A486E">
        <w:rPr>
          <w:rFonts w:eastAsia="Times New Roman" w:cstheme="minorHAnsi"/>
          <w:sz w:val="24"/>
          <w:szCs w:val="24"/>
        </w:rPr>
        <w:t>„</w:t>
      </w:r>
      <w:proofErr w:type="spellStart"/>
      <w:r w:rsidR="0070501B" w:rsidRPr="008A486E">
        <w:rPr>
          <w:rFonts w:eastAsia="Times New Roman" w:cstheme="minorHAnsi"/>
          <w:sz w:val="24"/>
          <w:szCs w:val="24"/>
        </w:rPr>
        <w:t>O</w:t>
      </w:r>
      <w:r w:rsidR="00AE39DC" w:rsidRPr="008A486E">
        <w:rPr>
          <w:rFonts w:eastAsia="Times New Roman" w:cstheme="minorHAnsi"/>
          <w:sz w:val="24"/>
          <w:szCs w:val="24"/>
        </w:rPr>
        <w:t>racle</w:t>
      </w:r>
      <w:proofErr w:type="spellEnd"/>
      <w:r w:rsidR="00A352E6" w:rsidRPr="008A486E">
        <w:rPr>
          <w:rFonts w:eastAsia="Times New Roman" w:cstheme="minorHAnsi"/>
          <w:sz w:val="24"/>
          <w:szCs w:val="24"/>
        </w:rPr>
        <w:t>“</w:t>
      </w:r>
      <w:r w:rsidR="00AE39DC" w:rsidRPr="008A486E">
        <w:rPr>
          <w:rFonts w:eastAsia="Times New Roman" w:cstheme="minorHAnsi"/>
          <w:sz w:val="24"/>
          <w:szCs w:val="24"/>
        </w:rPr>
        <w:t xml:space="preserve"> partneri</w:t>
      </w:r>
      <w:r w:rsidR="0070501B" w:rsidRPr="008A486E">
        <w:rPr>
          <w:rFonts w:eastAsia="Times New Roman" w:cstheme="minorHAnsi"/>
          <w:sz w:val="24"/>
          <w:szCs w:val="24"/>
        </w:rPr>
        <w:t>ai</w:t>
      </w:r>
      <w:r w:rsidR="00EF4916" w:rsidRPr="008A486E">
        <w:rPr>
          <w:rFonts w:eastAsia="Times New Roman" w:cstheme="minorHAnsi"/>
          <w:sz w:val="24"/>
          <w:szCs w:val="24"/>
        </w:rPr>
        <w:t xml:space="preserve">, taip pat galima rasti </w:t>
      </w:r>
      <w:r w:rsidR="00A63E45">
        <w:rPr>
          <w:rFonts w:eastAsia="Times New Roman" w:cstheme="minorHAnsi"/>
          <w:sz w:val="24"/>
          <w:szCs w:val="24"/>
        </w:rPr>
        <w:t xml:space="preserve">informacijos </w:t>
      </w:r>
      <w:r w:rsidR="00EF4916" w:rsidRPr="008A486E">
        <w:rPr>
          <w:rFonts w:eastAsia="Times New Roman" w:cstheme="minorHAnsi"/>
          <w:sz w:val="24"/>
          <w:szCs w:val="24"/>
        </w:rPr>
        <w:t xml:space="preserve">ir </w:t>
      </w:r>
      <w:r w:rsidR="00A63E45">
        <w:rPr>
          <w:rFonts w:eastAsia="Times New Roman" w:cstheme="minorHAnsi"/>
          <w:sz w:val="24"/>
          <w:szCs w:val="24"/>
        </w:rPr>
        <w:t xml:space="preserve">apie kitus </w:t>
      </w:r>
      <w:r w:rsidR="00A352E6" w:rsidRPr="008A486E">
        <w:rPr>
          <w:rFonts w:eastAsia="Times New Roman" w:cstheme="minorHAnsi"/>
          <w:sz w:val="24"/>
          <w:szCs w:val="24"/>
        </w:rPr>
        <w:t>„</w:t>
      </w:r>
      <w:proofErr w:type="spellStart"/>
      <w:r w:rsidR="00EF4916" w:rsidRPr="008A486E">
        <w:rPr>
          <w:rFonts w:eastAsia="Times New Roman" w:cstheme="minorHAnsi"/>
          <w:sz w:val="24"/>
          <w:szCs w:val="24"/>
        </w:rPr>
        <w:t>Oracle</w:t>
      </w:r>
      <w:proofErr w:type="spellEnd"/>
      <w:r w:rsidR="00A352E6" w:rsidRPr="008A486E">
        <w:rPr>
          <w:rFonts w:eastAsia="Times New Roman" w:cstheme="minorHAnsi"/>
          <w:sz w:val="24"/>
          <w:szCs w:val="24"/>
        </w:rPr>
        <w:t>“</w:t>
      </w:r>
      <w:r w:rsidR="00EF4916" w:rsidRPr="008A486E">
        <w:rPr>
          <w:rFonts w:eastAsia="Times New Roman" w:cstheme="minorHAnsi"/>
          <w:sz w:val="24"/>
          <w:szCs w:val="24"/>
        </w:rPr>
        <w:t xml:space="preserve"> </w:t>
      </w:r>
      <w:r w:rsidR="00AE39DC" w:rsidRPr="008A486E">
        <w:rPr>
          <w:rFonts w:eastAsia="Times New Roman" w:cstheme="minorHAnsi"/>
          <w:sz w:val="24"/>
          <w:szCs w:val="24"/>
        </w:rPr>
        <w:lastRenderedPageBreak/>
        <w:t>partneri</w:t>
      </w:r>
      <w:r w:rsidR="00A63E45">
        <w:rPr>
          <w:rFonts w:eastAsia="Times New Roman" w:cstheme="minorHAnsi"/>
          <w:sz w:val="24"/>
          <w:szCs w:val="24"/>
        </w:rPr>
        <w:t>us</w:t>
      </w:r>
      <w:r w:rsidR="00AE39DC" w:rsidRPr="008A486E">
        <w:rPr>
          <w:rFonts w:eastAsia="Times New Roman" w:cstheme="minorHAnsi"/>
          <w:sz w:val="24"/>
          <w:szCs w:val="24"/>
        </w:rPr>
        <w:t xml:space="preserve"> Europos Sąjungoje</w:t>
      </w:r>
      <w:r w:rsidR="00EF4916" w:rsidRPr="008A486E">
        <w:rPr>
          <w:rFonts w:eastAsia="Times New Roman" w:cstheme="minorHAnsi"/>
          <w:sz w:val="24"/>
          <w:szCs w:val="24"/>
        </w:rPr>
        <w:t>. Pa</w:t>
      </w:r>
      <w:r w:rsidR="00A63E45">
        <w:rPr>
          <w:rFonts w:eastAsia="Times New Roman" w:cstheme="minorHAnsi"/>
          <w:sz w:val="24"/>
          <w:szCs w:val="24"/>
        </w:rPr>
        <w:t>žymėtina</w:t>
      </w:r>
      <w:r w:rsidR="00EF4916" w:rsidRPr="008A486E">
        <w:rPr>
          <w:rFonts w:eastAsia="Times New Roman" w:cstheme="minorHAnsi"/>
          <w:sz w:val="24"/>
          <w:szCs w:val="24"/>
        </w:rPr>
        <w:t xml:space="preserve">, kad </w:t>
      </w:r>
      <w:r w:rsidR="002412C2" w:rsidRPr="008A486E">
        <w:rPr>
          <w:rFonts w:eastAsia="Times New Roman" w:cstheme="minorHAnsi"/>
          <w:sz w:val="24"/>
          <w:szCs w:val="24"/>
        </w:rPr>
        <w:t>Perkančioji organizacija ne</w:t>
      </w:r>
      <w:r w:rsidR="00A63E45">
        <w:rPr>
          <w:rFonts w:eastAsia="Times New Roman" w:cstheme="minorHAnsi"/>
          <w:sz w:val="24"/>
          <w:szCs w:val="24"/>
        </w:rPr>
        <w:t xml:space="preserve">pagrindė </w:t>
      </w:r>
      <w:r w:rsidR="00B87142">
        <w:rPr>
          <w:rFonts w:eastAsia="Times New Roman" w:cstheme="minorHAnsi"/>
          <w:sz w:val="24"/>
          <w:szCs w:val="24"/>
        </w:rPr>
        <w:t xml:space="preserve">ir </w:t>
      </w:r>
      <w:r w:rsidR="00A63E45">
        <w:rPr>
          <w:rFonts w:eastAsia="Times New Roman" w:cstheme="minorHAnsi"/>
          <w:sz w:val="24"/>
          <w:szCs w:val="24"/>
        </w:rPr>
        <w:t>ne</w:t>
      </w:r>
      <w:r w:rsidR="002412C2" w:rsidRPr="008A486E">
        <w:rPr>
          <w:rFonts w:eastAsia="Times New Roman" w:cstheme="minorHAnsi"/>
          <w:sz w:val="24"/>
          <w:szCs w:val="24"/>
        </w:rPr>
        <w:t xml:space="preserve">pateikė </w:t>
      </w:r>
      <w:r w:rsidR="00A63E45">
        <w:rPr>
          <w:rFonts w:eastAsia="Times New Roman" w:cstheme="minorHAnsi"/>
          <w:sz w:val="24"/>
          <w:szCs w:val="24"/>
        </w:rPr>
        <w:t>paaiškinimų</w:t>
      </w:r>
      <w:r w:rsidR="002412C2" w:rsidRPr="008A486E">
        <w:rPr>
          <w:rFonts w:eastAsia="Times New Roman" w:cstheme="minorHAnsi"/>
          <w:sz w:val="24"/>
          <w:szCs w:val="24"/>
        </w:rPr>
        <w:t xml:space="preserve">, kodėl </w:t>
      </w:r>
      <w:r w:rsidR="00CF0B33">
        <w:rPr>
          <w:rFonts w:eastAsia="Times New Roman" w:cstheme="minorHAnsi"/>
          <w:sz w:val="24"/>
          <w:szCs w:val="24"/>
        </w:rPr>
        <w:t>kiti</w:t>
      </w:r>
      <w:r w:rsidR="00943E09" w:rsidRPr="00943E09">
        <w:rPr>
          <w:rFonts w:eastAsia="Times New Roman" w:cstheme="minorHAnsi"/>
          <w:sz w:val="24"/>
          <w:szCs w:val="24"/>
        </w:rPr>
        <w:t xml:space="preserve"> </w:t>
      </w:r>
      <w:r w:rsidR="00943E09">
        <w:rPr>
          <w:rFonts w:eastAsia="Times New Roman" w:cstheme="minorHAnsi"/>
          <w:sz w:val="24"/>
          <w:szCs w:val="24"/>
        </w:rPr>
        <w:t xml:space="preserve">minėtame </w:t>
      </w:r>
      <w:r w:rsidR="00943E09" w:rsidRPr="001565DD">
        <w:rPr>
          <w:rFonts w:eastAsia="Times New Roman" w:cstheme="minorHAnsi"/>
          <w:sz w:val="24"/>
          <w:szCs w:val="24"/>
        </w:rPr>
        <w:t>sąraš</w:t>
      </w:r>
      <w:r w:rsidR="00943E09">
        <w:rPr>
          <w:rFonts w:eastAsia="Times New Roman" w:cstheme="minorHAnsi"/>
          <w:sz w:val="24"/>
          <w:szCs w:val="24"/>
        </w:rPr>
        <w:t>e</w:t>
      </w:r>
      <w:r w:rsidR="00943E09" w:rsidRPr="001565DD">
        <w:rPr>
          <w:rFonts w:eastAsia="Times New Roman" w:cstheme="minorHAnsi"/>
          <w:sz w:val="24"/>
          <w:szCs w:val="24"/>
        </w:rPr>
        <w:t xml:space="preserve"> (katalog</w:t>
      </w:r>
      <w:r w:rsidR="00943E09">
        <w:rPr>
          <w:rFonts w:eastAsia="Times New Roman" w:cstheme="minorHAnsi"/>
          <w:sz w:val="24"/>
          <w:szCs w:val="24"/>
        </w:rPr>
        <w:t>e</w:t>
      </w:r>
      <w:r w:rsidR="00943E09" w:rsidRPr="001565DD">
        <w:rPr>
          <w:rFonts w:eastAsia="Times New Roman" w:cstheme="minorHAnsi"/>
          <w:sz w:val="24"/>
          <w:szCs w:val="24"/>
        </w:rPr>
        <w:t>)</w:t>
      </w:r>
      <w:r w:rsidR="00943E09">
        <w:rPr>
          <w:rFonts w:eastAsia="Times New Roman" w:cstheme="minorHAnsi"/>
          <w:sz w:val="24"/>
          <w:szCs w:val="24"/>
        </w:rPr>
        <w:t xml:space="preserve">, esantys Lietuvos ir </w:t>
      </w:r>
      <w:r w:rsidR="00943E09" w:rsidRPr="008A486E">
        <w:rPr>
          <w:rFonts w:eastAsia="Times New Roman" w:cstheme="minorHAnsi"/>
          <w:sz w:val="24"/>
          <w:szCs w:val="24"/>
        </w:rPr>
        <w:t>Europos Sąjungo</w:t>
      </w:r>
      <w:r w:rsidR="003F29EC">
        <w:rPr>
          <w:rFonts w:eastAsia="Times New Roman" w:cstheme="minorHAnsi"/>
          <w:sz w:val="24"/>
          <w:szCs w:val="24"/>
        </w:rPr>
        <w:t>s</w:t>
      </w:r>
      <w:r w:rsidR="00943E09" w:rsidRPr="008A486E">
        <w:rPr>
          <w:rFonts w:eastAsia="Times New Roman" w:cstheme="minorHAnsi"/>
          <w:sz w:val="24"/>
          <w:szCs w:val="24"/>
        </w:rPr>
        <w:t xml:space="preserve"> „</w:t>
      </w:r>
      <w:proofErr w:type="spellStart"/>
      <w:r w:rsidR="00943E09" w:rsidRPr="008A486E">
        <w:rPr>
          <w:rFonts w:eastAsia="Times New Roman" w:cstheme="minorHAnsi"/>
          <w:sz w:val="24"/>
          <w:szCs w:val="24"/>
        </w:rPr>
        <w:t>Oracle</w:t>
      </w:r>
      <w:proofErr w:type="spellEnd"/>
      <w:r w:rsidR="00943E09" w:rsidRPr="008A486E">
        <w:rPr>
          <w:rFonts w:eastAsia="Times New Roman" w:cstheme="minorHAnsi"/>
          <w:sz w:val="24"/>
          <w:szCs w:val="24"/>
        </w:rPr>
        <w:t>“ partneriai</w:t>
      </w:r>
      <w:r w:rsidR="00CF0B33">
        <w:rPr>
          <w:rFonts w:eastAsia="Times New Roman" w:cstheme="minorHAnsi"/>
          <w:sz w:val="24"/>
          <w:szCs w:val="24"/>
        </w:rPr>
        <w:t xml:space="preserve"> </w:t>
      </w:r>
      <w:r w:rsidR="007A242F" w:rsidRPr="008A486E">
        <w:rPr>
          <w:rFonts w:eastAsia="Times New Roman" w:cstheme="minorHAnsi"/>
          <w:sz w:val="24"/>
          <w:szCs w:val="24"/>
        </w:rPr>
        <w:t xml:space="preserve">negalėtų </w:t>
      </w:r>
      <w:r w:rsidR="001566C9" w:rsidRPr="008A486E">
        <w:rPr>
          <w:rFonts w:eastAsia="Times New Roman" w:cstheme="minorHAnsi"/>
          <w:sz w:val="24"/>
          <w:szCs w:val="24"/>
        </w:rPr>
        <w:t>su</w:t>
      </w:r>
      <w:r w:rsidR="007E6275" w:rsidRPr="008A486E">
        <w:rPr>
          <w:rFonts w:eastAsia="Times New Roman" w:cstheme="minorHAnsi"/>
          <w:sz w:val="24"/>
          <w:szCs w:val="24"/>
        </w:rPr>
        <w:t>teikti Pir</w:t>
      </w:r>
      <w:r w:rsidR="001566C9" w:rsidRPr="008A486E">
        <w:rPr>
          <w:rFonts w:eastAsia="Times New Roman" w:cstheme="minorHAnsi"/>
          <w:sz w:val="24"/>
          <w:szCs w:val="24"/>
        </w:rPr>
        <w:t>k</w:t>
      </w:r>
      <w:r w:rsidR="007E6275" w:rsidRPr="008A486E">
        <w:rPr>
          <w:rFonts w:eastAsia="Times New Roman" w:cstheme="minorHAnsi"/>
          <w:sz w:val="24"/>
          <w:szCs w:val="24"/>
        </w:rPr>
        <w:t xml:space="preserve">imu siekiamų įsigyti paslaugų. </w:t>
      </w:r>
      <w:r w:rsidR="00F67D5D" w:rsidRPr="008A486E">
        <w:rPr>
          <w:rFonts w:eastAsia="Times New Roman" w:cstheme="minorHAnsi"/>
          <w:sz w:val="24"/>
          <w:szCs w:val="24"/>
        </w:rPr>
        <w:t>Paminėtina</w:t>
      </w:r>
      <w:r w:rsidR="007E6275" w:rsidRPr="008A486E">
        <w:rPr>
          <w:rFonts w:eastAsia="Times New Roman" w:cstheme="minorHAnsi"/>
          <w:sz w:val="24"/>
          <w:szCs w:val="24"/>
        </w:rPr>
        <w:t xml:space="preserve"> ir tai</w:t>
      </w:r>
      <w:r w:rsidR="00F67D5D" w:rsidRPr="008A486E">
        <w:rPr>
          <w:rFonts w:eastAsia="Times New Roman" w:cstheme="minorHAnsi"/>
          <w:sz w:val="24"/>
          <w:szCs w:val="24"/>
        </w:rPr>
        <w:t xml:space="preserve">, kad </w:t>
      </w:r>
      <w:r w:rsidR="00CF6C77" w:rsidRPr="008A486E">
        <w:rPr>
          <w:rFonts w:eastAsia="Times New Roman" w:cstheme="minorHAnsi"/>
          <w:sz w:val="24"/>
          <w:szCs w:val="24"/>
        </w:rPr>
        <w:t>viešai skelbiamoje „</w:t>
      </w:r>
      <w:proofErr w:type="spellStart"/>
      <w:r w:rsidR="00CF6C77" w:rsidRPr="008A486E">
        <w:rPr>
          <w:rFonts w:eastAsia="Times New Roman" w:cstheme="minorHAnsi"/>
          <w:sz w:val="24"/>
          <w:szCs w:val="24"/>
        </w:rPr>
        <w:t>Oracle</w:t>
      </w:r>
      <w:proofErr w:type="spellEnd"/>
      <w:r w:rsidR="00CF6C77" w:rsidRPr="008A486E">
        <w:rPr>
          <w:rFonts w:eastAsia="Times New Roman" w:cstheme="minorHAnsi"/>
          <w:sz w:val="24"/>
          <w:szCs w:val="24"/>
        </w:rPr>
        <w:t>“</w:t>
      </w:r>
      <w:r w:rsidR="00A63E45">
        <w:rPr>
          <w:rFonts w:eastAsia="Times New Roman" w:cstheme="minorHAnsi"/>
          <w:sz w:val="24"/>
          <w:szCs w:val="24"/>
        </w:rPr>
        <w:t xml:space="preserve"> informacijoje apie</w:t>
      </w:r>
      <w:r w:rsidR="00CF6C77" w:rsidRPr="008A486E">
        <w:rPr>
          <w:rFonts w:eastAsia="Times New Roman" w:cstheme="minorHAnsi"/>
          <w:sz w:val="24"/>
          <w:szCs w:val="24"/>
        </w:rPr>
        <w:t xml:space="preserve"> partneri</w:t>
      </w:r>
      <w:r w:rsidR="00A63E45">
        <w:rPr>
          <w:rFonts w:eastAsia="Times New Roman" w:cstheme="minorHAnsi"/>
          <w:sz w:val="24"/>
          <w:szCs w:val="24"/>
        </w:rPr>
        <w:t xml:space="preserve">us </w:t>
      </w:r>
      <w:r w:rsidR="0084060B" w:rsidRPr="008A486E">
        <w:rPr>
          <w:rFonts w:eastAsia="Times New Roman" w:cstheme="minorHAnsi"/>
          <w:sz w:val="24"/>
          <w:szCs w:val="24"/>
        </w:rPr>
        <w:t xml:space="preserve">pateikta </w:t>
      </w:r>
      <w:r w:rsidR="00A63E45">
        <w:rPr>
          <w:rFonts w:eastAsia="Times New Roman" w:cstheme="minorHAnsi"/>
          <w:sz w:val="24"/>
          <w:szCs w:val="24"/>
        </w:rPr>
        <w:t>tik dalinė</w:t>
      </w:r>
      <w:r w:rsidR="005F45DB">
        <w:rPr>
          <w:rFonts w:eastAsia="Times New Roman" w:cstheme="minorHAnsi"/>
          <w:sz w:val="24"/>
          <w:szCs w:val="24"/>
        </w:rPr>
        <w:t xml:space="preserve"> informacija</w:t>
      </w:r>
      <w:r w:rsidR="0084060B" w:rsidRPr="008A486E">
        <w:rPr>
          <w:rFonts w:eastAsia="Times New Roman" w:cstheme="minorHAnsi"/>
          <w:sz w:val="24"/>
          <w:szCs w:val="24"/>
        </w:rPr>
        <w:t xml:space="preserve"> apie </w:t>
      </w:r>
      <w:r w:rsidR="00EB481F">
        <w:rPr>
          <w:rFonts w:eastAsia="Times New Roman" w:cstheme="minorHAnsi"/>
          <w:sz w:val="24"/>
          <w:szCs w:val="24"/>
        </w:rPr>
        <w:t>juos</w:t>
      </w:r>
      <w:r w:rsidR="005F45DB">
        <w:rPr>
          <w:rFonts w:eastAsia="Times New Roman" w:cstheme="minorHAnsi"/>
          <w:sz w:val="24"/>
          <w:szCs w:val="24"/>
        </w:rPr>
        <w:t xml:space="preserve">, todėl </w:t>
      </w:r>
      <w:r w:rsidR="007C6CCB">
        <w:rPr>
          <w:rFonts w:eastAsia="Times New Roman" w:cstheme="minorHAnsi"/>
          <w:sz w:val="24"/>
          <w:szCs w:val="24"/>
        </w:rPr>
        <w:t>objektyviai nėra galimybių nustatyti partne</w:t>
      </w:r>
      <w:r w:rsidR="0072616C">
        <w:rPr>
          <w:rFonts w:eastAsia="Times New Roman" w:cstheme="minorHAnsi"/>
          <w:sz w:val="24"/>
          <w:szCs w:val="24"/>
        </w:rPr>
        <w:t xml:space="preserve">rių </w:t>
      </w:r>
      <w:r w:rsidR="002C6A78" w:rsidRPr="008A486E">
        <w:rPr>
          <w:rFonts w:eastAsia="Times New Roman" w:cstheme="minorHAnsi"/>
          <w:sz w:val="24"/>
          <w:szCs w:val="24"/>
        </w:rPr>
        <w:t>pajėgum</w:t>
      </w:r>
      <w:r w:rsidR="0072616C">
        <w:rPr>
          <w:rFonts w:eastAsia="Times New Roman" w:cstheme="minorHAnsi"/>
          <w:sz w:val="24"/>
          <w:szCs w:val="24"/>
        </w:rPr>
        <w:t>ų</w:t>
      </w:r>
      <w:r w:rsidR="002C6A78" w:rsidRPr="008A486E">
        <w:rPr>
          <w:rFonts w:eastAsia="Times New Roman" w:cstheme="minorHAnsi"/>
          <w:sz w:val="24"/>
          <w:szCs w:val="24"/>
        </w:rPr>
        <w:t>, akreditacij</w:t>
      </w:r>
      <w:r w:rsidR="0072616C">
        <w:rPr>
          <w:rFonts w:eastAsia="Times New Roman" w:cstheme="minorHAnsi"/>
          <w:sz w:val="24"/>
          <w:szCs w:val="24"/>
        </w:rPr>
        <w:t xml:space="preserve">ų </w:t>
      </w:r>
      <w:r w:rsidR="00F375A2" w:rsidRPr="008A486E">
        <w:rPr>
          <w:rFonts w:eastAsia="Times New Roman" w:cstheme="minorHAnsi"/>
          <w:sz w:val="24"/>
          <w:szCs w:val="24"/>
        </w:rPr>
        <w:t>ir pan</w:t>
      </w:r>
      <w:r w:rsidR="00FB101B" w:rsidRPr="008A486E">
        <w:rPr>
          <w:rFonts w:eastAsia="Times New Roman" w:cstheme="minorHAnsi"/>
          <w:sz w:val="24"/>
          <w:szCs w:val="24"/>
        </w:rPr>
        <w:t>.</w:t>
      </w:r>
    </w:p>
    <w:p w14:paraId="7269FB50" w14:textId="7BB97386" w:rsidR="00252887" w:rsidRPr="008A486E" w:rsidRDefault="00A63E45" w:rsidP="003F0CDD">
      <w:pPr>
        <w:tabs>
          <w:tab w:val="left" w:pos="1134"/>
        </w:tabs>
        <w:ind w:firstLine="567"/>
        <w:contextualSpacing/>
        <w:rPr>
          <w:rFonts w:eastAsia="Times New Roman" w:cstheme="minorHAnsi"/>
          <w:sz w:val="24"/>
          <w:szCs w:val="24"/>
        </w:rPr>
      </w:pPr>
      <w:r>
        <w:rPr>
          <w:rFonts w:eastAsia="Times New Roman" w:cstheme="minorHAnsi"/>
          <w:sz w:val="24"/>
          <w:szCs w:val="24"/>
        </w:rPr>
        <w:t>Atkreiptinas dėmesys, kad nagrinėjamu atveju</w:t>
      </w:r>
      <w:r w:rsidR="00B87142">
        <w:rPr>
          <w:rFonts w:eastAsia="Times New Roman" w:cstheme="minorHAnsi"/>
          <w:sz w:val="24"/>
          <w:szCs w:val="24"/>
        </w:rPr>
        <w:t>,</w:t>
      </w:r>
      <w:r>
        <w:rPr>
          <w:rFonts w:eastAsia="Times New Roman" w:cstheme="minorHAnsi"/>
          <w:sz w:val="24"/>
          <w:szCs w:val="24"/>
        </w:rPr>
        <w:t xml:space="preserve"> Perkančiosios organizacijos kartu su prašymu </w:t>
      </w:r>
      <w:r w:rsidR="00483A62" w:rsidRPr="008A486E">
        <w:rPr>
          <w:rFonts w:eastAsia="Times New Roman" w:cstheme="minorHAnsi"/>
          <w:sz w:val="24"/>
          <w:szCs w:val="24"/>
        </w:rPr>
        <w:t>p</w:t>
      </w:r>
      <w:r w:rsidR="00D01772" w:rsidRPr="008A486E">
        <w:rPr>
          <w:rFonts w:eastAsia="Times New Roman" w:cstheme="minorHAnsi"/>
          <w:sz w:val="24"/>
          <w:szCs w:val="24"/>
        </w:rPr>
        <w:t xml:space="preserve">ateiktas </w:t>
      </w:r>
      <w:r w:rsidR="007F0A78" w:rsidRPr="008A486E">
        <w:rPr>
          <w:rFonts w:eastAsia="Times New Roman" w:cstheme="minorHAnsi"/>
          <w:sz w:val="24"/>
          <w:szCs w:val="24"/>
        </w:rPr>
        <w:t>„</w:t>
      </w:r>
      <w:proofErr w:type="spellStart"/>
      <w:r w:rsidR="007F0A78" w:rsidRPr="008A486E">
        <w:rPr>
          <w:rFonts w:eastAsia="Times New Roman" w:cstheme="minorHAnsi"/>
          <w:sz w:val="24"/>
          <w:szCs w:val="24"/>
        </w:rPr>
        <w:t>Oracle</w:t>
      </w:r>
      <w:proofErr w:type="spellEnd"/>
      <w:r w:rsidR="007F0A78" w:rsidRPr="008A486E">
        <w:rPr>
          <w:rFonts w:eastAsia="Times New Roman" w:cstheme="minorHAnsi"/>
          <w:sz w:val="24"/>
          <w:szCs w:val="24"/>
        </w:rPr>
        <w:t xml:space="preserve">“ gamintojo atstovo – </w:t>
      </w:r>
      <w:proofErr w:type="spellStart"/>
      <w:r w:rsidR="007F0A78" w:rsidRPr="008A486E">
        <w:rPr>
          <w:rFonts w:eastAsia="Times New Roman" w:cstheme="minorHAnsi"/>
          <w:sz w:val="24"/>
          <w:szCs w:val="24"/>
        </w:rPr>
        <w:t>Oracle</w:t>
      </w:r>
      <w:proofErr w:type="spellEnd"/>
      <w:r w:rsidR="007F0A78" w:rsidRPr="008A486E">
        <w:rPr>
          <w:rFonts w:eastAsia="Times New Roman" w:cstheme="minorHAnsi"/>
          <w:sz w:val="24"/>
          <w:szCs w:val="24"/>
        </w:rPr>
        <w:t xml:space="preserve"> </w:t>
      </w:r>
      <w:proofErr w:type="spellStart"/>
      <w:r w:rsidR="007F0A78" w:rsidRPr="008A486E">
        <w:rPr>
          <w:rFonts w:eastAsia="Times New Roman" w:cstheme="minorHAnsi"/>
          <w:sz w:val="24"/>
          <w:szCs w:val="24"/>
        </w:rPr>
        <w:t>East</w:t>
      </w:r>
      <w:proofErr w:type="spellEnd"/>
      <w:r w:rsidR="007F0A78" w:rsidRPr="008A486E">
        <w:rPr>
          <w:rFonts w:eastAsia="Times New Roman" w:cstheme="minorHAnsi"/>
          <w:sz w:val="24"/>
          <w:szCs w:val="24"/>
        </w:rPr>
        <w:t xml:space="preserve"> </w:t>
      </w:r>
      <w:proofErr w:type="spellStart"/>
      <w:r w:rsidR="007F0A78" w:rsidRPr="008A486E">
        <w:rPr>
          <w:rFonts w:eastAsia="Times New Roman" w:cstheme="minorHAnsi"/>
          <w:sz w:val="24"/>
          <w:szCs w:val="24"/>
        </w:rPr>
        <w:t>Central</w:t>
      </w:r>
      <w:proofErr w:type="spellEnd"/>
      <w:r w:rsidR="007F0A78" w:rsidRPr="008A486E">
        <w:rPr>
          <w:rFonts w:eastAsia="Times New Roman" w:cstheme="minorHAnsi"/>
          <w:sz w:val="24"/>
          <w:szCs w:val="24"/>
        </w:rPr>
        <w:t xml:space="preserve"> </w:t>
      </w:r>
      <w:proofErr w:type="spellStart"/>
      <w:r w:rsidR="007F0A78" w:rsidRPr="008A486E">
        <w:rPr>
          <w:rFonts w:eastAsia="Times New Roman" w:cstheme="minorHAnsi"/>
          <w:sz w:val="24"/>
          <w:szCs w:val="24"/>
        </w:rPr>
        <w:t>Europe</w:t>
      </w:r>
      <w:proofErr w:type="spellEnd"/>
      <w:r w:rsidR="007F0A78" w:rsidRPr="008A486E">
        <w:rPr>
          <w:rFonts w:eastAsia="Times New Roman" w:cstheme="minorHAnsi"/>
          <w:sz w:val="24"/>
          <w:szCs w:val="24"/>
        </w:rPr>
        <w:t xml:space="preserve"> </w:t>
      </w:r>
      <w:proofErr w:type="spellStart"/>
      <w:r w:rsidR="007F0A78" w:rsidRPr="008A486E">
        <w:rPr>
          <w:rFonts w:eastAsia="Times New Roman" w:cstheme="minorHAnsi"/>
          <w:sz w:val="24"/>
          <w:szCs w:val="24"/>
        </w:rPr>
        <w:t>Limited</w:t>
      </w:r>
      <w:proofErr w:type="spellEnd"/>
      <w:r w:rsidR="007F0A78" w:rsidRPr="008A486E">
        <w:rPr>
          <w:rFonts w:eastAsia="Times New Roman" w:cstheme="minorHAnsi"/>
          <w:sz w:val="24"/>
          <w:szCs w:val="24"/>
        </w:rPr>
        <w:t xml:space="preserve"> filialo, </w:t>
      </w:r>
      <w:r w:rsidR="005E502F" w:rsidRPr="008A486E">
        <w:rPr>
          <w:rFonts w:eastAsia="Times New Roman" w:cstheme="minorHAnsi"/>
          <w:sz w:val="24"/>
          <w:szCs w:val="24"/>
        </w:rPr>
        <w:t xml:space="preserve">el. </w:t>
      </w:r>
      <w:r w:rsidR="00D01772" w:rsidRPr="008A486E">
        <w:rPr>
          <w:rFonts w:eastAsia="Times New Roman" w:cstheme="minorHAnsi"/>
          <w:sz w:val="24"/>
          <w:szCs w:val="24"/>
        </w:rPr>
        <w:t xml:space="preserve">laiškas </w:t>
      </w:r>
      <w:r>
        <w:rPr>
          <w:rFonts w:eastAsia="Times New Roman" w:cstheme="minorHAnsi"/>
          <w:sz w:val="24"/>
          <w:szCs w:val="24"/>
        </w:rPr>
        <w:t xml:space="preserve">nėra oficialus dokumentas, o jame </w:t>
      </w:r>
      <w:r w:rsidR="00A7227A" w:rsidRPr="008A486E">
        <w:rPr>
          <w:rFonts w:eastAsia="Times New Roman" w:cstheme="minorHAnsi"/>
          <w:sz w:val="24"/>
          <w:szCs w:val="24"/>
        </w:rPr>
        <w:t xml:space="preserve">pateikta </w:t>
      </w:r>
      <w:r>
        <w:rPr>
          <w:rFonts w:eastAsia="Times New Roman" w:cstheme="minorHAnsi"/>
          <w:sz w:val="24"/>
          <w:szCs w:val="24"/>
        </w:rPr>
        <w:t xml:space="preserve">tik </w:t>
      </w:r>
      <w:r w:rsidR="00A7227A" w:rsidRPr="008A486E">
        <w:rPr>
          <w:rFonts w:eastAsia="Times New Roman" w:cstheme="minorHAnsi"/>
          <w:sz w:val="24"/>
          <w:szCs w:val="24"/>
        </w:rPr>
        <w:t>bendro pobūdžio informacija</w:t>
      </w:r>
      <w:r w:rsidR="00B75B94" w:rsidRPr="008A486E">
        <w:rPr>
          <w:rFonts w:eastAsia="Times New Roman" w:cstheme="minorHAnsi"/>
          <w:sz w:val="24"/>
          <w:szCs w:val="24"/>
        </w:rPr>
        <w:t xml:space="preserve">, </w:t>
      </w:r>
      <w:r w:rsidR="004E11A2" w:rsidRPr="008A486E">
        <w:rPr>
          <w:rFonts w:eastAsia="Times New Roman" w:cstheme="minorHAnsi"/>
          <w:sz w:val="24"/>
          <w:szCs w:val="24"/>
        </w:rPr>
        <w:t>kuri neati</w:t>
      </w:r>
      <w:r w:rsidR="0084060B" w:rsidRPr="008A486E">
        <w:rPr>
          <w:rFonts w:eastAsia="Times New Roman" w:cstheme="minorHAnsi"/>
          <w:sz w:val="24"/>
          <w:szCs w:val="24"/>
        </w:rPr>
        <w:t xml:space="preserve">tinka oficialaus </w:t>
      </w:r>
      <w:r w:rsidR="00152D8F" w:rsidRPr="008A486E">
        <w:rPr>
          <w:rFonts w:eastAsia="Times New Roman" w:cstheme="minorHAnsi"/>
          <w:sz w:val="24"/>
          <w:szCs w:val="24"/>
        </w:rPr>
        <w:t>viešai skelbiamo „</w:t>
      </w:r>
      <w:proofErr w:type="spellStart"/>
      <w:r w:rsidR="0084060B" w:rsidRPr="008A486E">
        <w:rPr>
          <w:rFonts w:eastAsia="Times New Roman" w:cstheme="minorHAnsi"/>
          <w:sz w:val="24"/>
          <w:szCs w:val="24"/>
        </w:rPr>
        <w:t>Oracle</w:t>
      </w:r>
      <w:proofErr w:type="spellEnd"/>
      <w:r w:rsidR="00152D8F" w:rsidRPr="008A486E">
        <w:rPr>
          <w:rFonts w:eastAsia="Times New Roman" w:cstheme="minorHAnsi"/>
          <w:sz w:val="24"/>
          <w:szCs w:val="24"/>
        </w:rPr>
        <w:t>“</w:t>
      </w:r>
      <w:r w:rsidR="0084060B" w:rsidRPr="008A486E">
        <w:rPr>
          <w:rFonts w:eastAsia="Times New Roman" w:cstheme="minorHAnsi"/>
          <w:sz w:val="24"/>
          <w:szCs w:val="24"/>
        </w:rPr>
        <w:t xml:space="preserve"> partnerių katalogo informacijos, </w:t>
      </w:r>
      <w:r>
        <w:rPr>
          <w:rFonts w:eastAsia="Times New Roman" w:cstheme="minorHAnsi"/>
          <w:sz w:val="24"/>
          <w:szCs w:val="24"/>
        </w:rPr>
        <w:t xml:space="preserve">todėl </w:t>
      </w:r>
      <w:r w:rsidR="00B75B94" w:rsidRPr="008A486E">
        <w:rPr>
          <w:rFonts w:eastAsia="Times New Roman" w:cstheme="minorHAnsi"/>
          <w:sz w:val="24"/>
          <w:szCs w:val="24"/>
        </w:rPr>
        <w:t xml:space="preserve">negali būti laikomas objektyviu </w:t>
      </w:r>
      <w:r w:rsidR="0084060B" w:rsidRPr="008A486E">
        <w:rPr>
          <w:rFonts w:eastAsia="Times New Roman" w:cstheme="minorHAnsi"/>
          <w:sz w:val="24"/>
          <w:szCs w:val="24"/>
        </w:rPr>
        <w:t>įrod</w:t>
      </w:r>
      <w:r>
        <w:rPr>
          <w:rFonts w:eastAsia="Times New Roman" w:cstheme="minorHAnsi"/>
          <w:sz w:val="24"/>
          <w:szCs w:val="24"/>
        </w:rPr>
        <w:t xml:space="preserve">ymu, kad </w:t>
      </w:r>
      <w:r w:rsidR="009444CE" w:rsidRPr="008A486E">
        <w:rPr>
          <w:rFonts w:eastAsia="Times New Roman" w:cstheme="minorHAnsi"/>
          <w:sz w:val="24"/>
          <w:szCs w:val="24"/>
        </w:rPr>
        <w:t xml:space="preserve">tik trys </w:t>
      </w:r>
      <w:r w:rsidR="00152D8F" w:rsidRPr="008A486E">
        <w:rPr>
          <w:rFonts w:eastAsia="Times New Roman" w:cstheme="minorHAnsi"/>
          <w:sz w:val="24"/>
          <w:szCs w:val="24"/>
        </w:rPr>
        <w:t>„</w:t>
      </w:r>
      <w:proofErr w:type="spellStart"/>
      <w:r w:rsidR="009444CE" w:rsidRPr="008A486E">
        <w:rPr>
          <w:rFonts w:eastAsia="Times New Roman" w:cstheme="minorHAnsi"/>
          <w:sz w:val="24"/>
          <w:szCs w:val="24"/>
        </w:rPr>
        <w:t>Oracle</w:t>
      </w:r>
      <w:proofErr w:type="spellEnd"/>
      <w:r w:rsidR="00152D8F" w:rsidRPr="008A486E">
        <w:rPr>
          <w:rFonts w:eastAsia="Times New Roman" w:cstheme="minorHAnsi"/>
          <w:sz w:val="24"/>
          <w:szCs w:val="24"/>
        </w:rPr>
        <w:t>“</w:t>
      </w:r>
      <w:r w:rsidR="003335D8" w:rsidRPr="008A486E">
        <w:rPr>
          <w:rFonts w:eastAsia="Times New Roman" w:cstheme="minorHAnsi"/>
          <w:sz w:val="24"/>
          <w:szCs w:val="24"/>
        </w:rPr>
        <w:t xml:space="preserve"> gamintojo</w:t>
      </w:r>
      <w:r w:rsidR="009444CE" w:rsidRPr="008A486E">
        <w:rPr>
          <w:rFonts w:eastAsia="Times New Roman" w:cstheme="minorHAnsi"/>
          <w:sz w:val="24"/>
          <w:szCs w:val="24"/>
        </w:rPr>
        <w:t xml:space="preserve"> atstov</w:t>
      </w:r>
      <w:r w:rsidR="001753FB">
        <w:rPr>
          <w:rFonts w:eastAsia="Times New Roman" w:cstheme="minorHAnsi"/>
          <w:sz w:val="24"/>
          <w:szCs w:val="24"/>
        </w:rPr>
        <w:t>ai</w:t>
      </w:r>
      <w:r w:rsidR="009444CE" w:rsidRPr="008A486E">
        <w:rPr>
          <w:rFonts w:eastAsia="Times New Roman" w:cstheme="minorHAnsi"/>
          <w:sz w:val="24"/>
          <w:szCs w:val="24"/>
        </w:rPr>
        <w:t xml:space="preserve"> </w:t>
      </w:r>
      <w:r w:rsidR="005A3C5D" w:rsidRPr="008A486E">
        <w:rPr>
          <w:rFonts w:eastAsia="Times New Roman" w:cstheme="minorHAnsi"/>
          <w:sz w:val="24"/>
          <w:szCs w:val="24"/>
        </w:rPr>
        <w:t xml:space="preserve">gali suteikti </w:t>
      </w:r>
      <w:r w:rsidR="003335D8" w:rsidRPr="008A486E">
        <w:rPr>
          <w:rFonts w:eastAsia="Times New Roman" w:cstheme="minorHAnsi"/>
          <w:sz w:val="24"/>
          <w:szCs w:val="24"/>
        </w:rPr>
        <w:t>siekiamas įsigyti</w:t>
      </w:r>
      <w:r w:rsidR="005A3C5D" w:rsidRPr="008A486E">
        <w:rPr>
          <w:rFonts w:eastAsia="Times New Roman" w:cstheme="minorHAnsi"/>
          <w:sz w:val="24"/>
          <w:szCs w:val="24"/>
        </w:rPr>
        <w:t xml:space="preserve"> paslaugas</w:t>
      </w:r>
      <w:r w:rsidR="003335D8" w:rsidRPr="008A486E">
        <w:rPr>
          <w:rFonts w:eastAsia="Times New Roman" w:cstheme="minorHAnsi"/>
          <w:sz w:val="24"/>
          <w:szCs w:val="24"/>
        </w:rPr>
        <w:t xml:space="preserve">. </w:t>
      </w:r>
      <w:r w:rsidR="002C6314" w:rsidRPr="008A486E">
        <w:rPr>
          <w:rFonts w:eastAsia="Times New Roman" w:cstheme="minorHAnsi"/>
          <w:sz w:val="24"/>
          <w:szCs w:val="24"/>
        </w:rPr>
        <w:t xml:space="preserve">Pažymėtina, kad </w:t>
      </w:r>
      <w:r>
        <w:rPr>
          <w:rFonts w:eastAsia="Times New Roman" w:cstheme="minorHAnsi"/>
          <w:sz w:val="24"/>
          <w:szCs w:val="24"/>
        </w:rPr>
        <w:t xml:space="preserve">šią aplinkybę </w:t>
      </w:r>
      <w:r w:rsidR="00252887" w:rsidRPr="008A486E">
        <w:rPr>
          <w:rFonts w:eastAsia="Times New Roman" w:cstheme="minorHAnsi"/>
          <w:sz w:val="24"/>
          <w:szCs w:val="24"/>
        </w:rPr>
        <w:t xml:space="preserve">pripažįsta ir </w:t>
      </w:r>
      <w:r>
        <w:rPr>
          <w:rFonts w:eastAsia="Times New Roman" w:cstheme="minorHAnsi"/>
          <w:sz w:val="24"/>
          <w:szCs w:val="24"/>
        </w:rPr>
        <w:t xml:space="preserve">pati </w:t>
      </w:r>
      <w:r w:rsidR="00252887" w:rsidRPr="008A486E">
        <w:rPr>
          <w:rFonts w:eastAsia="Times New Roman" w:cstheme="minorHAnsi"/>
          <w:sz w:val="24"/>
          <w:szCs w:val="24"/>
        </w:rPr>
        <w:t>Perkančioji organizacija,</w:t>
      </w:r>
      <w:r w:rsidR="00CA5D50" w:rsidRPr="008A486E">
        <w:rPr>
          <w:rFonts w:eastAsia="Times New Roman" w:cstheme="minorHAnsi"/>
          <w:sz w:val="24"/>
          <w:szCs w:val="24"/>
        </w:rPr>
        <w:t xml:space="preserve"> nurodyda</w:t>
      </w:r>
      <w:r w:rsidR="0045129B" w:rsidRPr="008A486E">
        <w:rPr>
          <w:rFonts w:eastAsia="Times New Roman" w:cstheme="minorHAnsi"/>
          <w:sz w:val="24"/>
          <w:szCs w:val="24"/>
        </w:rPr>
        <w:t>ma</w:t>
      </w:r>
      <w:r w:rsidR="00CA5D50" w:rsidRPr="008A486E">
        <w:rPr>
          <w:rFonts w:eastAsia="Times New Roman" w:cstheme="minorHAnsi"/>
          <w:sz w:val="24"/>
          <w:szCs w:val="24"/>
        </w:rPr>
        <w:t>,</w:t>
      </w:r>
      <w:r w:rsidR="00252887" w:rsidRPr="008A486E">
        <w:rPr>
          <w:rFonts w:eastAsia="Times New Roman" w:cstheme="minorHAnsi"/>
          <w:sz w:val="24"/>
          <w:szCs w:val="24"/>
        </w:rPr>
        <w:t xml:space="preserve"> kad atsižvelg</w:t>
      </w:r>
      <w:r>
        <w:rPr>
          <w:rFonts w:eastAsia="Times New Roman" w:cstheme="minorHAnsi"/>
          <w:sz w:val="24"/>
          <w:szCs w:val="24"/>
        </w:rPr>
        <w:t xml:space="preserve">iant į </w:t>
      </w:r>
      <w:r w:rsidR="00252887" w:rsidRPr="008A486E">
        <w:rPr>
          <w:rFonts w:eastAsia="Times New Roman" w:cstheme="minorHAnsi"/>
          <w:sz w:val="24"/>
          <w:szCs w:val="24"/>
        </w:rPr>
        <w:t xml:space="preserve">tai, </w:t>
      </w:r>
      <w:r w:rsidR="003520FE">
        <w:rPr>
          <w:rFonts w:eastAsia="Times New Roman" w:cstheme="minorHAnsi"/>
          <w:sz w:val="24"/>
          <w:szCs w:val="24"/>
        </w:rPr>
        <w:t>jog</w:t>
      </w:r>
      <w:r w:rsidR="00252887" w:rsidRPr="008A486E">
        <w:rPr>
          <w:rFonts w:eastAsia="Times New Roman" w:cstheme="minorHAnsi"/>
          <w:sz w:val="24"/>
          <w:szCs w:val="24"/>
        </w:rPr>
        <w:t xml:space="preserve"> </w:t>
      </w:r>
      <w:r>
        <w:rPr>
          <w:rFonts w:eastAsia="Times New Roman" w:cstheme="minorHAnsi"/>
          <w:sz w:val="24"/>
          <w:szCs w:val="24"/>
        </w:rPr>
        <w:t xml:space="preserve">Pirkimu siekiamas įsigyti </w:t>
      </w:r>
      <w:r w:rsidR="00252887" w:rsidRPr="008A486E">
        <w:rPr>
          <w:rFonts w:eastAsia="Times New Roman" w:cstheme="minorHAnsi"/>
          <w:sz w:val="24"/>
          <w:szCs w:val="24"/>
        </w:rPr>
        <w:t>paslaugas</w:t>
      </w:r>
      <w:r w:rsidR="006F4671">
        <w:rPr>
          <w:rFonts w:eastAsia="Times New Roman" w:cstheme="minorHAnsi"/>
          <w:sz w:val="24"/>
          <w:szCs w:val="24"/>
        </w:rPr>
        <w:t xml:space="preserve"> suteikti galinčių </w:t>
      </w:r>
      <w:r w:rsidR="00252887" w:rsidRPr="008A486E">
        <w:rPr>
          <w:rFonts w:eastAsia="Times New Roman" w:cstheme="minorHAnsi"/>
          <w:sz w:val="24"/>
          <w:szCs w:val="24"/>
        </w:rPr>
        <w:t>tiekėjų skaičius kinta,</w:t>
      </w:r>
      <w:r w:rsidR="005334F7" w:rsidRPr="008A486E">
        <w:rPr>
          <w:rFonts w:eastAsia="Times New Roman" w:cstheme="minorHAnsi"/>
          <w:sz w:val="24"/>
          <w:szCs w:val="24"/>
        </w:rPr>
        <w:t xml:space="preserve"> Perkančioji organizacija</w:t>
      </w:r>
      <w:r w:rsidR="00252887" w:rsidRPr="008A486E">
        <w:rPr>
          <w:rFonts w:eastAsia="Times New Roman" w:cstheme="minorHAnsi"/>
          <w:sz w:val="24"/>
          <w:szCs w:val="24"/>
        </w:rPr>
        <w:t xml:space="preserve"> gavusi Tarnybos </w:t>
      </w:r>
      <w:r w:rsidR="006F4671">
        <w:rPr>
          <w:rFonts w:eastAsia="Times New Roman" w:cstheme="minorHAnsi"/>
          <w:sz w:val="24"/>
          <w:szCs w:val="24"/>
        </w:rPr>
        <w:t xml:space="preserve">sutikimą </w:t>
      </w:r>
      <w:r w:rsidR="00252887" w:rsidRPr="008A486E">
        <w:rPr>
          <w:rFonts w:eastAsia="Times New Roman" w:cstheme="minorHAnsi"/>
          <w:sz w:val="24"/>
          <w:szCs w:val="24"/>
        </w:rPr>
        <w:t xml:space="preserve">dėl </w:t>
      </w:r>
      <w:r w:rsidR="006F4671">
        <w:rPr>
          <w:rFonts w:eastAsia="Times New Roman" w:cstheme="minorHAnsi"/>
          <w:sz w:val="24"/>
          <w:szCs w:val="24"/>
        </w:rPr>
        <w:t>pasirinkto pirkimo būdo</w:t>
      </w:r>
      <w:r w:rsidR="00252887" w:rsidRPr="008A486E">
        <w:rPr>
          <w:rFonts w:eastAsia="Times New Roman" w:cstheme="minorHAnsi"/>
          <w:sz w:val="24"/>
          <w:szCs w:val="24"/>
        </w:rPr>
        <w:t xml:space="preserve">, prieš </w:t>
      </w:r>
      <w:r w:rsidR="006F4671">
        <w:rPr>
          <w:rFonts w:eastAsia="Times New Roman" w:cstheme="minorHAnsi"/>
          <w:sz w:val="24"/>
          <w:szCs w:val="24"/>
        </w:rPr>
        <w:t>P</w:t>
      </w:r>
      <w:r w:rsidR="00252887" w:rsidRPr="008A486E">
        <w:rPr>
          <w:rFonts w:eastAsia="Times New Roman" w:cstheme="minorHAnsi"/>
          <w:sz w:val="24"/>
          <w:szCs w:val="24"/>
        </w:rPr>
        <w:t>irkim</w:t>
      </w:r>
      <w:r w:rsidR="006F4671">
        <w:rPr>
          <w:rFonts w:eastAsia="Times New Roman" w:cstheme="minorHAnsi"/>
          <w:sz w:val="24"/>
          <w:szCs w:val="24"/>
        </w:rPr>
        <w:t>o vykdymą</w:t>
      </w:r>
      <w:r w:rsidR="0081512B">
        <w:rPr>
          <w:rFonts w:eastAsia="Times New Roman" w:cstheme="minorHAnsi"/>
          <w:sz w:val="24"/>
          <w:szCs w:val="24"/>
        </w:rPr>
        <w:t>,</w:t>
      </w:r>
      <w:r w:rsidR="00252887" w:rsidRPr="008A486E">
        <w:rPr>
          <w:rFonts w:eastAsia="Times New Roman" w:cstheme="minorHAnsi"/>
          <w:sz w:val="24"/>
          <w:szCs w:val="24"/>
        </w:rPr>
        <w:t xml:space="preserve"> dar kartą kreipsis į „</w:t>
      </w:r>
      <w:proofErr w:type="spellStart"/>
      <w:r w:rsidR="00252887" w:rsidRPr="008A486E">
        <w:rPr>
          <w:rFonts w:eastAsia="Times New Roman" w:cstheme="minorHAnsi"/>
          <w:sz w:val="24"/>
          <w:szCs w:val="24"/>
        </w:rPr>
        <w:t>Oracle</w:t>
      </w:r>
      <w:proofErr w:type="spellEnd"/>
      <w:r w:rsidR="00252887" w:rsidRPr="008A486E">
        <w:rPr>
          <w:rFonts w:eastAsia="Times New Roman" w:cstheme="minorHAnsi"/>
          <w:sz w:val="24"/>
          <w:szCs w:val="24"/>
        </w:rPr>
        <w:t xml:space="preserve">“ atstovybę </w:t>
      </w:r>
      <w:r w:rsidR="006F4671">
        <w:rPr>
          <w:rFonts w:eastAsia="Times New Roman" w:cstheme="minorHAnsi"/>
          <w:sz w:val="24"/>
          <w:szCs w:val="24"/>
        </w:rPr>
        <w:t>su prašym</w:t>
      </w:r>
      <w:r w:rsidR="0081512B">
        <w:rPr>
          <w:rFonts w:eastAsia="Times New Roman" w:cstheme="minorHAnsi"/>
          <w:sz w:val="24"/>
          <w:szCs w:val="24"/>
        </w:rPr>
        <w:t>u</w:t>
      </w:r>
      <w:r w:rsidR="006F4671">
        <w:rPr>
          <w:rFonts w:eastAsia="Times New Roman" w:cstheme="minorHAnsi"/>
          <w:sz w:val="24"/>
          <w:szCs w:val="24"/>
        </w:rPr>
        <w:t xml:space="preserve"> pateikti </w:t>
      </w:r>
      <w:r w:rsidR="00252887" w:rsidRPr="008A486E">
        <w:rPr>
          <w:rFonts w:eastAsia="Times New Roman" w:cstheme="minorHAnsi"/>
          <w:b/>
          <w:bCs/>
          <w:sz w:val="24"/>
          <w:szCs w:val="24"/>
        </w:rPr>
        <w:t>aktual</w:t>
      </w:r>
      <w:r w:rsidR="006F4671">
        <w:rPr>
          <w:rFonts w:eastAsia="Times New Roman" w:cstheme="minorHAnsi"/>
          <w:b/>
          <w:bCs/>
          <w:sz w:val="24"/>
          <w:szCs w:val="24"/>
        </w:rPr>
        <w:t>ų</w:t>
      </w:r>
      <w:r w:rsidR="00252887" w:rsidRPr="008A486E">
        <w:rPr>
          <w:rFonts w:eastAsia="Times New Roman" w:cstheme="minorHAnsi"/>
          <w:b/>
          <w:bCs/>
          <w:sz w:val="24"/>
          <w:szCs w:val="24"/>
        </w:rPr>
        <w:t xml:space="preserve"> tiekėjų sąraš</w:t>
      </w:r>
      <w:r w:rsidR="006F4671">
        <w:rPr>
          <w:rFonts w:eastAsia="Times New Roman" w:cstheme="minorHAnsi"/>
          <w:b/>
          <w:bCs/>
          <w:sz w:val="24"/>
          <w:szCs w:val="24"/>
        </w:rPr>
        <w:t>ą</w:t>
      </w:r>
      <w:r w:rsidR="00C80300">
        <w:rPr>
          <w:rFonts w:eastAsia="Times New Roman" w:cstheme="minorHAnsi"/>
          <w:sz w:val="24"/>
          <w:szCs w:val="24"/>
        </w:rPr>
        <w:t>, t. y.</w:t>
      </w:r>
      <w:r w:rsidR="00A55162">
        <w:rPr>
          <w:rFonts w:eastAsia="Times New Roman" w:cstheme="minorHAnsi"/>
          <w:sz w:val="24"/>
          <w:szCs w:val="24"/>
        </w:rPr>
        <w:t>,</w:t>
      </w:r>
      <w:r w:rsidR="00C80300">
        <w:rPr>
          <w:rFonts w:eastAsia="Times New Roman" w:cstheme="minorHAnsi"/>
          <w:sz w:val="24"/>
          <w:szCs w:val="24"/>
        </w:rPr>
        <w:t xml:space="preserve"> </w:t>
      </w:r>
      <w:r w:rsidR="003338B4">
        <w:rPr>
          <w:rFonts w:eastAsia="Times New Roman" w:cstheme="minorHAnsi"/>
          <w:sz w:val="24"/>
          <w:szCs w:val="24"/>
        </w:rPr>
        <w:t>Perkančioji organizacija</w:t>
      </w:r>
      <w:r w:rsidR="003716B1">
        <w:rPr>
          <w:rFonts w:eastAsia="Times New Roman" w:cstheme="minorHAnsi"/>
          <w:sz w:val="24"/>
          <w:szCs w:val="24"/>
        </w:rPr>
        <w:t>, ši</w:t>
      </w:r>
      <w:r w:rsidR="006F4671">
        <w:rPr>
          <w:rFonts w:eastAsia="Times New Roman" w:cstheme="minorHAnsi"/>
          <w:sz w:val="24"/>
          <w:szCs w:val="24"/>
        </w:rPr>
        <w:t>am momentui</w:t>
      </w:r>
      <w:r w:rsidR="0081512B">
        <w:rPr>
          <w:rFonts w:eastAsia="Times New Roman" w:cstheme="minorHAnsi"/>
          <w:sz w:val="24"/>
          <w:szCs w:val="24"/>
        </w:rPr>
        <w:t>,</w:t>
      </w:r>
      <w:r w:rsidR="006F4671">
        <w:rPr>
          <w:rFonts w:eastAsia="Times New Roman" w:cstheme="minorHAnsi"/>
          <w:sz w:val="24"/>
          <w:szCs w:val="24"/>
        </w:rPr>
        <w:t xml:space="preserve"> net</w:t>
      </w:r>
      <w:r w:rsidR="003338B4">
        <w:rPr>
          <w:rFonts w:eastAsia="Times New Roman" w:cstheme="minorHAnsi"/>
          <w:sz w:val="24"/>
          <w:szCs w:val="24"/>
        </w:rPr>
        <w:t xml:space="preserve"> negali tiksliai </w:t>
      </w:r>
      <w:r w:rsidR="006F4671">
        <w:rPr>
          <w:rFonts w:eastAsia="Times New Roman" w:cstheme="minorHAnsi"/>
          <w:sz w:val="24"/>
          <w:szCs w:val="24"/>
        </w:rPr>
        <w:t xml:space="preserve">nurodyti </w:t>
      </w:r>
      <w:r w:rsidR="003338B4">
        <w:rPr>
          <w:rFonts w:eastAsia="Times New Roman" w:cstheme="minorHAnsi"/>
          <w:sz w:val="24"/>
          <w:szCs w:val="24"/>
        </w:rPr>
        <w:t xml:space="preserve">tiekėjų, </w:t>
      </w:r>
      <w:r w:rsidR="001E63A6">
        <w:rPr>
          <w:rFonts w:eastAsia="Times New Roman" w:cstheme="minorHAnsi"/>
          <w:sz w:val="24"/>
          <w:szCs w:val="24"/>
        </w:rPr>
        <w:t>į kuriuos kreip</w:t>
      </w:r>
      <w:r w:rsidR="00C26CD4">
        <w:rPr>
          <w:rFonts w:eastAsia="Times New Roman" w:cstheme="minorHAnsi"/>
          <w:sz w:val="24"/>
          <w:szCs w:val="24"/>
        </w:rPr>
        <w:t>tųsi</w:t>
      </w:r>
      <w:r w:rsidR="009F6CC7">
        <w:rPr>
          <w:rFonts w:eastAsia="Times New Roman" w:cstheme="minorHAnsi"/>
          <w:sz w:val="24"/>
          <w:szCs w:val="24"/>
        </w:rPr>
        <w:t xml:space="preserve"> neskelbiamų derybų atveju.</w:t>
      </w:r>
    </w:p>
    <w:p w14:paraId="60C33DE0" w14:textId="75B54288" w:rsidR="00AF01C8" w:rsidRPr="008A486E" w:rsidRDefault="00AF01C8" w:rsidP="00AF01C8">
      <w:pPr>
        <w:tabs>
          <w:tab w:val="left" w:pos="1134"/>
        </w:tabs>
        <w:spacing w:after="0"/>
        <w:ind w:firstLine="567"/>
        <w:contextualSpacing/>
        <w:rPr>
          <w:rFonts w:eastAsia="Times New Roman" w:cstheme="minorHAnsi"/>
          <w:sz w:val="24"/>
          <w:szCs w:val="24"/>
        </w:rPr>
      </w:pPr>
      <w:r w:rsidRPr="008A486E">
        <w:rPr>
          <w:rFonts w:eastAsia="Times New Roman" w:cstheme="minorHAnsi"/>
          <w:sz w:val="24"/>
          <w:szCs w:val="24"/>
        </w:rPr>
        <w:t xml:space="preserve">Tarnyba pažymi, kad egzistuojančios techninės priežastys turi būti tiksliai apibrėžtos ir kiekvienu atskiru atveju pagrįstos </w:t>
      </w:r>
      <w:r w:rsidR="001F386E">
        <w:rPr>
          <w:rFonts w:eastAsia="Times New Roman" w:cstheme="minorHAnsi"/>
          <w:sz w:val="24"/>
          <w:szCs w:val="24"/>
        </w:rPr>
        <w:t>bei</w:t>
      </w:r>
      <w:r w:rsidRPr="008A486E">
        <w:rPr>
          <w:rFonts w:eastAsia="Times New Roman" w:cstheme="minorHAnsi"/>
          <w:sz w:val="24"/>
          <w:szCs w:val="24"/>
        </w:rPr>
        <w:t xml:space="preserve"> įrodinėjamos atskirai. </w:t>
      </w:r>
      <w:r w:rsidR="00FD250D">
        <w:rPr>
          <w:rFonts w:eastAsia="Times New Roman" w:cstheme="minorHAnsi"/>
          <w:sz w:val="24"/>
          <w:szCs w:val="24"/>
        </w:rPr>
        <w:t>Pirkimo</w:t>
      </w:r>
      <w:r w:rsidRPr="008A486E">
        <w:rPr>
          <w:rFonts w:eastAsia="Times New Roman" w:cstheme="minorHAnsi"/>
          <w:sz w:val="24"/>
          <w:szCs w:val="24"/>
        </w:rPr>
        <w:t xml:space="preserve"> atveju, </w:t>
      </w:r>
      <w:r w:rsidR="00B11433">
        <w:rPr>
          <w:rFonts w:eastAsia="Times New Roman" w:cstheme="minorHAnsi"/>
          <w:sz w:val="24"/>
          <w:szCs w:val="24"/>
        </w:rPr>
        <w:t xml:space="preserve">Tarnyba neneigia egzistuojančių techninių </w:t>
      </w:r>
      <w:r w:rsidR="00E84B61">
        <w:rPr>
          <w:rFonts w:eastAsia="Times New Roman" w:cstheme="minorHAnsi"/>
          <w:sz w:val="24"/>
          <w:szCs w:val="24"/>
        </w:rPr>
        <w:t>priežasčių</w:t>
      </w:r>
      <w:r w:rsidR="00AF5C6D">
        <w:rPr>
          <w:rFonts w:eastAsia="Times New Roman" w:cstheme="minorHAnsi"/>
          <w:sz w:val="24"/>
          <w:szCs w:val="24"/>
        </w:rPr>
        <w:t xml:space="preserve"> </w:t>
      </w:r>
      <w:r w:rsidR="00AF5C6D" w:rsidRPr="00AF5C6D">
        <w:rPr>
          <w:rFonts w:eastAsia="Times New Roman" w:cstheme="minorHAnsi"/>
          <w:sz w:val="24"/>
          <w:szCs w:val="24"/>
        </w:rPr>
        <w:t>Įstatymo 71 straipsnio 1 dalies 2 punkto b papunkčio prasme</w:t>
      </w:r>
      <w:r w:rsidR="00E04E9B">
        <w:rPr>
          <w:rFonts w:eastAsia="Times New Roman" w:cstheme="minorHAnsi"/>
          <w:sz w:val="24"/>
          <w:szCs w:val="24"/>
        </w:rPr>
        <w:t xml:space="preserve">, tačiau </w:t>
      </w:r>
      <w:r w:rsidR="00143452">
        <w:rPr>
          <w:rFonts w:eastAsia="Times New Roman" w:cstheme="minorHAnsi"/>
          <w:sz w:val="24"/>
          <w:szCs w:val="24"/>
        </w:rPr>
        <w:t xml:space="preserve">pažymi, kad pasirinktas Pirkimo modelis, kai </w:t>
      </w:r>
      <w:r w:rsidR="00E12191">
        <w:rPr>
          <w:rFonts w:eastAsia="Times New Roman" w:cstheme="minorHAnsi"/>
          <w:sz w:val="24"/>
          <w:szCs w:val="24"/>
        </w:rPr>
        <w:t xml:space="preserve">į vieną </w:t>
      </w:r>
      <w:r w:rsidR="006F4671">
        <w:rPr>
          <w:rFonts w:eastAsia="Times New Roman" w:cstheme="minorHAnsi"/>
          <w:sz w:val="24"/>
          <w:szCs w:val="24"/>
        </w:rPr>
        <w:t xml:space="preserve">Pirkimo </w:t>
      </w:r>
      <w:r w:rsidR="00E12191">
        <w:rPr>
          <w:rFonts w:eastAsia="Times New Roman" w:cstheme="minorHAnsi"/>
          <w:sz w:val="24"/>
          <w:szCs w:val="24"/>
        </w:rPr>
        <w:t xml:space="preserve">objektą </w:t>
      </w:r>
      <w:r w:rsidRPr="008A486E">
        <w:rPr>
          <w:rFonts w:eastAsia="Times New Roman" w:cstheme="minorHAnsi"/>
          <w:sz w:val="24"/>
          <w:szCs w:val="24"/>
        </w:rPr>
        <w:t>apjungi</w:t>
      </w:r>
      <w:r w:rsidR="00E12191">
        <w:rPr>
          <w:rFonts w:eastAsia="Times New Roman" w:cstheme="minorHAnsi"/>
          <w:sz w:val="24"/>
          <w:szCs w:val="24"/>
        </w:rPr>
        <w:t>amos</w:t>
      </w:r>
      <w:r w:rsidRPr="008A486E">
        <w:rPr>
          <w:rFonts w:eastAsia="Times New Roman" w:cstheme="minorHAnsi"/>
          <w:sz w:val="24"/>
          <w:szCs w:val="24"/>
        </w:rPr>
        <w:t xml:space="preserve"> skirting</w:t>
      </w:r>
      <w:r w:rsidR="00E12191">
        <w:rPr>
          <w:rFonts w:eastAsia="Times New Roman" w:cstheme="minorHAnsi"/>
          <w:sz w:val="24"/>
          <w:szCs w:val="24"/>
        </w:rPr>
        <w:t>o</w:t>
      </w:r>
      <w:r w:rsidRPr="008A486E">
        <w:rPr>
          <w:rFonts w:eastAsia="Times New Roman" w:cstheme="minorHAnsi"/>
          <w:sz w:val="24"/>
          <w:szCs w:val="24"/>
        </w:rPr>
        <w:t xml:space="preserve">s </w:t>
      </w:r>
      <w:r w:rsidR="006F4671">
        <w:rPr>
          <w:rFonts w:eastAsia="Times New Roman" w:cstheme="minorHAnsi"/>
          <w:sz w:val="24"/>
          <w:szCs w:val="24"/>
        </w:rPr>
        <w:t xml:space="preserve">objekto </w:t>
      </w:r>
      <w:r w:rsidRPr="008A486E">
        <w:rPr>
          <w:rFonts w:eastAsia="Times New Roman" w:cstheme="minorHAnsi"/>
          <w:sz w:val="24"/>
          <w:szCs w:val="24"/>
        </w:rPr>
        <w:t>dal</w:t>
      </w:r>
      <w:r w:rsidR="00E12191">
        <w:rPr>
          <w:rFonts w:eastAsia="Times New Roman" w:cstheme="minorHAnsi"/>
          <w:sz w:val="24"/>
          <w:szCs w:val="24"/>
        </w:rPr>
        <w:t>ys</w:t>
      </w:r>
      <w:r w:rsidR="00281405">
        <w:rPr>
          <w:rFonts w:eastAsia="Times New Roman" w:cstheme="minorHAnsi"/>
          <w:sz w:val="24"/>
          <w:szCs w:val="24"/>
        </w:rPr>
        <w:t xml:space="preserve"> – </w:t>
      </w:r>
      <w:r w:rsidRPr="008A486E">
        <w:rPr>
          <w:rFonts w:eastAsia="Times New Roman" w:cstheme="minorHAnsi"/>
          <w:sz w:val="24"/>
          <w:szCs w:val="24"/>
        </w:rPr>
        <w:t>techninės (aparatinės) įrangos nuom</w:t>
      </w:r>
      <w:r w:rsidR="004D5446">
        <w:rPr>
          <w:rFonts w:eastAsia="Times New Roman" w:cstheme="minorHAnsi"/>
          <w:sz w:val="24"/>
          <w:szCs w:val="24"/>
        </w:rPr>
        <w:t>a</w:t>
      </w:r>
      <w:r w:rsidRPr="008A486E">
        <w:rPr>
          <w:rFonts w:eastAsia="Times New Roman" w:cstheme="minorHAnsi"/>
          <w:sz w:val="24"/>
          <w:szCs w:val="24"/>
        </w:rPr>
        <w:t xml:space="preserve"> </w:t>
      </w:r>
      <w:r w:rsidR="008B77B8">
        <w:rPr>
          <w:rFonts w:eastAsia="Times New Roman" w:cstheme="minorHAnsi"/>
          <w:sz w:val="24"/>
          <w:szCs w:val="24"/>
        </w:rPr>
        <w:t>ir</w:t>
      </w:r>
      <w:r w:rsidR="006F4671">
        <w:rPr>
          <w:rFonts w:eastAsia="Times New Roman" w:cstheme="minorHAnsi"/>
          <w:sz w:val="24"/>
          <w:szCs w:val="24"/>
        </w:rPr>
        <w:t xml:space="preserve"> su tai susijusios </w:t>
      </w:r>
      <w:r w:rsidRPr="008A486E">
        <w:rPr>
          <w:rFonts w:eastAsia="Times New Roman" w:cstheme="minorHAnsi"/>
          <w:sz w:val="24"/>
          <w:szCs w:val="24"/>
        </w:rPr>
        <w:t>paslaug</w:t>
      </w:r>
      <w:r w:rsidR="004D5446">
        <w:rPr>
          <w:rFonts w:eastAsia="Times New Roman" w:cstheme="minorHAnsi"/>
          <w:sz w:val="24"/>
          <w:szCs w:val="24"/>
        </w:rPr>
        <w:t>o</w:t>
      </w:r>
      <w:r w:rsidRPr="008A486E">
        <w:rPr>
          <w:rFonts w:eastAsia="Times New Roman" w:cstheme="minorHAnsi"/>
          <w:sz w:val="24"/>
          <w:szCs w:val="24"/>
        </w:rPr>
        <w:t>s, „</w:t>
      </w:r>
      <w:proofErr w:type="spellStart"/>
      <w:r w:rsidRPr="008A486E">
        <w:rPr>
          <w:rFonts w:eastAsia="Times New Roman" w:cstheme="minorHAnsi"/>
          <w:sz w:val="24"/>
          <w:szCs w:val="24"/>
        </w:rPr>
        <w:t>Oracle</w:t>
      </w:r>
      <w:proofErr w:type="spellEnd"/>
      <w:r w:rsidRPr="008A486E">
        <w:rPr>
          <w:rFonts w:eastAsia="Times New Roman" w:cstheme="minorHAnsi"/>
          <w:sz w:val="24"/>
          <w:szCs w:val="24"/>
        </w:rPr>
        <w:t>“ programinės įrangos licencij</w:t>
      </w:r>
      <w:r w:rsidR="004D5446">
        <w:rPr>
          <w:rFonts w:eastAsia="Times New Roman" w:cstheme="minorHAnsi"/>
          <w:sz w:val="24"/>
          <w:szCs w:val="24"/>
        </w:rPr>
        <w:t>o</w:t>
      </w:r>
      <w:r w:rsidRPr="008A486E">
        <w:rPr>
          <w:rFonts w:eastAsia="Times New Roman" w:cstheme="minorHAnsi"/>
          <w:sz w:val="24"/>
          <w:szCs w:val="24"/>
        </w:rPr>
        <w:t xml:space="preserve">s </w:t>
      </w:r>
      <w:r w:rsidR="006F4671">
        <w:rPr>
          <w:rFonts w:eastAsia="Times New Roman" w:cstheme="minorHAnsi"/>
          <w:sz w:val="24"/>
          <w:szCs w:val="24"/>
        </w:rPr>
        <w:t xml:space="preserve">ir </w:t>
      </w:r>
      <w:r w:rsidRPr="008A486E">
        <w:rPr>
          <w:rFonts w:eastAsia="Times New Roman" w:cstheme="minorHAnsi"/>
          <w:sz w:val="24"/>
          <w:szCs w:val="24"/>
        </w:rPr>
        <w:t>paslaug</w:t>
      </w:r>
      <w:r w:rsidR="004D5446">
        <w:rPr>
          <w:rFonts w:eastAsia="Times New Roman" w:cstheme="minorHAnsi"/>
          <w:sz w:val="24"/>
          <w:szCs w:val="24"/>
        </w:rPr>
        <w:t>o</w:t>
      </w:r>
      <w:r w:rsidRPr="008A486E">
        <w:rPr>
          <w:rFonts w:eastAsia="Times New Roman" w:cstheme="minorHAnsi"/>
          <w:sz w:val="24"/>
          <w:szCs w:val="24"/>
        </w:rPr>
        <w:t>s, susijusi</w:t>
      </w:r>
      <w:r w:rsidR="004D5446">
        <w:rPr>
          <w:rFonts w:eastAsia="Times New Roman" w:cstheme="minorHAnsi"/>
          <w:sz w:val="24"/>
          <w:szCs w:val="24"/>
        </w:rPr>
        <w:t>o</w:t>
      </w:r>
      <w:r w:rsidRPr="008A486E">
        <w:rPr>
          <w:rFonts w:eastAsia="Times New Roman" w:cstheme="minorHAnsi"/>
          <w:sz w:val="24"/>
          <w:szCs w:val="24"/>
        </w:rPr>
        <w:t>s su „</w:t>
      </w:r>
      <w:proofErr w:type="spellStart"/>
      <w:r w:rsidRPr="008A486E">
        <w:rPr>
          <w:rFonts w:eastAsia="Times New Roman" w:cstheme="minorHAnsi"/>
          <w:sz w:val="24"/>
          <w:szCs w:val="24"/>
        </w:rPr>
        <w:t>Oracle</w:t>
      </w:r>
      <w:proofErr w:type="spellEnd"/>
      <w:r w:rsidRPr="008A486E">
        <w:rPr>
          <w:rFonts w:eastAsia="Times New Roman" w:cstheme="minorHAnsi"/>
          <w:sz w:val="24"/>
          <w:szCs w:val="24"/>
        </w:rPr>
        <w:t>“ programine įranga</w:t>
      </w:r>
      <w:r w:rsidR="00E12191">
        <w:rPr>
          <w:rFonts w:eastAsia="Times New Roman" w:cstheme="minorHAnsi"/>
          <w:sz w:val="24"/>
          <w:szCs w:val="24"/>
        </w:rPr>
        <w:t>,</w:t>
      </w:r>
      <w:r w:rsidRPr="008A486E">
        <w:rPr>
          <w:rFonts w:eastAsia="Times New Roman" w:cstheme="minorHAnsi"/>
          <w:sz w:val="24"/>
          <w:szCs w:val="24"/>
        </w:rPr>
        <w:t xml:space="preserve"> </w:t>
      </w:r>
      <w:r w:rsidR="006F4671">
        <w:rPr>
          <w:rFonts w:eastAsia="Times New Roman" w:cstheme="minorHAnsi"/>
          <w:sz w:val="24"/>
          <w:szCs w:val="24"/>
        </w:rPr>
        <w:t>Tarnybos nuomone</w:t>
      </w:r>
      <w:r w:rsidR="00BE15BE">
        <w:rPr>
          <w:rFonts w:eastAsia="Times New Roman" w:cstheme="minorHAnsi"/>
          <w:sz w:val="24"/>
          <w:szCs w:val="24"/>
        </w:rPr>
        <w:t>,</w:t>
      </w:r>
      <w:r w:rsidR="006F4671">
        <w:rPr>
          <w:rFonts w:eastAsia="Times New Roman" w:cstheme="minorHAnsi"/>
          <w:sz w:val="24"/>
          <w:szCs w:val="24"/>
        </w:rPr>
        <w:t xml:space="preserve"> galimai </w:t>
      </w:r>
      <w:r w:rsidRPr="008A486E">
        <w:rPr>
          <w:rFonts w:eastAsia="Times New Roman" w:cstheme="minorHAnsi"/>
          <w:sz w:val="24"/>
          <w:szCs w:val="24"/>
        </w:rPr>
        <w:t xml:space="preserve">ženkliai sumažina tiekėjų konkurenciją, atsižvelgiant į tai, kad Pirkimo objektą išskaidžius į atskiras dalis, kiekvienoje jų, pasiūlymus galėtų teikti skirtingi tiekėjai, t. y., ne tik </w:t>
      </w:r>
      <w:r w:rsidR="006F4671">
        <w:rPr>
          <w:rFonts w:eastAsia="Times New Roman" w:cstheme="minorHAnsi"/>
          <w:sz w:val="24"/>
          <w:szCs w:val="24"/>
        </w:rPr>
        <w:t xml:space="preserve">kiti </w:t>
      </w:r>
      <w:r w:rsidRPr="008A486E">
        <w:rPr>
          <w:rFonts w:eastAsia="Times New Roman" w:cstheme="minorHAnsi"/>
          <w:sz w:val="24"/>
          <w:szCs w:val="24"/>
        </w:rPr>
        <w:t>„</w:t>
      </w:r>
      <w:proofErr w:type="spellStart"/>
      <w:r w:rsidRPr="008A486E">
        <w:rPr>
          <w:rFonts w:eastAsia="Times New Roman" w:cstheme="minorHAnsi"/>
          <w:sz w:val="24"/>
          <w:szCs w:val="24"/>
        </w:rPr>
        <w:t>Oracle</w:t>
      </w:r>
      <w:proofErr w:type="spellEnd"/>
      <w:r w:rsidRPr="008A486E">
        <w:rPr>
          <w:rFonts w:eastAsia="Times New Roman" w:cstheme="minorHAnsi"/>
          <w:sz w:val="24"/>
          <w:szCs w:val="24"/>
        </w:rPr>
        <w:t xml:space="preserve">“ atstovai (partneriai), bet </w:t>
      </w:r>
      <w:r w:rsidR="006F4671">
        <w:rPr>
          <w:rFonts w:eastAsia="Times New Roman" w:cstheme="minorHAnsi"/>
          <w:sz w:val="24"/>
          <w:szCs w:val="24"/>
        </w:rPr>
        <w:t>su „</w:t>
      </w:r>
      <w:proofErr w:type="spellStart"/>
      <w:r w:rsidR="006F4671">
        <w:rPr>
          <w:rFonts w:eastAsia="Times New Roman" w:cstheme="minorHAnsi"/>
          <w:sz w:val="24"/>
          <w:szCs w:val="24"/>
        </w:rPr>
        <w:t>Oracle</w:t>
      </w:r>
      <w:proofErr w:type="spellEnd"/>
      <w:r w:rsidR="006F4671">
        <w:rPr>
          <w:rFonts w:eastAsia="Times New Roman" w:cstheme="minorHAnsi"/>
          <w:sz w:val="24"/>
          <w:szCs w:val="24"/>
        </w:rPr>
        <w:t xml:space="preserve">“ programine įranga </w:t>
      </w:r>
      <w:r w:rsidRPr="008A486E">
        <w:rPr>
          <w:rFonts w:eastAsia="Times New Roman" w:cstheme="minorHAnsi"/>
          <w:sz w:val="24"/>
          <w:szCs w:val="24"/>
        </w:rPr>
        <w:t>suderinamos techninės įrangos gamintoj</w:t>
      </w:r>
      <w:r w:rsidR="006F4671">
        <w:rPr>
          <w:rFonts w:eastAsia="Times New Roman" w:cstheme="minorHAnsi"/>
          <w:sz w:val="24"/>
          <w:szCs w:val="24"/>
        </w:rPr>
        <w:t>ai ir (ar) j</w:t>
      </w:r>
      <w:r w:rsidRPr="008A486E">
        <w:rPr>
          <w:rFonts w:eastAsia="Times New Roman" w:cstheme="minorHAnsi"/>
          <w:sz w:val="24"/>
          <w:szCs w:val="24"/>
        </w:rPr>
        <w:t>ų partneriai</w:t>
      </w:r>
      <w:r w:rsidR="006F4671">
        <w:rPr>
          <w:rFonts w:eastAsia="Times New Roman" w:cstheme="minorHAnsi"/>
          <w:sz w:val="24"/>
          <w:szCs w:val="24"/>
        </w:rPr>
        <w:t xml:space="preserve">. Pasirinkus tokį Pirkimo vykdymo modelį, būtų galimybė </w:t>
      </w:r>
      <w:r w:rsidRPr="008A486E">
        <w:rPr>
          <w:rFonts w:eastAsia="Times New Roman" w:cstheme="minorHAnsi"/>
          <w:sz w:val="24"/>
          <w:szCs w:val="24"/>
        </w:rPr>
        <w:t>optimizuoti techninės įrangos, licencijų ir paslaugų kainas bei apsaugo</w:t>
      </w:r>
      <w:r w:rsidR="00D91088">
        <w:rPr>
          <w:rFonts w:eastAsia="Times New Roman" w:cstheme="minorHAnsi"/>
          <w:sz w:val="24"/>
          <w:szCs w:val="24"/>
        </w:rPr>
        <w:t>ti</w:t>
      </w:r>
      <w:r w:rsidRPr="008A486E">
        <w:rPr>
          <w:rFonts w:eastAsia="Times New Roman" w:cstheme="minorHAnsi"/>
          <w:sz w:val="24"/>
          <w:szCs w:val="24"/>
        </w:rPr>
        <w:t xml:space="preserve"> Perkančiąją organizaciją nuo vieno tiekėjo priklausomybės</w:t>
      </w:r>
      <w:r w:rsidR="006F4671">
        <w:rPr>
          <w:rFonts w:eastAsia="Times New Roman" w:cstheme="minorHAnsi"/>
          <w:sz w:val="24"/>
          <w:szCs w:val="24"/>
        </w:rPr>
        <w:t xml:space="preserve"> ateityje</w:t>
      </w:r>
      <w:r w:rsidRPr="008A486E">
        <w:rPr>
          <w:rFonts w:eastAsia="Times New Roman" w:cstheme="minorHAnsi"/>
          <w:sz w:val="24"/>
          <w:szCs w:val="24"/>
        </w:rPr>
        <w:t>.</w:t>
      </w:r>
    </w:p>
    <w:p w14:paraId="7FE50DF7" w14:textId="5776B12B" w:rsidR="00252887" w:rsidRPr="008A486E" w:rsidRDefault="008F00AD" w:rsidP="003F0CDD">
      <w:pPr>
        <w:tabs>
          <w:tab w:val="left" w:pos="1134"/>
        </w:tabs>
        <w:ind w:firstLine="567"/>
        <w:contextualSpacing/>
        <w:rPr>
          <w:rFonts w:eastAsia="Times New Roman" w:cstheme="minorHAnsi"/>
          <w:sz w:val="24"/>
          <w:szCs w:val="24"/>
        </w:rPr>
      </w:pPr>
      <w:r w:rsidRPr="008A486E">
        <w:rPr>
          <w:rFonts w:eastAsia="Times New Roman" w:cstheme="minorHAnsi"/>
          <w:sz w:val="24"/>
          <w:szCs w:val="24"/>
        </w:rPr>
        <w:t xml:space="preserve">Apibendrinant </w:t>
      </w:r>
      <w:r w:rsidR="00B601E4">
        <w:rPr>
          <w:rFonts w:eastAsia="Times New Roman" w:cstheme="minorHAnsi"/>
          <w:sz w:val="24"/>
          <w:szCs w:val="24"/>
        </w:rPr>
        <w:t>aukščiau</w:t>
      </w:r>
      <w:r w:rsidRPr="008A486E">
        <w:rPr>
          <w:rFonts w:eastAsia="Times New Roman" w:cstheme="minorHAnsi"/>
          <w:sz w:val="24"/>
          <w:szCs w:val="24"/>
        </w:rPr>
        <w:t xml:space="preserve"> nurodyt</w:t>
      </w:r>
      <w:r w:rsidR="00B601E4">
        <w:rPr>
          <w:rFonts w:eastAsia="Times New Roman" w:cstheme="minorHAnsi"/>
          <w:sz w:val="24"/>
          <w:szCs w:val="24"/>
        </w:rPr>
        <w:t>ą</w:t>
      </w:r>
      <w:r w:rsidRPr="008A486E">
        <w:rPr>
          <w:rFonts w:eastAsia="Times New Roman" w:cstheme="minorHAnsi"/>
          <w:sz w:val="24"/>
          <w:szCs w:val="24"/>
        </w:rPr>
        <w:t xml:space="preserve">, </w:t>
      </w:r>
      <w:r w:rsidR="00594B5E" w:rsidRPr="008A486E">
        <w:rPr>
          <w:rFonts w:eastAsia="Times New Roman" w:cstheme="minorHAnsi"/>
          <w:sz w:val="24"/>
          <w:szCs w:val="24"/>
        </w:rPr>
        <w:t>konstatuo</w:t>
      </w:r>
      <w:r w:rsidR="00B601E4">
        <w:rPr>
          <w:rFonts w:eastAsia="Times New Roman" w:cstheme="minorHAnsi"/>
          <w:sz w:val="24"/>
          <w:szCs w:val="24"/>
        </w:rPr>
        <w:t>tina</w:t>
      </w:r>
      <w:r w:rsidR="00594B5E" w:rsidRPr="008A486E">
        <w:rPr>
          <w:rFonts w:eastAsia="Times New Roman" w:cstheme="minorHAnsi"/>
          <w:sz w:val="24"/>
          <w:szCs w:val="24"/>
        </w:rPr>
        <w:t xml:space="preserve">, kad Perkančioji organizacija </w:t>
      </w:r>
      <w:r w:rsidR="00B601E4">
        <w:rPr>
          <w:rFonts w:eastAsia="Times New Roman" w:cstheme="minorHAnsi"/>
          <w:sz w:val="24"/>
          <w:szCs w:val="24"/>
        </w:rPr>
        <w:t xml:space="preserve">nepagrindė </w:t>
      </w:r>
      <w:r w:rsidR="00D91088">
        <w:rPr>
          <w:rFonts w:eastAsia="Times New Roman" w:cstheme="minorHAnsi"/>
          <w:sz w:val="24"/>
          <w:szCs w:val="24"/>
        </w:rPr>
        <w:t>ir</w:t>
      </w:r>
      <w:r w:rsidR="00B601E4">
        <w:rPr>
          <w:rFonts w:eastAsia="Times New Roman" w:cstheme="minorHAnsi"/>
          <w:sz w:val="24"/>
          <w:szCs w:val="24"/>
        </w:rPr>
        <w:t xml:space="preserve"> </w:t>
      </w:r>
      <w:r w:rsidR="00594B5E" w:rsidRPr="008A486E">
        <w:rPr>
          <w:rFonts w:eastAsia="Times New Roman" w:cstheme="minorHAnsi"/>
          <w:sz w:val="24"/>
          <w:szCs w:val="24"/>
        </w:rPr>
        <w:t xml:space="preserve">neįrodė, </w:t>
      </w:r>
      <w:r w:rsidR="00A27990" w:rsidRPr="008A486E">
        <w:rPr>
          <w:rFonts w:eastAsia="Times New Roman" w:cstheme="minorHAnsi"/>
          <w:sz w:val="24"/>
          <w:szCs w:val="24"/>
        </w:rPr>
        <w:t>jog</w:t>
      </w:r>
      <w:r w:rsidR="00594B5E" w:rsidRPr="008A486E">
        <w:rPr>
          <w:rFonts w:eastAsia="Times New Roman" w:cstheme="minorHAnsi"/>
          <w:sz w:val="24"/>
          <w:szCs w:val="24"/>
        </w:rPr>
        <w:t xml:space="preserve"> pasirinktas Pirkimo būdas yra vienintelė galimybė ir, kad nėra jokių kitų alternatyvų, dėl ko Perkančioji organizacija Pirkimo objekto negalėtų įsigyti kitais Įstatyme nustatytais būdais</w:t>
      </w:r>
      <w:r w:rsidR="00B601E4">
        <w:rPr>
          <w:rFonts w:eastAsia="Times New Roman" w:cstheme="minorHAnsi"/>
          <w:sz w:val="24"/>
          <w:szCs w:val="24"/>
        </w:rPr>
        <w:t>. Į</w:t>
      </w:r>
      <w:r w:rsidR="00A27990" w:rsidRPr="008A486E">
        <w:rPr>
          <w:rFonts w:eastAsia="Times New Roman" w:cstheme="minorHAnsi"/>
          <w:sz w:val="24"/>
          <w:szCs w:val="24"/>
        </w:rPr>
        <w:t xml:space="preserve">vertinus tai, kad </w:t>
      </w:r>
      <w:r w:rsidR="00B601E4">
        <w:rPr>
          <w:rFonts w:eastAsia="Times New Roman" w:cstheme="minorHAnsi"/>
          <w:sz w:val="24"/>
          <w:szCs w:val="24"/>
        </w:rPr>
        <w:t>šiuo konkrečiu atveju</w:t>
      </w:r>
      <w:r w:rsidR="00D91088">
        <w:rPr>
          <w:rFonts w:eastAsia="Times New Roman" w:cstheme="minorHAnsi"/>
          <w:sz w:val="24"/>
          <w:szCs w:val="24"/>
        </w:rPr>
        <w:t>,</w:t>
      </w:r>
      <w:r w:rsidR="00B601E4">
        <w:rPr>
          <w:rFonts w:eastAsia="Times New Roman" w:cstheme="minorHAnsi"/>
          <w:sz w:val="24"/>
          <w:szCs w:val="24"/>
        </w:rPr>
        <w:t xml:space="preserve"> </w:t>
      </w:r>
      <w:r w:rsidR="00A27990" w:rsidRPr="008A486E">
        <w:rPr>
          <w:rFonts w:eastAsia="Times New Roman" w:cstheme="minorHAnsi"/>
          <w:sz w:val="24"/>
          <w:szCs w:val="24"/>
        </w:rPr>
        <w:t xml:space="preserve">rinkoje yra daugiau </w:t>
      </w:r>
      <w:r w:rsidR="00E949EF" w:rsidRPr="008A486E">
        <w:rPr>
          <w:rFonts w:eastAsia="Times New Roman" w:cstheme="minorHAnsi"/>
          <w:sz w:val="24"/>
          <w:szCs w:val="24"/>
        </w:rPr>
        <w:t xml:space="preserve">negu vienas tiekėjas, galintis suteikti </w:t>
      </w:r>
      <w:r w:rsidR="00B601E4">
        <w:rPr>
          <w:rFonts w:eastAsia="Times New Roman" w:cstheme="minorHAnsi"/>
          <w:sz w:val="24"/>
          <w:szCs w:val="24"/>
        </w:rPr>
        <w:t xml:space="preserve">Pirkimu </w:t>
      </w:r>
      <w:r w:rsidR="00E949EF" w:rsidRPr="008A486E">
        <w:rPr>
          <w:rFonts w:eastAsia="Times New Roman" w:cstheme="minorHAnsi"/>
          <w:sz w:val="24"/>
          <w:szCs w:val="24"/>
        </w:rPr>
        <w:t>siekiamas įsigyti paslaugas</w:t>
      </w:r>
      <w:r w:rsidR="00EC1747" w:rsidRPr="008A486E">
        <w:rPr>
          <w:rFonts w:eastAsia="Times New Roman" w:cstheme="minorHAnsi"/>
          <w:sz w:val="24"/>
          <w:szCs w:val="24"/>
        </w:rPr>
        <w:t>, atitinkamai, egzistuoja konkurencija tarp tiekėjų</w:t>
      </w:r>
      <w:r w:rsidR="00245E57" w:rsidRPr="008A486E">
        <w:rPr>
          <w:rFonts w:eastAsia="Times New Roman" w:cstheme="minorHAnsi"/>
          <w:sz w:val="24"/>
          <w:szCs w:val="24"/>
        </w:rPr>
        <w:t xml:space="preserve">, </w:t>
      </w:r>
      <w:r w:rsidR="00B601E4">
        <w:rPr>
          <w:rFonts w:eastAsia="Times New Roman" w:cstheme="minorHAnsi"/>
          <w:sz w:val="24"/>
          <w:szCs w:val="24"/>
        </w:rPr>
        <w:t xml:space="preserve">Tarnybos vertinimu, </w:t>
      </w:r>
      <w:r w:rsidR="00EE2B8F" w:rsidRPr="008A486E">
        <w:rPr>
          <w:rFonts w:eastAsia="Times New Roman" w:cstheme="minorHAnsi"/>
          <w:sz w:val="24"/>
          <w:szCs w:val="24"/>
        </w:rPr>
        <w:t>Pirkimu siekiam</w:t>
      </w:r>
      <w:r w:rsidR="0000342B">
        <w:rPr>
          <w:rFonts w:eastAsia="Times New Roman" w:cstheme="minorHAnsi"/>
          <w:sz w:val="24"/>
          <w:szCs w:val="24"/>
        </w:rPr>
        <w:t>o</w:t>
      </w:r>
      <w:r w:rsidR="00EE2B8F" w:rsidRPr="008A486E">
        <w:rPr>
          <w:rFonts w:eastAsia="Times New Roman" w:cstheme="minorHAnsi"/>
          <w:sz w:val="24"/>
          <w:szCs w:val="24"/>
        </w:rPr>
        <w:t>s įsigyti paslaug</w:t>
      </w:r>
      <w:r w:rsidR="005E26C2" w:rsidRPr="008A486E">
        <w:rPr>
          <w:rFonts w:eastAsia="Times New Roman" w:cstheme="minorHAnsi"/>
          <w:sz w:val="24"/>
          <w:szCs w:val="24"/>
        </w:rPr>
        <w:t xml:space="preserve">os turi būti </w:t>
      </w:r>
      <w:r w:rsidR="00EE2B8F" w:rsidRPr="008A486E">
        <w:rPr>
          <w:rFonts w:eastAsia="Times New Roman" w:cstheme="minorHAnsi"/>
          <w:sz w:val="24"/>
          <w:szCs w:val="24"/>
        </w:rPr>
        <w:t>p</w:t>
      </w:r>
      <w:r w:rsidR="005E26C2" w:rsidRPr="008A486E">
        <w:rPr>
          <w:rFonts w:eastAsia="Times New Roman" w:cstheme="minorHAnsi"/>
          <w:sz w:val="24"/>
          <w:szCs w:val="24"/>
        </w:rPr>
        <w:t>erkamos</w:t>
      </w:r>
      <w:r w:rsidR="00EE2B8F" w:rsidRPr="008A486E">
        <w:rPr>
          <w:rFonts w:eastAsia="Times New Roman" w:cstheme="minorHAnsi"/>
          <w:sz w:val="24"/>
          <w:szCs w:val="24"/>
        </w:rPr>
        <w:t xml:space="preserve"> vykdant konkurencingą viešojo pirkimo procedūrą, taikant kitus Įstatyme nustatytus viešojo pirkimo būdus</w:t>
      </w:r>
      <w:r w:rsidR="005E26C2" w:rsidRPr="008A486E">
        <w:rPr>
          <w:rFonts w:eastAsia="Times New Roman" w:cstheme="minorHAnsi"/>
          <w:sz w:val="24"/>
          <w:szCs w:val="24"/>
        </w:rPr>
        <w:t xml:space="preserve">. </w:t>
      </w:r>
    </w:p>
    <w:p w14:paraId="7738CE1F" w14:textId="39DD05CF" w:rsidR="00910E09" w:rsidRPr="008A486E" w:rsidRDefault="00910E09" w:rsidP="003F0CDD">
      <w:pPr>
        <w:tabs>
          <w:tab w:val="left" w:pos="1134"/>
        </w:tabs>
        <w:spacing w:after="0"/>
        <w:ind w:firstLine="567"/>
        <w:contextualSpacing/>
        <w:rPr>
          <w:rFonts w:eastAsia="Times New Roman" w:cstheme="minorHAnsi"/>
          <w:sz w:val="24"/>
          <w:szCs w:val="24"/>
        </w:rPr>
      </w:pPr>
      <w:r w:rsidRPr="008A486E">
        <w:rPr>
          <w:rFonts w:eastAsia="Times New Roman" w:cstheme="minorHAnsi"/>
          <w:sz w:val="24"/>
          <w:szCs w:val="24"/>
        </w:rPr>
        <w:t xml:space="preserve">Įvertinusi aukščiau nurodytą </w:t>
      </w:r>
      <w:r w:rsidR="00D235B0" w:rsidRPr="008A486E">
        <w:rPr>
          <w:rFonts w:eastAsia="Times New Roman" w:cstheme="minorHAnsi"/>
          <w:sz w:val="24"/>
          <w:szCs w:val="24"/>
        </w:rPr>
        <w:t xml:space="preserve">ir </w:t>
      </w:r>
      <w:r w:rsidRPr="008A486E">
        <w:rPr>
          <w:rFonts w:eastAsia="Times New Roman" w:cstheme="minorHAnsi"/>
          <w:sz w:val="24"/>
          <w:szCs w:val="24"/>
        </w:rPr>
        <w:t xml:space="preserve">vadovaudamasi Įstatymo 95 straipsnio 2 dalies 7 punktu, </w:t>
      </w:r>
      <w:r w:rsidR="00D235B0" w:rsidRPr="008A486E">
        <w:rPr>
          <w:rFonts w:eastAsia="Times New Roman" w:cstheme="minorHAnsi"/>
          <w:b/>
          <w:bCs/>
          <w:sz w:val="24"/>
          <w:szCs w:val="24"/>
        </w:rPr>
        <w:t xml:space="preserve">Tarnyba </w:t>
      </w:r>
      <w:r w:rsidRPr="008A486E">
        <w:rPr>
          <w:rFonts w:eastAsia="Times New Roman" w:cstheme="minorHAnsi"/>
          <w:b/>
          <w:bCs/>
          <w:sz w:val="24"/>
          <w:szCs w:val="24"/>
        </w:rPr>
        <w:t>neturi pagrindo sutikti</w:t>
      </w:r>
      <w:r w:rsidRPr="008A486E">
        <w:rPr>
          <w:rFonts w:eastAsia="Times New Roman" w:cstheme="minorHAnsi"/>
          <w:sz w:val="24"/>
          <w:szCs w:val="24"/>
        </w:rPr>
        <w:t xml:space="preserve">, kad Perkančioji organizacija </w:t>
      </w:r>
      <w:r w:rsidR="00D235B0" w:rsidRPr="008A486E">
        <w:rPr>
          <w:rFonts w:eastAsia="Times New Roman" w:cstheme="minorHAnsi"/>
          <w:sz w:val="24"/>
          <w:szCs w:val="24"/>
        </w:rPr>
        <w:t>„</w:t>
      </w:r>
      <w:proofErr w:type="spellStart"/>
      <w:r w:rsidR="00D235B0" w:rsidRPr="008A486E">
        <w:rPr>
          <w:rFonts w:eastAsia="Times New Roman" w:cstheme="minorHAnsi"/>
          <w:sz w:val="24"/>
          <w:szCs w:val="24"/>
        </w:rPr>
        <w:t>Oracle</w:t>
      </w:r>
      <w:proofErr w:type="spellEnd"/>
      <w:r w:rsidR="00D235B0" w:rsidRPr="008A486E">
        <w:rPr>
          <w:rFonts w:eastAsia="Times New Roman" w:cstheme="minorHAnsi"/>
          <w:sz w:val="24"/>
          <w:szCs w:val="24"/>
        </w:rPr>
        <w:t xml:space="preserve">“ duomenų bazių sprendimo paslaugų </w:t>
      </w:r>
      <w:r w:rsidR="00F973AC" w:rsidRPr="008A486E">
        <w:rPr>
          <w:rFonts w:eastAsia="Times New Roman" w:cstheme="minorHAnsi"/>
          <w:sz w:val="24"/>
          <w:szCs w:val="24"/>
        </w:rPr>
        <w:t xml:space="preserve">pirkimą </w:t>
      </w:r>
      <w:r w:rsidRPr="008A486E">
        <w:rPr>
          <w:rFonts w:eastAsia="Times New Roman" w:cstheme="minorHAnsi"/>
          <w:sz w:val="24"/>
          <w:szCs w:val="24"/>
        </w:rPr>
        <w:t xml:space="preserve">vykdytų neskelbiamų derybų būdu, vadovaujantis Įstatymo 71 straipsnio 1 dalies 2 punkto </w:t>
      </w:r>
      <w:r w:rsidR="00F973AC" w:rsidRPr="008A486E">
        <w:rPr>
          <w:rFonts w:eastAsia="Times New Roman" w:cstheme="minorHAnsi"/>
          <w:sz w:val="24"/>
          <w:szCs w:val="24"/>
        </w:rPr>
        <w:t>b</w:t>
      </w:r>
      <w:r w:rsidRPr="008A486E">
        <w:rPr>
          <w:rFonts w:eastAsia="Times New Roman" w:cstheme="minorHAnsi"/>
          <w:sz w:val="24"/>
          <w:szCs w:val="24"/>
        </w:rPr>
        <w:t xml:space="preserve"> papunkčiu.</w:t>
      </w:r>
    </w:p>
    <w:p w14:paraId="6507A047" w14:textId="59486668" w:rsidR="00943431" w:rsidRPr="008A486E" w:rsidRDefault="00910E09" w:rsidP="003F0CDD">
      <w:pPr>
        <w:tabs>
          <w:tab w:val="left" w:pos="1134"/>
        </w:tabs>
        <w:spacing w:after="0"/>
        <w:ind w:firstLine="567"/>
        <w:contextualSpacing/>
        <w:rPr>
          <w:rFonts w:eastAsia="Times New Roman" w:cstheme="minorHAnsi"/>
          <w:sz w:val="24"/>
          <w:szCs w:val="24"/>
        </w:rPr>
      </w:pPr>
      <w:r w:rsidRPr="008A486E">
        <w:rPr>
          <w:rFonts w:eastAsia="Times New Roman" w:cstheme="minorHAnsi"/>
          <w:sz w:val="24"/>
          <w:szCs w:val="24"/>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w:t>
      </w:r>
      <w:r w:rsidRPr="008A486E">
        <w:rPr>
          <w:rFonts w:eastAsia="Times New Roman" w:cstheme="minorHAnsi"/>
          <w:sz w:val="24"/>
          <w:szCs w:val="24"/>
        </w:rPr>
        <w:lastRenderedPageBreak/>
        <w:t>paduodami Lietuvos administracinių ginčų komisijai (Vilniaus g. 27, 01402 Vilnius) ar Regionų administraciniam teismui (Žygimantų g. 2, 01102 Vilnius).</w:t>
      </w:r>
    </w:p>
    <w:p w14:paraId="38B22FA0" w14:textId="77777777" w:rsidR="00BB6768" w:rsidRDefault="00BB6768" w:rsidP="00AB10AF">
      <w:pPr>
        <w:tabs>
          <w:tab w:val="left" w:pos="1134"/>
        </w:tabs>
        <w:spacing w:after="0"/>
        <w:ind w:firstLine="567"/>
        <w:rPr>
          <w:rFonts w:eastAsia="Times New Roman" w:cstheme="minorHAnsi"/>
          <w:sz w:val="24"/>
          <w:szCs w:val="24"/>
        </w:rPr>
      </w:pPr>
    </w:p>
    <w:p w14:paraId="09F8BDBF" w14:textId="77777777" w:rsidR="00FB3ECE" w:rsidRPr="008A486E" w:rsidRDefault="00FB3ECE" w:rsidP="00AB10AF">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8A486E" w14:paraId="1EE8EE90" w14:textId="77777777" w:rsidTr="00BD38AE">
        <w:tc>
          <w:tcPr>
            <w:tcW w:w="4814" w:type="dxa"/>
          </w:tcPr>
          <w:bookmarkEnd w:id="0"/>
          <w:p w14:paraId="092D59E8" w14:textId="64E7A7BD" w:rsidR="00BD38AE" w:rsidRPr="008A486E" w:rsidRDefault="00BD38AE" w:rsidP="00AB10AF">
            <w:pPr>
              <w:tabs>
                <w:tab w:val="left" w:pos="1134"/>
              </w:tabs>
              <w:spacing w:after="0"/>
              <w:jc w:val="both"/>
              <w:rPr>
                <w:rFonts w:asciiTheme="minorHAnsi" w:eastAsia="Times New Roman" w:hAnsiTheme="minorHAnsi" w:cstheme="minorHAnsi"/>
                <w:sz w:val="24"/>
                <w:szCs w:val="24"/>
              </w:rPr>
            </w:pPr>
            <w:r w:rsidRPr="008A486E">
              <w:rPr>
                <w:rFonts w:asciiTheme="minorHAnsi" w:hAnsiTheme="minorHAnsi" w:cstheme="minorHAnsi"/>
                <w:sz w:val="24"/>
                <w:szCs w:val="24"/>
              </w:rPr>
              <w:t xml:space="preserve">Direktorius </w:t>
            </w:r>
          </w:p>
        </w:tc>
        <w:tc>
          <w:tcPr>
            <w:tcW w:w="4815" w:type="dxa"/>
            <w:hideMark/>
          </w:tcPr>
          <w:p w14:paraId="2BDED6F3" w14:textId="0E2E15EC" w:rsidR="00BD38AE" w:rsidRPr="008A486E" w:rsidRDefault="00983E6E" w:rsidP="00AB10AF">
            <w:pPr>
              <w:tabs>
                <w:tab w:val="left" w:pos="1134"/>
              </w:tabs>
              <w:spacing w:after="0"/>
              <w:jc w:val="right"/>
              <w:rPr>
                <w:rFonts w:asciiTheme="minorHAnsi" w:eastAsia="Times New Roman" w:hAnsiTheme="minorHAnsi" w:cstheme="minorHAnsi"/>
                <w:sz w:val="24"/>
                <w:szCs w:val="24"/>
              </w:rPr>
            </w:pPr>
            <w:r w:rsidRPr="008A486E">
              <w:rPr>
                <w:rFonts w:asciiTheme="minorHAnsi" w:hAnsiTheme="minorHAnsi" w:cstheme="minorHAnsi"/>
                <w:sz w:val="24"/>
                <w:szCs w:val="24"/>
              </w:rPr>
              <w:t>Darius Vedrickas</w:t>
            </w:r>
          </w:p>
        </w:tc>
      </w:tr>
    </w:tbl>
    <w:p w14:paraId="7F25A427" w14:textId="77777777" w:rsidR="00E76E66" w:rsidRDefault="00E76E66" w:rsidP="00AB10AF">
      <w:pPr>
        <w:tabs>
          <w:tab w:val="left" w:pos="900"/>
        </w:tabs>
        <w:spacing w:after="0"/>
        <w:rPr>
          <w:rFonts w:eastAsia="Times New Roman" w:cstheme="minorHAnsi"/>
          <w:sz w:val="24"/>
          <w:szCs w:val="24"/>
        </w:rPr>
      </w:pPr>
    </w:p>
    <w:p w14:paraId="6F4A9B45" w14:textId="77777777" w:rsidR="00C26CD4" w:rsidRDefault="00C26CD4" w:rsidP="00AB10AF">
      <w:pPr>
        <w:tabs>
          <w:tab w:val="left" w:pos="900"/>
        </w:tabs>
        <w:spacing w:after="0"/>
        <w:rPr>
          <w:rFonts w:eastAsia="Times New Roman" w:cstheme="minorHAnsi"/>
          <w:sz w:val="24"/>
          <w:szCs w:val="24"/>
        </w:rPr>
      </w:pPr>
    </w:p>
    <w:p w14:paraId="27B83E93" w14:textId="77777777" w:rsidR="00FB3ECE" w:rsidRDefault="00FB3ECE" w:rsidP="00AB10AF">
      <w:pPr>
        <w:tabs>
          <w:tab w:val="left" w:pos="900"/>
        </w:tabs>
        <w:spacing w:after="0"/>
        <w:rPr>
          <w:rFonts w:eastAsia="Times New Roman" w:cstheme="minorHAnsi"/>
          <w:sz w:val="24"/>
          <w:szCs w:val="24"/>
        </w:rPr>
      </w:pPr>
    </w:p>
    <w:p w14:paraId="0D32A9FC" w14:textId="77777777" w:rsidR="00FB3ECE" w:rsidRDefault="00FB3ECE" w:rsidP="00AB10AF">
      <w:pPr>
        <w:tabs>
          <w:tab w:val="left" w:pos="900"/>
        </w:tabs>
        <w:spacing w:after="0"/>
        <w:rPr>
          <w:rFonts w:eastAsia="Times New Roman" w:cstheme="minorHAnsi"/>
          <w:sz w:val="24"/>
          <w:szCs w:val="24"/>
        </w:rPr>
      </w:pPr>
    </w:p>
    <w:p w14:paraId="55451C17" w14:textId="77777777" w:rsidR="00FB3ECE" w:rsidRDefault="00FB3ECE" w:rsidP="00AB10AF">
      <w:pPr>
        <w:tabs>
          <w:tab w:val="left" w:pos="900"/>
        </w:tabs>
        <w:spacing w:after="0"/>
        <w:rPr>
          <w:rFonts w:eastAsia="Times New Roman" w:cstheme="minorHAnsi"/>
          <w:sz w:val="24"/>
          <w:szCs w:val="24"/>
        </w:rPr>
      </w:pPr>
    </w:p>
    <w:p w14:paraId="3B5BC3A0" w14:textId="77777777" w:rsidR="00FB3ECE" w:rsidRDefault="00FB3ECE" w:rsidP="00AB10AF">
      <w:pPr>
        <w:tabs>
          <w:tab w:val="left" w:pos="900"/>
        </w:tabs>
        <w:spacing w:after="0"/>
        <w:rPr>
          <w:rFonts w:eastAsia="Times New Roman" w:cstheme="minorHAnsi"/>
          <w:sz w:val="24"/>
          <w:szCs w:val="24"/>
        </w:rPr>
      </w:pPr>
    </w:p>
    <w:p w14:paraId="45635D5A" w14:textId="77777777" w:rsidR="00FB3ECE" w:rsidRDefault="00FB3ECE" w:rsidP="00AB10AF">
      <w:pPr>
        <w:tabs>
          <w:tab w:val="left" w:pos="900"/>
        </w:tabs>
        <w:spacing w:after="0"/>
        <w:rPr>
          <w:rFonts w:eastAsia="Times New Roman" w:cstheme="minorHAnsi"/>
          <w:sz w:val="24"/>
          <w:szCs w:val="24"/>
        </w:rPr>
      </w:pPr>
    </w:p>
    <w:p w14:paraId="15BC211A" w14:textId="77777777" w:rsidR="00FB3ECE" w:rsidRDefault="00FB3ECE" w:rsidP="00AB10AF">
      <w:pPr>
        <w:tabs>
          <w:tab w:val="left" w:pos="900"/>
        </w:tabs>
        <w:spacing w:after="0"/>
        <w:rPr>
          <w:rFonts w:eastAsia="Times New Roman" w:cstheme="minorHAnsi"/>
          <w:sz w:val="24"/>
          <w:szCs w:val="24"/>
        </w:rPr>
      </w:pPr>
    </w:p>
    <w:p w14:paraId="7A0599F9" w14:textId="77777777" w:rsidR="00FB3ECE" w:rsidRDefault="00FB3ECE" w:rsidP="00AB10AF">
      <w:pPr>
        <w:tabs>
          <w:tab w:val="left" w:pos="900"/>
        </w:tabs>
        <w:spacing w:after="0"/>
        <w:rPr>
          <w:rFonts w:eastAsia="Times New Roman" w:cstheme="minorHAnsi"/>
          <w:sz w:val="24"/>
          <w:szCs w:val="24"/>
        </w:rPr>
      </w:pPr>
    </w:p>
    <w:p w14:paraId="0B4B5A49" w14:textId="77777777" w:rsidR="00FB3ECE" w:rsidRDefault="00FB3ECE" w:rsidP="00AB10AF">
      <w:pPr>
        <w:tabs>
          <w:tab w:val="left" w:pos="900"/>
        </w:tabs>
        <w:spacing w:after="0"/>
        <w:rPr>
          <w:rFonts w:eastAsia="Times New Roman" w:cstheme="minorHAnsi"/>
          <w:sz w:val="24"/>
          <w:szCs w:val="24"/>
        </w:rPr>
      </w:pPr>
    </w:p>
    <w:p w14:paraId="1855234E" w14:textId="77777777" w:rsidR="00FB3ECE" w:rsidRDefault="00FB3ECE" w:rsidP="00AB10AF">
      <w:pPr>
        <w:tabs>
          <w:tab w:val="left" w:pos="900"/>
        </w:tabs>
        <w:spacing w:after="0"/>
        <w:rPr>
          <w:rFonts w:eastAsia="Times New Roman" w:cstheme="minorHAnsi"/>
          <w:sz w:val="24"/>
          <w:szCs w:val="24"/>
        </w:rPr>
      </w:pPr>
    </w:p>
    <w:p w14:paraId="27BF28D4" w14:textId="77777777" w:rsidR="00FB3ECE" w:rsidRDefault="00FB3ECE" w:rsidP="00AB10AF">
      <w:pPr>
        <w:tabs>
          <w:tab w:val="left" w:pos="900"/>
        </w:tabs>
        <w:spacing w:after="0"/>
        <w:rPr>
          <w:rFonts w:eastAsia="Times New Roman" w:cstheme="minorHAnsi"/>
          <w:sz w:val="24"/>
          <w:szCs w:val="24"/>
        </w:rPr>
      </w:pPr>
    </w:p>
    <w:p w14:paraId="42314DE2" w14:textId="77777777" w:rsidR="00FB3ECE" w:rsidRDefault="00FB3ECE" w:rsidP="00AB10AF">
      <w:pPr>
        <w:tabs>
          <w:tab w:val="left" w:pos="900"/>
        </w:tabs>
        <w:spacing w:after="0"/>
        <w:rPr>
          <w:rFonts w:eastAsia="Times New Roman" w:cstheme="minorHAnsi"/>
          <w:sz w:val="24"/>
          <w:szCs w:val="24"/>
        </w:rPr>
      </w:pPr>
    </w:p>
    <w:p w14:paraId="3E0406A7" w14:textId="77777777" w:rsidR="00FB3ECE" w:rsidRDefault="00FB3ECE" w:rsidP="00AB10AF">
      <w:pPr>
        <w:tabs>
          <w:tab w:val="left" w:pos="900"/>
        </w:tabs>
        <w:spacing w:after="0"/>
        <w:rPr>
          <w:rFonts w:eastAsia="Times New Roman" w:cstheme="minorHAnsi"/>
          <w:sz w:val="24"/>
          <w:szCs w:val="24"/>
        </w:rPr>
      </w:pPr>
    </w:p>
    <w:p w14:paraId="384C7ED5" w14:textId="77777777" w:rsidR="00FB3ECE" w:rsidRDefault="00FB3ECE" w:rsidP="00AB10AF">
      <w:pPr>
        <w:tabs>
          <w:tab w:val="left" w:pos="900"/>
        </w:tabs>
        <w:spacing w:after="0"/>
        <w:rPr>
          <w:rFonts w:eastAsia="Times New Roman" w:cstheme="minorHAnsi"/>
          <w:sz w:val="24"/>
          <w:szCs w:val="24"/>
        </w:rPr>
      </w:pPr>
    </w:p>
    <w:p w14:paraId="4FC56857" w14:textId="77777777" w:rsidR="00FB3ECE" w:rsidRDefault="00FB3ECE" w:rsidP="00AB10AF">
      <w:pPr>
        <w:tabs>
          <w:tab w:val="left" w:pos="900"/>
        </w:tabs>
        <w:spacing w:after="0"/>
        <w:rPr>
          <w:rFonts w:eastAsia="Times New Roman" w:cstheme="minorHAnsi"/>
          <w:sz w:val="24"/>
          <w:szCs w:val="24"/>
        </w:rPr>
      </w:pPr>
    </w:p>
    <w:p w14:paraId="45A46791" w14:textId="77777777" w:rsidR="00FB3ECE" w:rsidRDefault="00FB3ECE" w:rsidP="00AB10AF">
      <w:pPr>
        <w:tabs>
          <w:tab w:val="left" w:pos="900"/>
        </w:tabs>
        <w:spacing w:after="0"/>
        <w:rPr>
          <w:rFonts w:eastAsia="Times New Roman" w:cstheme="minorHAnsi"/>
          <w:sz w:val="24"/>
          <w:szCs w:val="24"/>
        </w:rPr>
      </w:pPr>
    </w:p>
    <w:p w14:paraId="7DB194AD" w14:textId="77777777" w:rsidR="00FB3ECE" w:rsidRDefault="00FB3ECE" w:rsidP="00AB10AF">
      <w:pPr>
        <w:tabs>
          <w:tab w:val="left" w:pos="900"/>
        </w:tabs>
        <w:spacing w:after="0"/>
        <w:rPr>
          <w:rFonts w:eastAsia="Times New Roman" w:cstheme="minorHAnsi"/>
          <w:sz w:val="24"/>
          <w:szCs w:val="24"/>
        </w:rPr>
      </w:pPr>
    </w:p>
    <w:p w14:paraId="75E41389" w14:textId="77777777" w:rsidR="00FB3ECE" w:rsidRDefault="00FB3ECE" w:rsidP="00AB10AF">
      <w:pPr>
        <w:tabs>
          <w:tab w:val="left" w:pos="900"/>
        </w:tabs>
        <w:spacing w:after="0"/>
        <w:rPr>
          <w:rFonts w:eastAsia="Times New Roman" w:cstheme="minorHAnsi"/>
          <w:sz w:val="24"/>
          <w:szCs w:val="24"/>
        </w:rPr>
      </w:pPr>
    </w:p>
    <w:p w14:paraId="0EE03FA7" w14:textId="77777777" w:rsidR="00FB3ECE" w:rsidRDefault="00FB3ECE" w:rsidP="00AB10AF">
      <w:pPr>
        <w:tabs>
          <w:tab w:val="left" w:pos="900"/>
        </w:tabs>
        <w:spacing w:after="0"/>
        <w:rPr>
          <w:rFonts w:eastAsia="Times New Roman" w:cstheme="minorHAnsi"/>
          <w:sz w:val="24"/>
          <w:szCs w:val="24"/>
        </w:rPr>
      </w:pPr>
    </w:p>
    <w:p w14:paraId="51B1E6B0" w14:textId="77777777" w:rsidR="00FB3ECE" w:rsidRDefault="00FB3ECE" w:rsidP="00AB10AF">
      <w:pPr>
        <w:tabs>
          <w:tab w:val="left" w:pos="900"/>
        </w:tabs>
        <w:spacing w:after="0"/>
        <w:rPr>
          <w:rFonts w:eastAsia="Times New Roman" w:cstheme="minorHAnsi"/>
          <w:sz w:val="24"/>
          <w:szCs w:val="24"/>
        </w:rPr>
      </w:pPr>
    </w:p>
    <w:p w14:paraId="5FB25698" w14:textId="77777777" w:rsidR="00FB3ECE" w:rsidRDefault="00FB3ECE" w:rsidP="00AB10AF">
      <w:pPr>
        <w:tabs>
          <w:tab w:val="left" w:pos="900"/>
        </w:tabs>
        <w:spacing w:after="0"/>
        <w:rPr>
          <w:rFonts w:eastAsia="Times New Roman" w:cstheme="minorHAnsi"/>
          <w:sz w:val="24"/>
          <w:szCs w:val="24"/>
        </w:rPr>
      </w:pPr>
    </w:p>
    <w:sectPr w:rsidR="00FB3ECE"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7C7B" w14:textId="77777777" w:rsidR="00914501" w:rsidRDefault="00914501">
      <w:pPr>
        <w:spacing w:after="0" w:line="240" w:lineRule="auto"/>
      </w:pPr>
      <w:r>
        <w:separator/>
      </w:r>
    </w:p>
  </w:endnote>
  <w:endnote w:type="continuationSeparator" w:id="0">
    <w:p w14:paraId="554EDC54" w14:textId="77777777" w:rsidR="00914501" w:rsidRDefault="0091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66A3" w14:textId="77777777" w:rsidR="00914501" w:rsidRDefault="00914501">
      <w:pPr>
        <w:spacing w:after="0" w:line="240" w:lineRule="auto"/>
      </w:pPr>
      <w:r>
        <w:separator/>
      </w:r>
    </w:p>
  </w:footnote>
  <w:footnote w:type="continuationSeparator" w:id="0">
    <w:p w14:paraId="3CF0FBA7" w14:textId="77777777" w:rsidR="00914501" w:rsidRDefault="00914501">
      <w:pPr>
        <w:spacing w:after="0" w:line="240" w:lineRule="auto"/>
      </w:pPr>
      <w:r>
        <w:continuationSeparator/>
      </w:r>
    </w:p>
  </w:footnote>
  <w:footnote w:id="1">
    <w:p w14:paraId="709CAD24" w14:textId="77777777" w:rsidR="00943431" w:rsidRPr="005A5EF3" w:rsidRDefault="00943431" w:rsidP="00943431">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0A973E06" w14:textId="77777777" w:rsidR="007066A5" w:rsidRDefault="007066A5" w:rsidP="007066A5">
      <w:pPr>
        <w:pStyle w:val="FootnoteText"/>
      </w:pPr>
      <w:r>
        <w:rPr>
          <w:rStyle w:val="FootnoteReference"/>
        </w:rPr>
        <w:footnoteRef/>
      </w:r>
      <w:r>
        <w:t xml:space="preserve"> </w:t>
      </w:r>
      <w:r>
        <w:t>Pirkimo techninėje specifikacijoje nurodyta informacija.</w:t>
      </w:r>
    </w:p>
  </w:footnote>
  <w:footnote w:id="3">
    <w:p w14:paraId="667B4F64" w14:textId="12547A16" w:rsidR="00C61F3A" w:rsidRDefault="00C61F3A">
      <w:pPr>
        <w:pStyle w:val="FootnoteText"/>
      </w:pPr>
      <w:r>
        <w:rPr>
          <w:rStyle w:val="FootnoteReference"/>
        </w:rPr>
        <w:footnoteRef/>
      </w:r>
      <w:r>
        <w:t xml:space="preserve"> </w:t>
      </w:r>
      <w:r w:rsidR="00FA0985">
        <w:t xml:space="preserve">Perkančiosios organizacijos </w:t>
      </w:r>
      <w:r w:rsidRPr="00C61F3A">
        <w:t>2025</w:t>
      </w:r>
      <w:r>
        <w:t xml:space="preserve"> m. sausio </w:t>
      </w:r>
      <w:r w:rsidRPr="00C61F3A">
        <w:t>8</w:t>
      </w:r>
      <w:r>
        <w:t xml:space="preserve"> d. raštas Nr. S</w:t>
      </w:r>
      <w:r w:rsidRPr="00C61F3A">
        <w:t>-194(1.4E)</w:t>
      </w:r>
      <w:r>
        <w:t>.</w:t>
      </w:r>
    </w:p>
  </w:footnote>
  <w:footnote w:id="4">
    <w:p w14:paraId="08222385" w14:textId="47C485B4" w:rsidR="00ED4CB2" w:rsidRDefault="00ED4CB2">
      <w:pPr>
        <w:pStyle w:val="FootnoteText"/>
      </w:pPr>
      <w:r>
        <w:rPr>
          <w:rStyle w:val="FootnoteReference"/>
        </w:rPr>
        <w:footnoteRef/>
      </w:r>
      <w:r>
        <w:t xml:space="preserve"> </w:t>
      </w:r>
      <w:r w:rsidR="00214A0C" w:rsidRPr="00214A0C">
        <w:t>Perkančiosios organizacijos 2025 m. sausio 8 d. raštas Nr. S-194(1.4E).</w:t>
      </w:r>
    </w:p>
  </w:footnote>
  <w:footnote w:id="5">
    <w:p w14:paraId="73128650" w14:textId="4B41B3B2" w:rsidR="005A320E" w:rsidRDefault="005A320E">
      <w:pPr>
        <w:pStyle w:val="FootnoteText"/>
      </w:pPr>
      <w:r>
        <w:rPr>
          <w:rStyle w:val="FootnoteReference"/>
        </w:rPr>
        <w:footnoteRef/>
      </w:r>
      <w:r>
        <w:t xml:space="preserve"> </w:t>
      </w:r>
      <w:r w:rsidRPr="005A320E">
        <w:t>„</w:t>
      </w:r>
      <w:proofErr w:type="spellStart"/>
      <w:r w:rsidRPr="005A320E">
        <w:t>Real</w:t>
      </w:r>
      <w:proofErr w:type="spellEnd"/>
      <w:r w:rsidRPr="005A320E">
        <w:t xml:space="preserve"> </w:t>
      </w:r>
      <w:proofErr w:type="spellStart"/>
      <w:r w:rsidRPr="005A320E">
        <w:t>Application</w:t>
      </w:r>
      <w:proofErr w:type="spellEnd"/>
      <w:r w:rsidRPr="005A320E">
        <w:t xml:space="preserve"> </w:t>
      </w:r>
      <w:proofErr w:type="spellStart"/>
      <w:r w:rsidRPr="005A320E">
        <w:t>Clusters</w:t>
      </w:r>
      <w:proofErr w:type="spellEnd"/>
      <w:r w:rsidRPr="005A320E">
        <w:t>” (</w:t>
      </w:r>
      <w:proofErr w:type="spellStart"/>
      <w:r w:rsidRPr="005A320E">
        <w:t>Oracle</w:t>
      </w:r>
      <w:proofErr w:type="spellEnd"/>
      <w:r w:rsidRPr="005A320E">
        <w:t xml:space="preserve"> RAC), „</w:t>
      </w:r>
      <w:proofErr w:type="spellStart"/>
      <w:r w:rsidRPr="005A320E">
        <w:t>Active</w:t>
      </w:r>
      <w:proofErr w:type="spellEnd"/>
      <w:r w:rsidRPr="005A320E">
        <w:t xml:space="preserve"> Data </w:t>
      </w:r>
      <w:proofErr w:type="spellStart"/>
      <w:r w:rsidRPr="005A320E">
        <w:t>Guard</w:t>
      </w:r>
      <w:proofErr w:type="spellEnd"/>
      <w:r w:rsidRPr="005A320E">
        <w:t>”, „</w:t>
      </w:r>
      <w:proofErr w:type="spellStart"/>
      <w:r w:rsidRPr="005A320E">
        <w:t>Automatic</w:t>
      </w:r>
      <w:proofErr w:type="spellEnd"/>
      <w:r w:rsidRPr="005A320E">
        <w:t xml:space="preserve"> </w:t>
      </w:r>
      <w:proofErr w:type="spellStart"/>
      <w:r w:rsidRPr="005A320E">
        <w:t>Storage</w:t>
      </w:r>
      <w:proofErr w:type="spellEnd"/>
      <w:r w:rsidRPr="005A320E">
        <w:t xml:space="preserve"> </w:t>
      </w:r>
      <w:proofErr w:type="spellStart"/>
      <w:r w:rsidRPr="005A320E">
        <w:t>Management</w:t>
      </w:r>
      <w:proofErr w:type="spellEnd"/>
      <w:r w:rsidRPr="005A320E">
        <w:t>” (ASM), „</w:t>
      </w:r>
      <w:proofErr w:type="spellStart"/>
      <w:r w:rsidRPr="005A320E">
        <w:t>Partitioning</w:t>
      </w:r>
      <w:proofErr w:type="spellEnd"/>
      <w:r w:rsidRPr="005A320E">
        <w:t>”, „</w:t>
      </w:r>
      <w:proofErr w:type="spellStart"/>
      <w:r w:rsidRPr="005A320E">
        <w:t>Multitenant</w:t>
      </w:r>
      <w:proofErr w:type="spellEnd"/>
      <w:r w:rsidRPr="005A320E">
        <w:t>”</w:t>
      </w:r>
      <w:r>
        <w:t>.</w:t>
      </w:r>
    </w:p>
  </w:footnote>
  <w:footnote w:id="6">
    <w:p w14:paraId="7EF25B89" w14:textId="77777777" w:rsidR="006162E0" w:rsidRDefault="006162E0" w:rsidP="006162E0">
      <w:pPr>
        <w:pStyle w:val="FootnoteText"/>
      </w:pPr>
      <w:r>
        <w:rPr>
          <w:rStyle w:val="FootnoteReference"/>
        </w:rPr>
        <w:footnoteRef/>
      </w:r>
      <w:r>
        <w:t xml:space="preserve"> </w:t>
      </w:r>
      <w:r w:rsidRPr="00F76E69">
        <w:t>2024 m. gruodžio 19 d. protokol</w:t>
      </w:r>
      <w:r>
        <w:t>as</w:t>
      </w:r>
      <w:r w:rsidRPr="00F76E69">
        <w:t xml:space="preserve"> Nr. VPPR-29</w:t>
      </w:r>
      <w:r>
        <w:t>.</w:t>
      </w:r>
    </w:p>
  </w:footnote>
  <w:footnote w:id="7">
    <w:p w14:paraId="32AE81B1" w14:textId="77777777" w:rsidR="006162E0" w:rsidRDefault="006162E0" w:rsidP="006162E0">
      <w:pPr>
        <w:pStyle w:val="FootnoteText"/>
      </w:pPr>
      <w:r>
        <w:rPr>
          <w:rStyle w:val="FootnoteReference"/>
        </w:rPr>
        <w:footnoteRef/>
      </w:r>
      <w:r>
        <w:t xml:space="preserve"> </w:t>
      </w:r>
      <w:r w:rsidRPr="007B1D55">
        <w:t>Asmenų, Gyventojų, Nekilnojamojo turto, Adresų, Turto arešto aktų bei kiti registrai ir Juridinių asmenų dalyvių, Licencijų, Piniginių lėšų apribojimų, Politinių partijų narių sąrašų informacinės sistemos bei kiti</w:t>
      </w:r>
      <w:r>
        <w:t>.</w:t>
      </w:r>
    </w:p>
  </w:footnote>
  <w:footnote w:id="8">
    <w:p w14:paraId="6BB244EE" w14:textId="77777777" w:rsidR="006162E0" w:rsidRDefault="006162E0" w:rsidP="006162E0">
      <w:pPr>
        <w:pStyle w:val="FootnoteText"/>
      </w:pPr>
      <w:r>
        <w:rPr>
          <w:rStyle w:val="FootnoteReference"/>
        </w:rPr>
        <w:footnoteRef/>
      </w:r>
      <w:r>
        <w:t xml:space="preserve"> </w:t>
      </w:r>
      <w:proofErr w:type="spellStart"/>
      <w:r w:rsidRPr="00916DCB">
        <w:t>Oracle</w:t>
      </w:r>
      <w:proofErr w:type="spellEnd"/>
      <w:r w:rsidRPr="00916DCB">
        <w:t xml:space="preserve"> </w:t>
      </w:r>
      <w:proofErr w:type="spellStart"/>
      <w:r w:rsidRPr="00916DCB">
        <w:t>Real</w:t>
      </w:r>
      <w:proofErr w:type="spellEnd"/>
      <w:r w:rsidRPr="00916DCB">
        <w:t xml:space="preserve"> </w:t>
      </w:r>
      <w:proofErr w:type="spellStart"/>
      <w:r w:rsidRPr="00916DCB">
        <w:t>Application</w:t>
      </w:r>
      <w:proofErr w:type="spellEnd"/>
      <w:r w:rsidRPr="00916DCB">
        <w:t xml:space="preserve"> </w:t>
      </w:r>
      <w:proofErr w:type="spellStart"/>
      <w:r w:rsidRPr="00916DCB">
        <w:t>Clusters</w:t>
      </w:r>
      <w:proofErr w:type="spellEnd"/>
      <w:r w:rsidRPr="00916DCB">
        <w:t xml:space="preserve"> (RAC) leidžia pasiekti aukštą prieinamumą, pasitelkiant kelių serverių klasterius.</w:t>
      </w:r>
    </w:p>
  </w:footnote>
  <w:footnote w:id="9">
    <w:p w14:paraId="310B524D" w14:textId="77777777" w:rsidR="006162E0" w:rsidRDefault="006162E0" w:rsidP="006162E0">
      <w:pPr>
        <w:pStyle w:val="FootnoteText"/>
      </w:pPr>
      <w:r>
        <w:rPr>
          <w:rStyle w:val="FootnoteReference"/>
        </w:rPr>
        <w:footnoteRef/>
      </w:r>
      <w:r>
        <w:t xml:space="preserve"> </w:t>
      </w:r>
      <w:proofErr w:type="spellStart"/>
      <w:r w:rsidRPr="00916DCB">
        <w:t>Active</w:t>
      </w:r>
      <w:proofErr w:type="spellEnd"/>
      <w:r w:rsidRPr="00916DCB">
        <w:t xml:space="preserve"> Data </w:t>
      </w:r>
      <w:proofErr w:type="spellStart"/>
      <w:r w:rsidRPr="00916DCB">
        <w:t>Guard</w:t>
      </w:r>
      <w:proofErr w:type="spellEnd"/>
      <w:r w:rsidRPr="00916DCB">
        <w:t>, suteikia aukščiausio lygio duomenų apsaugą ir nuolatinę replikaciją, užtikrinančią nenutrūkstamą paslaugų teikimą.</w:t>
      </w:r>
    </w:p>
  </w:footnote>
  <w:footnote w:id="10">
    <w:p w14:paraId="1A6126EC" w14:textId="77777777" w:rsidR="006162E0" w:rsidRDefault="006162E0" w:rsidP="006162E0">
      <w:pPr>
        <w:pStyle w:val="FootnoteText"/>
      </w:pPr>
      <w:r>
        <w:rPr>
          <w:rStyle w:val="FootnoteReference"/>
        </w:rPr>
        <w:footnoteRef/>
      </w:r>
      <w:r>
        <w:t xml:space="preserve"> </w:t>
      </w:r>
      <w:proofErr w:type="spellStart"/>
      <w:r w:rsidRPr="00916DCB">
        <w:t>Automatic</w:t>
      </w:r>
      <w:proofErr w:type="spellEnd"/>
      <w:r w:rsidRPr="00916DCB">
        <w:t xml:space="preserve"> </w:t>
      </w:r>
      <w:proofErr w:type="spellStart"/>
      <w:r w:rsidRPr="00916DCB">
        <w:t>Storage</w:t>
      </w:r>
      <w:proofErr w:type="spellEnd"/>
      <w:r w:rsidRPr="00916DCB">
        <w:t xml:space="preserve"> </w:t>
      </w:r>
      <w:proofErr w:type="spellStart"/>
      <w:r w:rsidRPr="00916DCB">
        <w:t>Management</w:t>
      </w:r>
      <w:proofErr w:type="spellEnd"/>
      <w:r w:rsidRPr="00916DCB">
        <w:t xml:space="preserve"> (ASM) užtikrina efektyvų duomenų saugojimą ir valdymą, nes jis optimizuoja įrašų paskirstymą per visus saugojimo įrenginius.</w:t>
      </w:r>
    </w:p>
  </w:footnote>
  <w:footnote w:id="11">
    <w:p w14:paraId="1C1EE223" w14:textId="77777777" w:rsidR="006162E0" w:rsidRDefault="006162E0" w:rsidP="006162E0">
      <w:pPr>
        <w:pStyle w:val="FootnoteText"/>
      </w:pPr>
      <w:r>
        <w:rPr>
          <w:rStyle w:val="FootnoteReference"/>
        </w:rPr>
        <w:footnoteRef/>
      </w:r>
      <w:r>
        <w:t xml:space="preserve"> </w:t>
      </w:r>
      <w:proofErr w:type="spellStart"/>
      <w:r w:rsidRPr="006F2045">
        <w:t>Partitioning</w:t>
      </w:r>
      <w:proofErr w:type="spellEnd"/>
      <w:r w:rsidRPr="006F2045">
        <w:t xml:space="preserve"> funkcija </w:t>
      </w:r>
      <w:bookmarkStart w:id="3" w:name="_Hlk188006489"/>
      <w:r w:rsidRPr="006F2045">
        <w:t xml:space="preserve">leidžia tvarkyti didelius duomenų kiekius, padalijant juos į mažesnes dalis, kad </w:t>
      </w:r>
      <w:r>
        <w:t xml:space="preserve">būtų </w:t>
      </w:r>
      <w:r w:rsidRPr="006F2045">
        <w:t>pagerint</w:t>
      </w:r>
      <w:r>
        <w:t xml:space="preserve">as </w:t>
      </w:r>
      <w:r w:rsidRPr="006F2045">
        <w:t>našum</w:t>
      </w:r>
      <w:r>
        <w:t>as</w:t>
      </w:r>
      <w:r w:rsidRPr="006F2045">
        <w:t xml:space="preserve"> ir valdym</w:t>
      </w:r>
      <w:r>
        <w:t>as</w:t>
      </w:r>
      <w:bookmarkEnd w:id="3"/>
      <w:r>
        <w:t xml:space="preserve">. </w:t>
      </w:r>
    </w:p>
  </w:footnote>
  <w:footnote w:id="12">
    <w:p w14:paraId="67D6073E" w14:textId="77777777" w:rsidR="006162E0" w:rsidRDefault="006162E0" w:rsidP="006162E0">
      <w:pPr>
        <w:pStyle w:val="FootnoteText"/>
      </w:pPr>
      <w:r>
        <w:rPr>
          <w:rStyle w:val="FootnoteReference"/>
        </w:rPr>
        <w:footnoteRef/>
      </w:r>
      <w:r>
        <w:t xml:space="preserve"> </w:t>
      </w:r>
      <w:proofErr w:type="spellStart"/>
      <w:r w:rsidRPr="009E1EEA">
        <w:t>Multitenant</w:t>
      </w:r>
      <w:proofErr w:type="spellEnd"/>
      <w:r w:rsidRPr="009E1EEA">
        <w:t xml:space="preserve"> </w:t>
      </w:r>
      <w:proofErr w:type="spellStart"/>
      <w:r w:rsidRPr="009E1EEA">
        <w:t>Option</w:t>
      </w:r>
      <w:proofErr w:type="spellEnd"/>
      <w:r w:rsidRPr="009E1EEA">
        <w:t xml:space="preserve"> paketas skirtas atskiram sistemų izoliavimui ir valdymui duomenų lygyje. Tai leidžia papildomai apsaugoti duomenis, atskirai valdyti ir vystyti sistemas. Taip pat, tai ženkliai sumažina incidentų skaičių sistemose ir leidžia Lietuvos piliečiams ir įstaigoms gauti patikimesnes paslaugas; </w:t>
      </w:r>
      <w:proofErr w:type="spellStart"/>
      <w:r w:rsidRPr="009E1EEA">
        <w:t>Diagnostic</w:t>
      </w:r>
      <w:proofErr w:type="spellEnd"/>
      <w:r w:rsidRPr="009E1EEA">
        <w:t xml:space="preserve"> ir </w:t>
      </w:r>
      <w:proofErr w:type="spellStart"/>
      <w:r w:rsidRPr="009E1EEA">
        <w:t>Tuning</w:t>
      </w:r>
      <w:proofErr w:type="spellEnd"/>
      <w:r w:rsidRPr="009E1EEA">
        <w:t xml:space="preserve"> licencijų rinkiniai suteikia papildomas galimybes efektyviau administruoti sistemas duomenų bazės lygyje, užkardinti problemines vietas, greitai identifikuoti duomenų srautų problemas bei leidžia efektyviai valdyti duomenų srautų sankaupas.</w:t>
      </w:r>
    </w:p>
  </w:footnote>
  <w:footnote w:id="13">
    <w:p w14:paraId="59255071" w14:textId="7031B727" w:rsidR="00943431" w:rsidRDefault="00943431" w:rsidP="001A3041">
      <w:pPr>
        <w:pStyle w:val="FootnoteText"/>
      </w:pPr>
      <w:r>
        <w:rPr>
          <w:rStyle w:val="FootnoteReference"/>
        </w:rPr>
        <w:footnoteRef/>
      </w:r>
      <w:r>
        <w:t xml:space="preserve"> </w:t>
      </w:r>
      <w:r w:rsidR="00DC298D">
        <w:t xml:space="preserve">Informacija nurodyta </w:t>
      </w:r>
      <w:r w:rsidR="00DC298D" w:rsidRPr="00DC298D">
        <w:t>Perkančiosios organizacijos viešojo pirkimo komisijos 2024 m. gruodžio 19 d. protokol</w:t>
      </w:r>
      <w:r w:rsidR="00DC298D">
        <w:t>e</w:t>
      </w:r>
      <w:r w:rsidR="00DC298D" w:rsidRPr="00DC298D">
        <w:t xml:space="preserve"> Nr. VPPR-29</w:t>
      </w:r>
      <w:r w:rsidRPr="00F0249A">
        <w:t>.</w:t>
      </w:r>
    </w:p>
  </w:footnote>
  <w:footnote w:id="14">
    <w:p w14:paraId="25EA9011" w14:textId="77777777" w:rsidR="00625B2A" w:rsidRPr="001A3041" w:rsidRDefault="00625B2A" w:rsidP="001A3041">
      <w:pPr>
        <w:pStyle w:val="FootnoteText"/>
        <w:rPr>
          <w:rFonts w:cstheme="minorHAnsi"/>
        </w:rPr>
      </w:pPr>
      <w:r w:rsidRPr="001A3041">
        <w:rPr>
          <w:rStyle w:val="FootnoteReference"/>
          <w:rFonts w:cstheme="minorHAnsi"/>
        </w:rPr>
        <w:footnoteRef/>
      </w:r>
      <w:r w:rsidRPr="001A3041">
        <w:rPr>
          <w:rFonts w:cstheme="minorHAnsi"/>
        </w:rPr>
        <w:t xml:space="preserve"> </w:t>
      </w:r>
      <w:r w:rsidRPr="001A3041">
        <w:rPr>
          <w:rFonts w:cstheme="minorHAnsi"/>
        </w:rPr>
        <w:t>ESTT 2005 m. sausio 13 d. sprendimas Komisija prieš Ispaniją, C-84/03; ESTT 2009 m. birželio 4 d. sprendimas Komisija prieš Graikiją, C-250/07;</w:t>
      </w:r>
    </w:p>
  </w:footnote>
  <w:footnote w:id="15">
    <w:p w14:paraId="32A59FD6" w14:textId="77777777" w:rsidR="00625B2A" w:rsidRPr="00FB74B2" w:rsidRDefault="00625B2A" w:rsidP="001A3041">
      <w:pPr>
        <w:pStyle w:val="FootnoteText"/>
        <w:rPr>
          <w:rFonts w:ascii="Times New Roman" w:hAnsi="Times New Roman" w:cs="Times New Roman"/>
        </w:rPr>
      </w:pPr>
      <w:r w:rsidRPr="001A3041">
        <w:rPr>
          <w:rStyle w:val="FootnoteReference"/>
          <w:rFonts w:cstheme="minorHAnsi"/>
        </w:rPr>
        <w:footnoteRef/>
      </w:r>
      <w:r w:rsidRPr="001A3041">
        <w:rPr>
          <w:rFonts w:cstheme="minorHAnsi"/>
        </w:rPr>
        <w:t xml:space="preserve"> </w:t>
      </w:r>
      <w:r w:rsidRPr="001A3041">
        <w:rPr>
          <w:rFonts w:cstheme="minorHAnsi"/>
        </w:rPr>
        <w:t>1994 m. gegužės 3 d. sprendimas byloje C-328/92, 2005 m. birželio 2 d. sprendimas byloje C-394/02.</w:t>
      </w:r>
    </w:p>
  </w:footnote>
  <w:footnote w:id="16">
    <w:p w14:paraId="38E147C6" w14:textId="081A2EFD" w:rsidR="00D01772" w:rsidRDefault="00D01772" w:rsidP="00D01772">
      <w:pPr>
        <w:pStyle w:val="FootnoteText"/>
      </w:pPr>
      <w:r>
        <w:rPr>
          <w:rStyle w:val="FootnoteReference"/>
        </w:rPr>
        <w:footnoteRef/>
      </w:r>
      <w:r>
        <w:t xml:space="preserve"> </w:t>
      </w:r>
      <w:r w:rsidR="000A66A0">
        <w:t xml:space="preserve">Perkančiosios organizacijos 2025 m. sausio 8 d. raštas Nr. </w:t>
      </w:r>
      <w:r w:rsidR="000A66A0" w:rsidRPr="000A66A0">
        <w:t>S-194(1.4E)</w:t>
      </w:r>
      <w:r w:rsidR="000A66A0">
        <w:t>.</w:t>
      </w:r>
    </w:p>
  </w:footnote>
  <w:footnote w:id="17">
    <w:p w14:paraId="358B50D8" w14:textId="77777777" w:rsidR="00D01772" w:rsidRDefault="00D01772" w:rsidP="00D01772">
      <w:pPr>
        <w:pStyle w:val="FootnoteText"/>
      </w:pPr>
      <w:r>
        <w:rPr>
          <w:rStyle w:val="FootnoteReference"/>
        </w:rPr>
        <w:footnoteRef/>
      </w:r>
      <w:r>
        <w:t xml:space="preserve"> </w:t>
      </w:r>
      <w:r>
        <w:t>CVP IS skelbta 2024 m. rugpjūčio 26 d., Nr. 735933.</w:t>
      </w:r>
    </w:p>
  </w:footnote>
  <w:footnote w:id="18">
    <w:p w14:paraId="5D7020D1" w14:textId="1BE76CCE" w:rsidR="00712955" w:rsidRDefault="00712955">
      <w:pPr>
        <w:pStyle w:val="FootnoteText"/>
      </w:pPr>
      <w:r>
        <w:rPr>
          <w:rStyle w:val="FootnoteReference"/>
        </w:rPr>
        <w:footnoteRef/>
      </w:r>
      <w:r>
        <w:t xml:space="preserve"> </w:t>
      </w:r>
      <w:r>
        <w:t xml:space="preserve">Perkančiosios organizacijos </w:t>
      </w:r>
      <w:r w:rsidRPr="00712955">
        <w:t>2025</w:t>
      </w:r>
      <w:r>
        <w:t xml:space="preserve"> m. sausio </w:t>
      </w:r>
      <w:r w:rsidRPr="00712955">
        <w:t>2</w:t>
      </w:r>
      <w:r>
        <w:t xml:space="preserve"> d. el. laiškas.</w:t>
      </w:r>
    </w:p>
  </w:footnote>
  <w:footnote w:id="19">
    <w:p w14:paraId="34A49E78" w14:textId="2D5E06D3" w:rsidR="00D476A5" w:rsidRDefault="00D476A5">
      <w:pPr>
        <w:pStyle w:val="FootnoteText"/>
      </w:pPr>
      <w:r>
        <w:rPr>
          <w:rStyle w:val="FootnoteReference"/>
        </w:rPr>
        <w:footnoteRef/>
      </w:r>
      <w:r>
        <w:t xml:space="preserve"> </w:t>
      </w:r>
      <w:proofErr w:type="spellStart"/>
      <w:r w:rsidR="00576F91">
        <w:t>Oracle</w:t>
      </w:r>
      <w:proofErr w:type="spellEnd"/>
      <w:r w:rsidR="00576F91">
        <w:t xml:space="preserve"> </w:t>
      </w:r>
      <w:r w:rsidR="00576F91" w:rsidRPr="00576F91">
        <w:t>gamintojo atstov</w:t>
      </w:r>
      <w:r w:rsidR="00576F91">
        <w:t>o</w:t>
      </w:r>
      <w:r w:rsidR="00576F91" w:rsidRPr="00576F91">
        <w:t xml:space="preserve"> – filial</w:t>
      </w:r>
      <w:r w:rsidR="00576F91">
        <w:t>o</w:t>
      </w:r>
      <w:r w:rsidR="00576F91" w:rsidRPr="00576F91">
        <w:t xml:space="preserve"> „</w:t>
      </w:r>
      <w:proofErr w:type="spellStart"/>
      <w:r w:rsidR="00576F91" w:rsidRPr="00576F91">
        <w:t>Oracle</w:t>
      </w:r>
      <w:proofErr w:type="spellEnd"/>
      <w:r w:rsidR="00576F91" w:rsidRPr="00576F91">
        <w:t xml:space="preserve"> </w:t>
      </w:r>
      <w:proofErr w:type="spellStart"/>
      <w:r w:rsidR="00576F91" w:rsidRPr="00576F91">
        <w:t>East</w:t>
      </w:r>
      <w:proofErr w:type="spellEnd"/>
      <w:r w:rsidR="00576F91" w:rsidRPr="00576F91">
        <w:t xml:space="preserve"> </w:t>
      </w:r>
      <w:proofErr w:type="spellStart"/>
      <w:r w:rsidR="00576F91" w:rsidRPr="00576F91">
        <w:t>Central</w:t>
      </w:r>
      <w:proofErr w:type="spellEnd"/>
      <w:r w:rsidR="00576F91" w:rsidRPr="00576F91">
        <w:t xml:space="preserve"> </w:t>
      </w:r>
      <w:proofErr w:type="spellStart"/>
      <w:r w:rsidR="00576F91" w:rsidRPr="00576F91">
        <w:t>Europe</w:t>
      </w:r>
      <w:proofErr w:type="spellEnd"/>
      <w:r w:rsidR="00576F91" w:rsidRPr="00576F91">
        <w:t xml:space="preserve"> </w:t>
      </w:r>
      <w:proofErr w:type="spellStart"/>
      <w:r w:rsidR="00576F91" w:rsidRPr="00576F91">
        <w:t>Limited</w:t>
      </w:r>
      <w:proofErr w:type="spellEnd"/>
      <w:r w:rsidR="00576F91" w:rsidRPr="00576F91">
        <w:t>“</w:t>
      </w:r>
      <w:r w:rsidR="00576F91">
        <w:t xml:space="preserve"> 2025 m. sausio 3 d. el. laiškas.</w:t>
      </w:r>
    </w:p>
  </w:footnote>
  <w:footnote w:id="20">
    <w:p w14:paraId="3CA9471C" w14:textId="77777777" w:rsidR="00D01772" w:rsidRDefault="00D01772" w:rsidP="00D01772">
      <w:pPr>
        <w:pStyle w:val="FootnoteText"/>
      </w:pPr>
      <w:r>
        <w:rPr>
          <w:rStyle w:val="FootnoteReference"/>
        </w:rPr>
        <w:footnoteRef/>
      </w:r>
      <w:r>
        <w:t xml:space="preserve"> </w:t>
      </w:r>
      <w:hyperlink r:id="rId1" w:history="1">
        <w:r w:rsidRPr="00AC1CB1">
          <w:rPr>
            <w:rStyle w:val="Hyperlink"/>
          </w:rPr>
          <w:t>https://partner-finder.oracle.com/catalog/?search=%5B%7B%221%22%3A%22filter-location%22%2C%222%22%3A%22%22%2C%223%22%3A%5B%22location2271%22%5D%2C%224%22%3A%22%22%7D%5D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0B191170"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4371">
      <w:rPr>
        <w:rStyle w:val="PageNumber"/>
        <w:noProof/>
      </w:rPr>
      <w:t>1</w: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CB22CC" w:rsidRDefault="004E690C">
    <w:pPr>
      <w:pStyle w:val="Header"/>
      <w:framePr w:wrap="around" w:vAnchor="text" w:hAnchor="margin" w:xAlign="center" w:y="1"/>
      <w:rPr>
        <w:rStyle w:val="PageNumber"/>
        <w:rFonts w:cstheme="minorHAnsi"/>
        <w:sz w:val="24"/>
        <w:szCs w:val="24"/>
      </w:rPr>
    </w:pPr>
    <w:r w:rsidRPr="00CB22CC">
      <w:rPr>
        <w:rStyle w:val="PageNumber"/>
        <w:rFonts w:cstheme="minorHAnsi"/>
        <w:sz w:val="24"/>
        <w:szCs w:val="24"/>
      </w:rPr>
      <w:fldChar w:fldCharType="begin"/>
    </w:r>
    <w:r w:rsidRPr="00CB22CC">
      <w:rPr>
        <w:rStyle w:val="PageNumber"/>
        <w:rFonts w:cstheme="minorHAnsi"/>
        <w:sz w:val="24"/>
        <w:szCs w:val="24"/>
      </w:rPr>
      <w:instrText xml:space="preserve">PAGE  </w:instrText>
    </w:r>
    <w:r w:rsidRPr="00CB22CC">
      <w:rPr>
        <w:rStyle w:val="PageNumber"/>
        <w:rFonts w:cstheme="minorHAnsi"/>
        <w:sz w:val="24"/>
        <w:szCs w:val="24"/>
      </w:rPr>
      <w:fldChar w:fldCharType="separate"/>
    </w:r>
    <w:r w:rsidR="000235EA" w:rsidRPr="00CB22CC">
      <w:rPr>
        <w:rStyle w:val="PageNumber"/>
        <w:rFonts w:cstheme="minorHAnsi"/>
        <w:noProof/>
        <w:sz w:val="24"/>
        <w:szCs w:val="24"/>
      </w:rPr>
      <w:t>3</w:t>
    </w:r>
    <w:r w:rsidRPr="00CB22CC">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576A93"/>
    <w:multiLevelType w:val="hybridMultilevel"/>
    <w:tmpl w:val="803AC388"/>
    <w:lvl w:ilvl="0" w:tplc="395863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5"/>
  </w:num>
  <w:num w:numId="4" w16cid:durableId="2043431657">
    <w:abstractNumId w:val="1"/>
  </w:num>
  <w:num w:numId="5" w16cid:durableId="591544951">
    <w:abstractNumId w:val="7"/>
  </w:num>
  <w:num w:numId="6" w16cid:durableId="573202467">
    <w:abstractNumId w:val="6"/>
  </w:num>
  <w:num w:numId="7" w16cid:durableId="266501952">
    <w:abstractNumId w:val="2"/>
  </w:num>
  <w:num w:numId="8" w16cid:durableId="1021128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1F3"/>
    <w:rsid w:val="0000342B"/>
    <w:rsid w:val="0000348D"/>
    <w:rsid w:val="00004DE5"/>
    <w:rsid w:val="00005C4F"/>
    <w:rsid w:val="00005E72"/>
    <w:rsid w:val="00006CF2"/>
    <w:rsid w:val="000072EE"/>
    <w:rsid w:val="0000795D"/>
    <w:rsid w:val="00007E39"/>
    <w:rsid w:val="00010124"/>
    <w:rsid w:val="000109DE"/>
    <w:rsid w:val="00010E2E"/>
    <w:rsid w:val="00011011"/>
    <w:rsid w:val="000113F6"/>
    <w:rsid w:val="000129BF"/>
    <w:rsid w:val="00012EDE"/>
    <w:rsid w:val="000141A9"/>
    <w:rsid w:val="00015417"/>
    <w:rsid w:val="0001573C"/>
    <w:rsid w:val="00015D20"/>
    <w:rsid w:val="0001675C"/>
    <w:rsid w:val="0002018B"/>
    <w:rsid w:val="000204FC"/>
    <w:rsid w:val="000224AF"/>
    <w:rsid w:val="00022F16"/>
    <w:rsid w:val="0002304F"/>
    <w:rsid w:val="000235EA"/>
    <w:rsid w:val="00023ADA"/>
    <w:rsid w:val="00023B79"/>
    <w:rsid w:val="00023BB9"/>
    <w:rsid w:val="000241BC"/>
    <w:rsid w:val="0002433E"/>
    <w:rsid w:val="000244E5"/>
    <w:rsid w:val="000247B9"/>
    <w:rsid w:val="00025577"/>
    <w:rsid w:val="00025FBD"/>
    <w:rsid w:val="00026248"/>
    <w:rsid w:val="00026E97"/>
    <w:rsid w:val="00026F0F"/>
    <w:rsid w:val="00030F1E"/>
    <w:rsid w:val="00033B13"/>
    <w:rsid w:val="00036A1A"/>
    <w:rsid w:val="00036A87"/>
    <w:rsid w:val="00036C09"/>
    <w:rsid w:val="00037E80"/>
    <w:rsid w:val="00040E4F"/>
    <w:rsid w:val="00041E40"/>
    <w:rsid w:val="000423C7"/>
    <w:rsid w:val="00042FFF"/>
    <w:rsid w:val="0004399C"/>
    <w:rsid w:val="00043D99"/>
    <w:rsid w:val="00044D40"/>
    <w:rsid w:val="00045AB1"/>
    <w:rsid w:val="00047688"/>
    <w:rsid w:val="00050065"/>
    <w:rsid w:val="000519DA"/>
    <w:rsid w:val="000535D1"/>
    <w:rsid w:val="00053836"/>
    <w:rsid w:val="00053BB6"/>
    <w:rsid w:val="000540DB"/>
    <w:rsid w:val="000555F7"/>
    <w:rsid w:val="00055C14"/>
    <w:rsid w:val="00056B58"/>
    <w:rsid w:val="00057F5A"/>
    <w:rsid w:val="00060915"/>
    <w:rsid w:val="00060ECA"/>
    <w:rsid w:val="000614D6"/>
    <w:rsid w:val="0006381F"/>
    <w:rsid w:val="00066074"/>
    <w:rsid w:val="00066E27"/>
    <w:rsid w:val="00067F01"/>
    <w:rsid w:val="000712A5"/>
    <w:rsid w:val="00071B47"/>
    <w:rsid w:val="00072112"/>
    <w:rsid w:val="00072683"/>
    <w:rsid w:val="00072C95"/>
    <w:rsid w:val="000731E0"/>
    <w:rsid w:val="0007575E"/>
    <w:rsid w:val="00083632"/>
    <w:rsid w:val="00084917"/>
    <w:rsid w:val="0008541A"/>
    <w:rsid w:val="00085D30"/>
    <w:rsid w:val="000873CF"/>
    <w:rsid w:val="0009012B"/>
    <w:rsid w:val="00090D3D"/>
    <w:rsid w:val="0009117C"/>
    <w:rsid w:val="000938B5"/>
    <w:rsid w:val="00093C35"/>
    <w:rsid w:val="000940AC"/>
    <w:rsid w:val="00095753"/>
    <w:rsid w:val="00096793"/>
    <w:rsid w:val="0009692C"/>
    <w:rsid w:val="000A01B4"/>
    <w:rsid w:val="000A03D1"/>
    <w:rsid w:val="000A049A"/>
    <w:rsid w:val="000A0B6C"/>
    <w:rsid w:val="000A1623"/>
    <w:rsid w:val="000A24C1"/>
    <w:rsid w:val="000A314F"/>
    <w:rsid w:val="000A3C1A"/>
    <w:rsid w:val="000A47EE"/>
    <w:rsid w:val="000A501F"/>
    <w:rsid w:val="000A5A91"/>
    <w:rsid w:val="000A66A0"/>
    <w:rsid w:val="000A6791"/>
    <w:rsid w:val="000A6FBE"/>
    <w:rsid w:val="000A70F4"/>
    <w:rsid w:val="000A741B"/>
    <w:rsid w:val="000B0B19"/>
    <w:rsid w:val="000B1E62"/>
    <w:rsid w:val="000B22CD"/>
    <w:rsid w:val="000B2435"/>
    <w:rsid w:val="000B289D"/>
    <w:rsid w:val="000B28CE"/>
    <w:rsid w:val="000B39C8"/>
    <w:rsid w:val="000B3BA7"/>
    <w:rsid w:val="000B5BD5"/>
    <w:rsid w:val="000B5E93"/>
    <w:rsid w:val="000B6101"/>
    <w:rsid w:val="000B648D"/>
    <w:rsid w:val="000C2E04"/>
    <w:rsid w:val="000C3BC1"/>
    <w:rsid w:val="000C4049"/>
    <w:rsid w:val="000C404A"/>
    <w:rsid w:val="000C41F9"/>
    <w:rsid w:val="000C6533"/>
    <w:rsid w:val="000D11EE"/>
    <w:rsid w:val="000D146C"/>
    <w:rsid w:val="000D1AC1"/>
    <w:rsid w:val="000D2367"/>
    <w:rsid w:val="000D2640"/>
    <w:rsid w:val="000D2904"/>
    <w:rsid w:val="000D2AA9"/>
    <w:rsid w:val="000D2B9E"/>
    <w:rsid w:val="000D2D59"/>
    <w:rsid w:val="000D3CA5"/>
    <w:rsid w:val="000D4C21"/>
    <w:rsid w:val="000D5124"/>
    <w:rsid w:val="000D57AF"/>
    <w:rsid w:val="000D7557"/>
    <w:rsid w:val="000D7AB7"/>
    <w:rsid w:val="000D7C12"/>
    <w:rsid w:val="000D7C24"/>
    <w:rsid w:val="000D7EA9"/>
    <w:rsid w:val="000E0C5D"/>
    <w:rsid w:val="000E34D0"/>
    <w:rsid w:val="000E365F"/>
    <w:rsid w:val="000E3921"/>
    <w:rsid w:val="000E4C54"/>
    <w:rsid w:val="000E5ADB"/>
    <w:rsid w:val="000E698A"/>
    <w:rsid w:val="000E7248"/>
    <w:rsid w:val="000F1660"/>
    <w:rsid w:val="000F52E1"/>
    <w:rsid w:val="000F5988"/>
    <w:rsid w:val="000F5D98"/>
    <w:rsid w:val="000F7E90"/>
    <w:rsid w:val="001004B3"/>
    <w:rsid w:val="00100B19"/>
    <w:rsid w:val="001010EB"/>
    <w:rsid w:val="001014E7"/>
    <w:rsid w:val="00101D97"/>
    <w:rsid w:val="0010262F"/>
    <w:rsid w:val="00104829"/>
    <w:rsid w:val="00104B76"/>
    <w:rsid w:val="00104E6F"/>
    <w:rsid w:val="00104EC9"/>
    <w:rsid w:val="001051F6"/>
    <w:rsid w:val="00105D98"/>
    <w:rsid w:val="0010614B"/>
    <w:rsid w:val="00110AD9"/>
    <w:rsid w:val="00111D08"/>
    <w:rsid w:val="0011205C"/>
    <w:rsid w:val="00113011"/>
    <w:rsid w:val="0011458F"/>
    <w:rsid w:val="00117157"/>
    <w:rsid w:val="00117543"/>
    <w:rsid w:val="001217B9"/>
    <w:rsid w:val="00122DB8"/>
    <w:rsid w:val="00123775"/>
    <w:rsid w:val="00123A5A"/>
    <w:rsid w:val="00123C80"/>
    <w:rsid w:val="00123E40"/>
    <w:rsid w:val="00124447"/>
    <w:rsid w:val="001245B1"/>
    <w:rsid w:val="0012489C"/>
    <w:rsid w:val="00126411"/>
    <w:rsid w:val="00132D74"/>
    <w:rsid w:val="00132D9E"/>
    <w:rsid w:val="00133264"/>
    <w:rsid w:val="00133611"/>
    <w:rsid w:val="001365FD"/>
    <w:rsid w:val="001367B4"/>
    <w:rsid w:val="00140540"/>
    <w:rsid w:val="001406A0"/>
    <w:rsid w:val="00140713"/>
    <w:rsid w:val="0014080D"/>
    <w:rsid w:val="001408C9"/>
    <w:rsid w:val="00141016"/>
    <w:rsid w:val="00142577"/>
    <w:rsid w:val="00143452"/>
    <w:rsid w:val="00143D28"/>
    <w:rsid w:val="001454C1"/>
    <w:rsid w:val="001457D9"/>
    <w:rsid w:val="0014658E"/>
    <w:rsid w:val="001501DA"/>
    <w:rsid w:val="00150F16"/>
    <w:rsid w:val="00152D8F"/>
    <w:rsid w:val="00153FA1"/>
    <w:rsid w:val="0015482B"/>
    <w:rsid w:val="00154836"/>
    <w:rsid w:val="00155260"/>
    <w:rsid w:val="001565DD"/>
    <w:rsid w:val="001566C9"/>
    <w:rsid w:val="00156829"/>
    <w:rsid w:val="00156EF5"/>
    <w:rsid w:val="0015790B"/>
    <w:rsid w:val="00157D15"/>
    <w:rsid w:val="001621B6"/>
    <w:rsid w:val="00162D9B"/>
    <w:rsid w:val="00163C19"/>
    <w:rsid w:val="00164CC1"/>
    <w:rsid w:val="00164EAF"/>
    <w:rsid w:val="001655E4"/>
    <w:rsid w:val="00167F2B"/>
    <w:rsid w:val="0017110B"/>
    <w:rsid w:val="00172313"/>
    <w:rsid w:val="001753FB"/>
    <w:rsid w:val="00177057"/>
    <w:rsid w:val="0018108B"/>
    <w:rsid w:val="00181D86"/>
    <w:rsid w:val="00185E32"/>
    <w:rsid w:val="00190120"/>
    <w:rsid w:val="00190339"/>
    <w:rsid w:val="0019062E"/>
    <w:rsid w:val="00192521"/>
    <w:rsid w:val="00193996"/>
    <w:rsid w:val="00193A1A"/>
    <w:rsid w:val="00193A9A"/>
    <w:rsid w:val="00193B8F"/>
    <w:rsid w:val="0019422A"/>
    <w:rsid w:val="0019464E"/>
    <w:rsid w:val="001956C8"/>
    <w:rsid w:val="001960EB"/>
    <w:rsid w:val="001961BC"/>
    <w:rsid w:val="00196361"/>
    <w:rsid w:val="00196C1F"/>
    <w:rsid w:val="001A11C3"/>
    <w:rsid w:val="001A1BC6"/>
    <w:rsid w:val="001A3041"/>
    <w:rsid w:val="001A3043"/>
    <w:rsid w:val="001A366D"/>
    <w:rsid w:val="001A677D"/>
    <w:rsid w:val="001A6E7F"/>
    <w:rsid w:val="001A7031"/>
    <w:rsid w:val="001B0561"/>
    <w:rsid w:val="001B4411"/>
    <w:rsid w:val="001B4683"/>
    <w:rsid w:val="001B4AE3"/>
    <w:rsid w:val="001B4F24"/>
    <w:rsid w:val="001C0205"/>
    <w:rsid w:val="001C05E3"/>
    <w:rsid w:val="001C0AC8"/>
    <w:rsid w:val="001C1347"/>
    <w:rsid w:val="001C14C2"/>
    <w:rsid w:val="001C1C9B"/>
    <w:rsid w:val="001C6C41"/>
    <w:rsid w:val="001C6FCB"/>
    <w:rsid w:val="001D07A9"/>
    <w:rsid w:val="001D33E6"/>
    <w:rsid w:val="001D492E"/>
    <w:rsid w:val="001D5A70"/>
    <w:rsid w:val="001D7AD1"/>
    <w:rsid w:val="001E00E3"/>
    <w:rsid w:val="001E0B6A"/>
    <w:rsid w:val="001E1591"/>
    <w:rsid w:val="001E2BC2"/>
    <w:rsid w:val="001E2C8D"/>
    <w:rsid w:val="001E4065"/>
    <w:rsid w:val="001E4338"/>
    <w:rsid w:val="001E45F0"/>
    <w:rsid w:val="001E4EB8"/>
    <w:rsid w:val="001E539D"/>
    <w:rsid w:val="001E5675"/>
    <w:rsid w:val="001E57C0"/>
    <w:rsid w:val="001E63A6"/>
    <w:rsid w:val="001E7688"/>
    <w:rsid w:val="001E7D80"/>
    <w:rsid w:val="001F0976"/>
    <w:rsid w:val="001F109B"/>
    <w:rsid w:val="001F386E"/>
    <w:rsid w:val="001F3CAE"/>
    <w:rsid w:val="001F452C"/>
    <w:rsid w:val="001F4FA0"/>
    <w:rsid w:val="001F5A73"/>
    <w:rsid w:val="001F5CFF"/>
    <w:rsid w:val="001F66AF"/>
    <w:rsid w:val="00200CEE"/>
    <w:rsid w:val="00200DFF"/>
    <w:rsid w:val="00201DCA"/>
    <w:rsid w:val="00203A9D"/>
    <w:rsid w:val="00204218"/>
    <w:rsid w:val="00204E84"/>
    <w:rsid w:val="002065C5"/>
    <w:rsid w:val="002075F6"/>
    <w:rsid w:val="00207899"/>
    <w:rsid w:val="00207D5C"/>
    <w:rsid w:val="00210218"/>
    <w:rsid w:val="002113E9"/>
    <w:rsid w:val="002118A2"/>
    <w:rsid w:val="00211C71"/>
    <w:rsid w:val="0021233D"/>
    <w:rsid w:val="002125E1"/>
    <w:rsid w:val="002129C8"/>
    <w:rsid w:val="00212EFA"/>
    <w:rsid w:val="00214A0C"/>
    <w:rsid w:val="0021583E"/>
    <w:rsid w:val="00215E7C"/>
    <w:rsid w:val="002209F3"/>
    <w:rsid w:val="0022153E"/>
    <w:rsid w:val="00223995"/>
    <w:rsid w:val="0022451D"/>
    <w:rsid w:val="00226078"/>
    <w:rsid w:val="00226D28"/>
    <w:rsid w:val="00226F06"/>
    <w:rsid w:val="00227411"/>
    <w:rsid w:val="00227733"/>
    <w:rsid w:val="0022792D"/>
    <w:rsid w:val="00230233"/>
    <w:rsid w:val="00232100"/>
    <w:rsid w:val="002322FC"/>
    <w:rsid w:val="002363A8"/>
    <w:rsid w:val="00236B7C"/>
    <w:rsid w:val="00236EC6"/>
    <w:rsid w:val="00237351"/>
    <w:rsid w:val="00237BD2"/>
    <w:rsid w:val="002403CA"/>
    <w:rsid w:val="00240B7A"/>
    <w:rsid w:val="002411AC"/>
    <w:rsid w:val="002412C2"/>
    <w:rsid w:val="002418CF"/>
    <w:rsid w:val="00241A75"/>
    <w:rsid w:val="00241D09"/>
    <w:rsid w:val="00244008"/>
    <w:rsid w:val="00245E57"/>
    <w:rsid w:val="002465BE"/>
    <w:rsid w:val="00246A92"/>
    <w:rsid w:val="00246BA0"/>
    <w:rsid w:val="00247A77"/>
    <w:rsid w:val="00247E8B"/>
    <w:rsid w:val="00250EEC"/>
    <w:rsid w:val="00252063"/>
    <w:rsid w:val="00252239"/>
    <w:rsid w:val="002525D1"/>
    <w:rsid w:val="00252887"/>
    <w:rsid w:val="00253288"/>
    <w:rsid w:val="00253440"/>
    <w:rsid w:val="00253618"/>
    <w:rsid w:val="00253992"/>
    <w:rsid w:val="00253EB5"/>
    <w:rsid w:val="00254B07"/>
    <w:rsid w:val="00254CB0"/>
    <w:rsid w:val="002551BF"/>
    <w:rsid w:val="00255661"/>
    <w:rsid w:val="0025586C"/>
    <w:rsid w:val="002566CB"/>
    <w:rsid w:val="00261477"/>
    <w:rsid w:val="00263E4F"/>
    <w:rsid w:val="002659AF"/>
    <w:rsid w:val="00267112"/>
    <w:rsid w:val="00267761"/>
    <w:rsid w:val="00267DBF"/>
    <w:rsid w:val="002708C4"/>
    <w:rsid w:val="002711C3"/>
    <w:rsid w:val="00272923"/>
    <w:rsid w:val="00272A8F"/>
    <w:rsid w:val="00272B44"/>
    <w:rsid w:val="00273BD5"/>
    <w:rsid w:val="0027553E"/>
    <w:rsid w:val="00277259"/>
    <w:rsid w:val="00277723"/>
    <w:rsid w:val="0027788A"/>
    <w:rsid w:val="00280F90"/>
    <w:rsid w:val="002811F9"/>
    <w:rsid w:val="00281405"/>
    <w:rsid w:val="0028155A"/>
    <w:rsid w:val="00283B3E"/>
    <w:rsid w:val="00285673"/>
    <w:rsid w:val="00286805"/>
    <w:rsid w:val="002875D1"/>
    <w:rsid w:val="00287668"/>
    <w:rsid w:val="00287E75"/>
    <w:rsid w:val="0029132D"/>
    <w:rsid w:val="0029170F"/>
    <w:rsid w:val="00291EED"/>
    <w:rsid w:val="00292F29"/>
    <w:rsid w:val="00295532"/>
    <w:rsid w:val="00295C49"/>
    <w:rsid w:val="00296520"/>
    <w:rsid w:val="00296BFA"/>
    <w:rsid w:val="00296F2F"/>
    <w:rsid w:val="002A026C"/>
    <w:rsid w:val="002A027C"/>
    <w:rsid w:val="002A1D24"/>
    <w:rsid w:val="002A2448"/>
    <w:rsid w:val="002A2A0A"/>
    <w:rsid w:val="002A33E0"/>
    <w:rsid w:val="002A3684"/>
    <w:rsid w:val="002A44A9"/>
    <w:rsid w:val="002A4E02"/>
    <w:rsid w:val="002A53C7"/>
    <w:rsid w:val="002A6EBA"/>
    <w:rsid w:val="002B0710"/>
    <w:rsid w:val="002B131D"/>
    <w:rsid w:val="002B245A"/>
    <w:rsid w:val="002B2799"/>
    <w:rsid w:val="002B2804"/>
    <w:rsid w:val="002B32D7"/>
    <w:rsid w:val="002B3383"/>
    <w:rsid w:val="002B4823"/>
    <w:rsid w:val="002B49DD"/>
    <w:rsid w:val="002B7EA1"/>
    <w:rsid w:val="002C00F2"/>
    <w:rsid w:val="002C100C"/>
    <w:rsid w:val="002C2948"/>
    <w:rsid w:val="002C2DA3"/>
    <w:rsid w:val="002C399D"/>
    <w:rsid w:val="002C5B57"/>
    <w:rsid w:val="002C6314"/>
    <w:rsid w:val="002C635C"/>
    <w:rsid w:val="002C6A78"/>
    <w:rsid w:val="002C6EEB"/>
    <w:rsid w:val="002D079F"/>
    <w:rsid w:val="002D20EA"/>
    <w:rsid w:val="002D34A5"/>
    <w:rsid w:val="002D4CD4"/>
    <w:rsid w:val="002D5443"/>
    <w:rsid w:val="002D58F0"/>
    <w:rsid w:val="002D5A76"/>
    <w:rsid w:val="002D5D4E"/>
    <w:rsid w:val="002D5F3D"/>
    <w:rsid w:val="002D6CFA"/>
    <w:rsid w:val="002E0309"/>
    <w:rsid w:val="002E057E"/>
    <w:rsid w:val="002E0815"/>
    <w:rsid w:val="002E0B4F"/>
    <w:rsid w:val="002E0DCA"/>
    <w:rsid w:val="002E107F"/>
    <w:rsid w:val="002E1826"/>
    <w:rsid w:val="002E1B27"/>
    <w:rsid w:val="002E1D39"/>
    <w:rsid w:val="002E3895"/>
    <w:rsid w:val="002E44D7"/>
    <w:rsid w:val="002E5B40"/>
    <w:rsid w:val="002F0705"/>
    <w:rsid w:val="002F32B1"/>
    <w:rsid w:val="002F55D3"/>
    <w:rsid w:val="002F64A4"/>
    <w:rsid w:val="002F68AF"/>
    <w:rsid w:val="002F7767"/>
    <w:rsid w:val="00300469"/>
    <w:rsid w:val="003010D1"/>
    <w:rsid w:val="0030288B"/>
    <w:rsid w:val="00303598"/>
    <w:rsid w:val="00304BC9"/>
    <w:rsid w:val="00304EB0"/>
    <w:rsid w:val="00305E5E"/>
    <w:rsid w:val="003121BA"/>
    <w:rsid w:val="00312215"/>
    <w:rsid w:val="0031378D"/>
    <w:rsid w:val="00314C4E"/>
    <w:rsid w:val="00316905"/>
    <w:rsid w:val="00316A8D"/>
    <w:rsid w:val="0031735F"/>
    <w:rsid w:val="003173F3"/>
    <w:rsid w:val="00320DF4"/>
    <w:rsid w:val="00321CC2"/>
    <w:rsid w:val="00322365"/>
    <w:rsid w:val="00322B33"/>
    <w:rsid w:val="0032302D"/>
    <w:rsid w:val="00323FC8"/>
    <w:rsid w:val="00326D5F"/>
    <w:rsid w:val="00326D65"/>
    <w:rsid w:val="00330856"/>
    <w:rsid w:val="0033150C"/>
    <w:rsid w:val="00332047"/>
    <w:rsid w:val="00332677"/>
    <w:rsid w:val="003335A0"/>
    <w:rsid w:val="003335D8"/>
    <w:rsid w:val="003338B4"/>
    <w:rsid w:val="00333B91"/>
    <w:rsid w:val="003344AA"/>
    <w:rsid w:val="00335179"/>
    <w:rsid w:val="00335678"/>
    <w:rsid w:val="003361C8"/>
    <w:rsid w:val="00336EDA"/>
    <w:rsid w:val="003374F4"/>
    <w:rsid w:val="00337FC7"/>
    <w:rsid w:val="00340684"/>
    <w:rsid w:val="0034229D"/>
    <w:rsid w:val="00343D6A"/>
    <w:rsid w:val="00345552"/>
    <w:rsid w:val="00345AC9"/>
    <w:rsid w:val="00345FA2"/>
    <w:rsid w:val="00347EEF"/>
    <w:rsid w:val="00350E65"/>
    <w:rsid w:val="003520FE"/>
    <w:rsid w:val="00352178"/>
    <w:rsid w:val="00352461"/>
    <w:rsid w:val="00352589"/>
    <w:rsid w:val="003534EE"/>
    <w:rsid w:val="00354D9F"/>
    <w:rsid w:val="00355CFB"/>
    <w:rsid w:val="003621CB"/>
    <w:rsid w:val="003630FF"/>
    <w:rsid w:val="00363453"/>
    <w:rsid w:val="0036382B"/>
    <w:rsid w:val="003652AD"/>
    <w:rsid w:val="0036541E"/>
    <w:rsid w:val="00366E5C"/>
    <w:rsid w:val="003676A7"/>
    <w:rsid w:val="003716B1"/>
    <w:rsid w:val="00373174"/>
    <w:rsid w:val="0037339C"/>
    <w:rsid w:val="003736F9"/>
    <w:rsid w:val="0037486D"/>
    <w:rsid w:val="00374DFB"/>
    <w:rsid w:val="00374EE9"/>
    <w:rsid w:val="00375872"/>
    <w:rsid w:val="003759B3"/>
    <w:rsid w:val="0037679C"/>
    <w:rsid w:val="00377040"/>
    <w:rsid w:val="003772EF"/>
    <w:rsid w:val="00377A7F"/>
    <w:rsid w:val="00380BA0"/>
    <w:rsid w:val="00381974"/>
    <w:rsid w:val="003824C1"/>
    <w:rsid w:val="0038308B"/>
    <w:rsid w:val="003835B6"/>
    <w:rsid w:val="0038376D"/>
    <w:rsid w:val="00383D34"/>
    <w:rsid w:val="0038591F"/>
    <w:rsid w:val="00385E43"/>
    <w:rsid w:val="003861FE"/>
    <w:rsid w:val="00387E23"/>
    <w:rsid w:val="00392098"/>
    <w:rsid w:val="003922C8"/>
    <w:rsid w:val="00393212"/>
    <w:rsid w:val="00393D08"/>
    <w:rsid w:val="00394024"/>
    <w:rsid w:val="00394901"/>
    <w:rsid w:val="00394DB4"/>
    <w:rsid w:val="0039532A"/>
    <w:rsid w:val="00396575"/>
    <w:rsid w:val="00396585"/>
    <w:rsid w:val="00396DD1"/>
    <w:rsid w:val="00397F4F"/>
    <w:rsid w:val="003A153F"/>
    <w:rsid w:val="003A27EA"/>
    <w:rsid w:val="003A2FFE"/>
    <w:rsid w:val="003A3B74"/>
    <w:rsid w:val="003A590A"/>
    <w:rsid w:val="003A64DD"/>
    <w:rsid w:val="003B0198"/>
    <w:rsid w:val="003B1229"/>
    <w:rsid w:val="003B1B76"/>
    <w:rsid w:val="003B1D81"/>
    <w:rsid w:val="003B3D48"/>
    <w:rsid w:val="003B56D0"/>
    <w:rsid w:val="003B5C34"/>
    <w:rsid w:val="003B69FB"/>
    <w:rsid w:val="003C0F6F"/>
    <w:rsid w:val="003C1225"/>
    <w:rsid w:val="003C171B"/>
    <w:rsid w:val="003C45C6"/>
    <w:rsid w:val="003C68F0"/>
    <w:rsid w:val="003D0152"/>
    <w:rsid w:val="003D02C3"/>
    <w:rsid w:val="003D1A8A"/>
    <w:rsid w:val="003D1D08"/>
    <w:rsid w:val="003D21BB"/>
    <w:rsid w:val="003D2324"/>
    <w:rsid w:val="003D2885"/>
    <w:rsid w:val="003D389D"/>
    <w:rsid w:val="003D3F6E"/>
    <w:rsid w:val="003D423B"/>
    <w:rsid w:val="003D47E4"/>
    <w:rsid w:val="003D7A13"/>
    <w:rsid w:val="003D7F66"/>
    <w:rsid w:val="003E07B9"/>
    <w:rsid w:val="003E0E35"/>
    <w:rsid w:val="003E2929"/>
    <w:rsid w:val="003E2EC6"/>
    <w:rsid w:val="003E3EDC"/>
    <w:rsid w:val="003E3F96"/>
    <w:rsid w:val="003E4067"/>
    <w:rsid w:val="003E4388"/>
    <w:rsid w:val="003E4EA9"/>
    <w:rsid w:val="003E573D"/>
    <w:rsid w:val="003E5D75"/>
    <w:rsid w:val="003E5E92"/>
    <w:rsid w:val="003F0CDD"/>
    <w:rsid w:val="003F1B8F"/>
    <w:rsid w:val="003F2456"/>
    <w:rsid w:val="003F29EC"/>
    <w:rsid w:val="003F30BE"/>
    <w:rsid w:val="003F3DC7"/>
    <w:rsid w:val="003F79DD"/>
    <w:rsid w:val="0040099B"/>
    <w:rsid w:val="004020D1"/>
    <w:rsid w:val="0040235E"/>
    <w:rsid w:val="00402ADC"/>
    <w:rsid w:val="00402D81"/>
    <w:rsid w:val="00402F72"/>
    <w:rsid w:val="004045AD"/>
    <w:rsid w:val="00406473"/>
    <w:rsid w:val="00406E07"/>
    <w:rsid w:val="004100BA"/>
    <w:rsid w:val="0041085F"/>
    <w:rsid w:val="0041101D"/>
    <w:rsid w:val="004111FF"/>
    <w:rsid w:val="00411B0B"/>
    <w:rsid w:val="0041275C"/>
    <w:rsid w:val="004152C3"/>
    <w:rsid w:val="00415B1E"/>
    <w:rsid w:val="00415CE6"/>
    <w:rsid w:val="004165C5"/>
    <w:rsid w:val="00416E45"/>
    <w:rsid w:val="00417A0D"/>
    <w:rsid w:val="0042068A"/>
    <w:rsid w:val="00421460"/>
    <w:rsid w:val="00421488"/>
    <w:rsid w:val="004218A0"/>
    <w:rsid w:val="00421EC4"/>
    <w:rsid w:val="00422D11"/>
    <w:rsid w:val="00423638"/>
    <w:rsid w:val="00424FCA"/>
    <w:rsid w:val="00425C3A"/>
    <w:rsid w:val="00425E7C"/>
    <w:rsid w:val="004265A1"/>
    <w:rsid w:val="00426BB1"/>
    <w:rsid w:val="00427A1B"/>
    <w:rsid w:val="00431D42"/>
    <w:rsid w:val="0043239D"/>
    <w:rsid w:val="004324C7"/>
    <w:rsid w:val="00432A0D"/>
    <w:rsid w:val="00432A7D"/>
    <w:rsid w:val="00434453"/>
    <w:rsid w:val="004348DE"/>
    <w:rsid w:val="00434927"/>
    <w:rsid w:val="00435246"/>
    <w:rsid w:val="00436EA4"/>
    <w:rsid w:val="0044025A"/>
    <w:rsid w:val="00440E8B"/>
    <w:rsid w:val="00442679"/>
    <w:rsid w:val="004435C9"/>
    <w:rsid w:val="004436E3"/>
    <w:rsid w:val="004446F0"/>
    <w:rsid w:val="00445B71"/>
    <w:rsid w:val="004473AA"/>
    <w:rsid w:val="00447D4A"/>
    <w:rsid w:val="004502D8"/>
    <w:rsid w:val="00450B4F"/>
    <w:rsid w:val="0045129B"/>
    <w:rsid w:val="00451331"/>
    <w:rsid w:val="00453F07"/>
    <w:rsid w:val="00454143"/>
    <w:rsid w:val="0045530C"/>
    <w:rsid w:val="00456B28"/>
    <w:rsid w:val="0045729C"/>
    <w:rsid w:val="004603E5"/>
    <w:rsid w:val="00460EC5"/>
    <w:rsid w:val="0046166D"/>
    <w:rsid w:val="00461A54"/>
    <w:rsid w:val="00462786"/>
    <w:rsid w:val="00463AD3"/>
    <w:rsid w:val="0046499D"/>
    <w:rsid w:val="00464BF4"/>
    <w:rsid w:val="00465870"/>
    <w:rsid w:val="004679E6"/>
    <w:rsid w:val="00467C8B"/>
    <w:rsid w:val="00467F72"/>
    <w:rsid w:val="0047021F"/>
    <w:rsid w:val="004707A8"/>
    <w:rsid w:val="0047423F"/>
    <w:rsid w:val="00475494"/>
    <w:rsid w:val="00475C4A"/>
    <w:rsid w:val="00476343"/>
    <w:rsid w:val="004801EA"/>
    <w:rsid w:val="004801F8"/>
    <w:rsid w:val="0048076F"/>
    <w:rsid w:val="00480B3F"/>
    <w:rsid w:val="00481F49"/>
    <w:rsid w:val="0048211C"/>
    <w:rsid w:val="00483A62"/>
    <w:rsid w:val="00484049"/>
    <w:rsid w:val="004860EC"/>
    <w:rsid w:val="00486EF4"/>
    <w:rsid w:val="00490BC0"/>
    <w:rsid w:val="0049457A"/>
    <w:rsid w:val="00494935"/>
    <w:rsid w:val="00495DD0"/>
    <w:rsid w:val="00496492"/>
    <w:rsid w:val="00496B1C"/>
    <w:rsid w:val="004A1C8A"/>
    <w:rsid w:val="004A1D69"/>
    <w:rsid w:val="004A239E"/>
    <w:rsid w:val="004A3829"/>
    <w:rsid w:val="004A38E3"/>
    <w:rsid w:val="004A394F"/>
    <w:rsid w:val="004A4639"/>
    <w:rsid w:val="004A4DE0"/>
    <w:rsid w:val="004A5785"/>
    <w:rsid w:val="004A58A1"/>
    <w:rsid w:val="004A63C6"/>
    <w:rsid w:val="004A7607"/>
    <w:rsid w:val="004B179C"/>
    <w:rsid w:val="004B24A7"/>
    <w:rsid w:val="004B2C65"/>
    <w:rsid w:val="004B7EDA"/>
    <w:rsid w:val="004C084B"/>
    <w:rsid w:val="004C0972"/>
    <w:rsid w:val="004C131E"/>
    <w:rsid w:val="004C218F"/>
    <w:rsid w:val="004C2923"/>
    <w:rsid w:val="004C3B53"/>
    <w:rsid w:val="004C48F3"/>
    <w:rsid w:val="004C5789"/>
    <w:rsid w:val="004C7BCF"/>
    <w:rsid w:val="004C7C8B"/>
    <w:rsid w:val="004D00AD"/>
    <w:rsid w:val="004D0118"/>
    <w:rsid w:val="004D03E8"/>
    <w:rsid w:val="004D3BF4"/>
    <w:rsid w:val="004D439C"/>
    <w:rsid w:val="004D4D45"/>
    <w:rsid w:val="004D4DD6"/>
    <w:rsid w:val="004D4E4B"/>
    <w:rsid w:val="004D4F26"/>
    <w:rsid w:val="004D5446"/>
    <w:rsid w:val="004D5BD6"/>
    <w:rsid w:val="004D676E"/>
    <w:rsid w:val="004D7134"/>
    <w:rsid w:val="004D7674"/>
    <w:rsid w:val="004E0D59"/>
    <w:rsid w:val="004E0DFB"/>
    <w:rsid w:val="004E10D6"/>
    <w:rsid w:val="004E11A2"/>
    <w:rsid w:val="004E1DB1"/>
    <w:rsid w:val="004E402B"/>
    <w:rsid w:val="004E62C2"/>
    <w:rsid w:val="004E690C"/>
    <w:rsid w:val="004E706F"/>
    <w:rsid w:val="004E7D3A"/>
    <w:rsid w:val="004F04B4"/>
    <w:rsid w:val="004F1929"/>
    <w:rsid w:val="004F1949"/>
    <w:rsid w:val="004F1C96"/>
    <w:rsid w:val="004F42F1"/>
    <w:rsid w:val="004F7137"/>
    <w:rsid w:val="004F7328"/>
    <w:rsid w:val="004F737E"/>
    <w:rsid w:val="00500469"/>
    <w:rsid w:val="00502030"/>
    <w:rsid w:val="0050297B"/>
    <w:rsid w:val="00503E12"/>
    <w:rsid w:val="00505313"/>
    <w:rsid w:val="005112F1"/>
    <w:rsid w:val="00511880"/>
    <w:rsid w:val="00512E1D"/>
    <w:rsid w:val="00513668"/>
    <w:rsid w:val="00514029"/>
    <w:rsid w:val="00515E74"/>
    <w:rsid w:val="00516AF2"/>
    <w:rsid w:val="00517032"/>
    <w:rsid w:val="00517385"/>
    <w:rsid w:val="00517681"/>
    <w:rsid w:val="00520A69"/>
    <w:rsid w:val="00527B2C"/>
    <w:rsid w:val="00530D29"/>
    <w:rsid w:val="005334F7"/>
    <w:rsid w:val="00533A35"/>
    <w:rsid w:val="00533D8D"/>
    <w:rsid w:val="00533EF3"/>
    <w:rsid w:val="00534D0C"/>
    <w:rsid w:val="00535BFE"/>
    <w:rsid w:val="0053773D"/>
    <w:rsid w:val="00537A74"/>
    <w:rsid w:val="005416C6"/>
    <w:rsid w:val="00541F84"/>
    <w:rsid w:val="00542C4F"/>
    <w:rsid w:val="00545242"/>
    <w:rsid w:val="005453D3"/>
    <w:rsid w:val="005459EF"/>
    <w:rsid w:val="00551275"/>
    <w:rsid w:val="00551DBC"/>
    <w:rsid w:val="00552412"/>
    <w:rsid w:val="0055299A"/>
    <w:rsid w:val="00555505"/>
    <w:rsid w:val="00556D42"/>
    <w:rsid w:val="0056156A"/>
    <w:rsid w:val="00561BA0"/>
    <w:rsid w:val="00561F93"/>
    <w:rsid w:val="005624BA"/>
    <w:rsid w:val="005629F3"/>
    <w:rsid w:val="00562D2B"/>
    <w:rsid w:val="005632E8"/>
    <w:rsid w:val="005639CD"/>
    <w:rsid w:val="00563D9A"/>
    <w:rsid w:val="005659A8"/>
    <w:rsid w:val="00565E2A"/>
    <w:rsid w:val="005663C7"/>
    <w:rsid w:val="00566911"/>
    <w:rsid w:val="00566B2C"/>
    <w:rsid w:val="00567C0E"/>
    <w:rsid w:val="005703E6"/>
    <w:rsid w:val="0057097E"/>
    <w:rsid w:val="00570ABA"/>
    <w:rsid w:val="00571BD2"/>
    <w:rsid w:val="0057309B"/>
    <w:rsid w:val="00573655"/>
    <w:rsid w:val="00573731"/>
    <w:rsid w:val="00573C82"/>
    <w:rsid w:val="005747D3"/>
    <w:rsid w:val="0057497D"/>
    <w:rsid w:val="00576F91"/>
    <w:rsid w:val="005770E7"/>
    <w:rsid w:val="00577162"/>
    <w:rsid w:val="00577F41"/>
    <w:rsid w:val="00580CDD"/>
    <w:rsid w:val="00581FEA"/>
    <w:rsid w:val="0058334F"/>
    <w:rsid w:val="0058464A"/>
    <w:rsid w:val="005848F7"/>
    <w:rsid w:val="0058749C"/>
    <w:rsid w:val="00587BBC"/>
    <w:rsid w:val="00587D30"/>
    <w:rsid w:val="0059000C"/>
    <w:rsid w:val="0059051A"/>
    <w:rsid w:val="0059085D"/>
    <w:rsid w:val="00591686"/>
    <w:rsid w:val="005933C2"/>
    <w:rsid w:val="0059356D"/>
    <w:rsid w:val="005946B7"/>
    <w:rsid w:val="00594B5E"/>
    <w:rsid w:val="0059602A"/>
    <w:rsid w:val="005962A0"/>
    <w:rsid w:val="00596646"/>
    <w:rsid w:val="005A10FE"/>
    <w:rsid w:val="005A1769"/>
    <w:rsid w:val="005A1DEE"/>
    <w:rsid w:val="005A320E"/>
    <w:rsid w:val="005A3644"/>
    <w:rsid w:val="005A3C5D"/>
    <w:rsid w:val="005A5466"/>
    <w:rsid w:val="005A58FD"/>
    <w:rsid w:val="005A5D25"/>
    <w:rsid w:val="005A5EF3"/>
    <w:rsid w:val="005A61F5"/>
    <w:rsid w:val="005A6E6E"/>
    <w:rsid w:val="005A716B"/>
    <w:rsid w:val="005A7756"/>
    <w:rsid w:val="005A7B1B"/>
    <w:rsid w:val="005B08D5"/>
    <w:rsid w:val="005B0A33"/>
    <w:rsid w:val="005B1A1E"/>
    <w:rsid w:val="005B1F33"/>
    <w:rsid w:val="005B337C"/>
    <w:rsid w:val="005B362A"/>
    <w:rsid w:val="005B6514"/>
    <w:rsid w:val="005B6CBC"/>
    <w:rsid w:val="005B7890"/>
    <w:rsid w:val="005B7AC8"/>
    <w:rsid w:val="005B7ECD"/>
    <w:rsid w:val="005C0E40"/>
    <w:rsid w:val="005C22FB"/>
    <w:rsid w:val="005C3706"/>
    <w:rsid w:val="005C7CB4"/>
    <w:rsid w:val="005C7F96"/>
    <w:rsid w:val="005D09FC"/>
    <w:rsid w:val="005D1B11"/>
    <w:rsid w:val="005D1B21"/>
    <w:rsid w:val="005D2A15"/>
    <w:rsid w:val="005D435E"/>
    <w:rsid w:val="005D4371"/>
    <w:rsid w:val="005D5418"/>
    <w:rsid w:val="005D655F"/>
    <w:rsid w:val="005D715D"/>
    <w:rsid w:val="005D7ABC"/>
    <w:rsid w:val="005E008B"/>
    <w:rsid w:val="005E0385"/>
    <w:rsid w:val="005E1927"/>
    <w:rsid w:val="005E26C2"/>
    <w:rsid w:val="005E3309"/>
    <w:rsid w:val="005E34DA"/>
    <w:rsid w:val="005E392A"/>
    <w:rsid w:val="005E3B47"/>
    <w:rsid w:val="005E3EE2"/>
    <w:rsid w:val="005E502F"/>
    <w:rsid w:val="005E647C"/>
    <w:rsid w:val="005E6C5B"/>
    <w:rsid w:val="005E7C14"/>
    <w:rsid w:val="005F1367"/>
    <w:rsid w:val="005F16D6"/>
    <w:rsid w:val="005F194E"/>
    <w:rsid w:val="005F1E15"/>
    <w:rsid w:val="005F29A4"/>
    <w:rsid w:val="005F33CA"/>
    <w:rsid w:val="005F45DB"/>
    <w:rsid w:val="005F4DBF"/>
    <w:rsid w:val="005F5E44"/>
    <w:rsid w:val="005F5FEA"/>
    <w:rsid w:val="005F7B71"/>
    <w:rsid w:val="006000C2"/>
    <w:rsid w:val="006020A8"/>
    <w:rsid w:val="00603277"/>
    <w:rsid w:val="00604412"/>
    <w:rsid w:val="00604D83"/>
    <w:rsid w:val="006055FE"/>
    <w:rsid w:val="0060644D"/>
    <w:rsid w:val="00606BF5"/>
    <w:rsid w:val="00606C89"/>
    <w:rsid w:val="00607949"/>
    <w:rsid w:val="00612509"/>
    <w:rsid w:val="006125A8"/>
    <w:rsid w:val="0061468D"/>
    <w:rsid w:val="00615004"/>
    <w:rsid w:val="00615DD6"/>
    <w:rsid w:val="00615E64"/>
    <w:rsid w:val="006161B6"/>
    <w:rsid w:val="006162E0"/>
    <w:rsid w:val="0061648E"/>
    <w:rsid w:val="0061731D"/>
    <w:rsid w:val="00620CE6"/>
    <w:rsid w:val="00621DAA"/>
    <w:rsid w:val="00622D9A"/>
    <w:rsid w:val="00622FC3"/>
    <w:rsid w:val="00623DAA"/>
    <w:rsid w:val="00623FBE"/>
    <w:rsid w:val="00624208"/>
    <w:rsid w:val="00624439"/>
    <w:rsid w:val="00624806"/>
    <w:rsid w:val="006254B9"/>
    <w:rsid w:val="00625516"/>
    <w:rsid w:val="00625B2A"/>
    <w:rsid w:val="00626CA7"/>
    <w:rsid w:val="006274D1"/>
    <w:rsid w:val="006276AD"/>
    <w:rsid w:val="006277AE"/>
    <w:rsid w:val="00627A6B"/>
    <w:rsid w:val="006314AB"/>
    <w:rsid w:val="006327FD"/>
    <w:rsid w:val="00632923"/>
    <w:rsid w:val="00633EFE"/>
    <w:rsid w:val="00634299"/>
    <w:rsid w:val="0063455B"/>
    <w:rsid w:val="006350A2"/>
    <w:rsid w:val="00636723"/>
    <w:rsid w:val="00637168"/>
    <w:rsid w:val="00640376"/>
    <w:rsid w:val="0064212D"/>
    <w:rsid w:val="006430AB"/>
    <w:rsid w:val="00643DEF"/>
    <w:rsid w:val="00645552"/>
    <w:rsid w:val="006455B3"/>
    <w:rsid w:val="00645AD6"/>
    <w:rsid w:val="006479F8"/>
    <w:rsid w:val="00651531"/>
    <w:rsid w:val="00651F9E"/>
    <w:rsid w:val="006528E8"/>
    <w:rsid w:val="0065303D"/>
    <w:rsid w:val="006533C9"/>
    <w:rsid w:val="0065371D"/>
    <w:rsid w:val="0065549E"/>
    <w:rsid w:val="006571B4"/>
    <w:rsid w:val="00660950"/>
    <w:rsid w:val="00661B17"/>
    <w:rsid w:val="00661F93"/>
    <w:rsid w:val="0066221E"/>
    <w:rsid w:val="006634CF"/>
    <w:rsid w:val="006647D9"/>
    <w:rsid w:val="00664FE5"/>
    <w:rsid w:val="006653E4"/>
    <w:rsid w:val="006664E2"/>
    <w:rsid w:val="0066690C"/>
    <w:rsid w:val="00670A21"/>
    <w:rsid w:val="00670C85"/>
    <w:rsid w:val="006732BE"/>
    <w:rsid w:val="006733D8"/>
    <w:rsid w:val="006745AB"/>
    <w:rsid w:val="0067706C"/>
    <w:rsid w:val="00677B8B"/>
    <w:rsid w:val="00680E1A"/>
    <w:rsid w:val="00681482"/>
    <w:rsid w:val="00681624"/>
    <w:rsid w:val="00682ABC"/>
    <w:rsid w:val="00683D31"/>
    <w:rsid w:val="0068437D"/>
    <w:rsid w:val="006848BD"/>
    <w:rsid w:val="0068521A"/>
    <w:rsid w:val="00685F7B"/>
    <w:rsid w:val="00686C66"/>
    <w:rsid w:val="006906A8"/>
    <w:rsid w:val="00690CE6"/>
    <w:rsid w:val="0069396F"/>
    <w:rsid w:val="00694460"/>
    <w:rsid w:val="0069461B"/>
    <w:rsid w:val="00696097"/>
    <w:rsid w:val="006A2558"/>
    <w:rsid w:val="006A2CB9"/>
    <w:rsid w:val="006A2D84"/>
    <w:rsid w:val="006A48C5"/>
    <w:rsid w:val="006A49A9"/>
    <w:rsid w:val="006A4C9C"/>
    <w:rsid w:val="006A53D5"/>
    <w:rsid w:val="006A5EE0"/>
    <w:rsid w:val="006B1F92"/>
    <w:rsid w:val="006B2993"/>
    <w:rsid w:val="006B3A44"/>
    <w:rsid w:val="006B3C10"/>
    <w:rsid w:val="006B47FD"/>
    <w:rsid w:val="006B5A77"/>
    <w:rsid w:val="006B615E"/>
    <w:rsid w:val="006B639F"/>
    <w:rsid w:val="006B7AAD"/>
    <w:rsid w:val="006B7E21"/>
    <w:rsid w:val="006C03EF"/>
    <w:rsid w:val="006C0C15"/>
    <w:rsid w:val="006C12A8"/>
    <w:rsid w:val="006C1B35"/>
    <w:rsid w:val="006C1EF8"/>
    <w:rsid w:val="006C2659"/>
    <w:rsid w:val="006C4647"/>
    <w:rsid w:val="006C4C68"/>
    <w:rsid w:val="006C514A"/>
    <w:rsid w:val="006C56FB"/>
    <w:rsid w:val="006C578E"/>
    <w:rsid w:val="006D0835"/>
    <w:rsid w:val="006D213E"/>
    <w:rsid w:val="006D29A5"/>
    <w:rsid w:val="006D2F78"/>
    <w:rsid w:val="006D358A"/>
    <w:rsid w:val="006D3741"/>
    <w:rsid w:val="006D413B"/>
    <w:rsid w:val="006D77D4"/>
    <w:rsid w:val="006D7AC1"/>
    <w:rsid w:val="006E0BDE"/>
    <w:rsid w:val="006E60BF"/>
    <w:rsid w:val="006E6B04"/>
    <w:rsid w:val="006E7680"/>
    <w:rsid w:val="006E785C"/>
    <w:rsid w:val="006E7C09"/>
    <w:rsid w:val="006F0D8D"/>
    <w:rsid w:val="006F157D"/>
    <w:rsid w:val="006F1C6D"/>
    <w:rsid w:val="006F2045"/>
    <w:rsid w:val="006F26B6"/>
    <w:rsid w:val="006F2B78"/>
    <w:rsid w:val="006F3DB7"/>
    <w:rsid w:val="006F4100"/>
    <w:rsid w:val="006F4615"/>
    <w:rsid w:val="006F4671"/>
    <w:rsid w:val="006F4EC5"/>
    <w:rsid w:val="006F6567"/>
    <w:rsid w:val="006F7C79"/>
    <w:rsid w:val="006F7EDF"/>
    <w:rsid w:val="0070104E"/>
    <w:rsid w:val="0070123A"/>
    <w:rsid w:val="007015B0"/>
    <w:rsid w:val="00704BE1"/>
    <w:rsid w:val="0070501B"/>
    <w:rsid w:val="00705B62"/>
    <w:rsid w:val="00705D5E"/>
    <w:rsid w:val="00706648"/>
    <w:rsid w:val="007066A5"/>
    <w:rsid w:val="007072D7"/>
    <w:rsid w:val="00710D6B"/>
    <w:rsid w:val="00711897"/>
    <w:rsid w:val="00712955"/>
    <w:rsid w:val="00712FFD"/>
    <w:rsid w:val="0071302B"/>
    <w:rsid w:val="00715333"/>
    <w:rsid w:val="00715D1A"/>
    <w:rsid w:val="00716A56"/>
    <w:rsid w:val="0071752D"/>
    <w:rsid w:val="00720986"/>
    <w:rsid w:val="00720BE5"/>
    <w:rsid w:val="00721B9A"/>
    <w:rsid w:val="00721E5A"/>
    <w:rsid w:val="00721F37"/>
    <w:rsid w:val="00722F1A"/>
    <w:rsid w:val="007248DA"/>
    <w:rsid w:val="00724CC2"/>
    <w:rsid w:val="00726004"/>
    <w:rsid w:val="0072616C"/>
    <w:rsid w:val="007262EB"/>
    <w:rsid w:val="00726AAD"/>
    <w:rsid w:val="00726FFD"/>
    <w:rsid w:val="0072744E"/>
    <w:rsid w:val="00730631"/>
    <w:rsid w:val="0073147F"/>
    <w:rsid w:val="007318BD"/>
    <w:rsid w:val="00733152"/>
    <w:rsid w:val="00733631"/>
    <w:rsid w:val="0073364D"/>
    <w:rsid w:val="00733970"/>
    <w:rsid w:val="0073425E"/>
    <w:rsid w:val="007345AD"/>
    <w:rsid w:val="00736978"/>
    <w:rsid w:val="00736BEC"/>
    <w:rsid w:val="007377A4"/>
    <w:rsid w:val="007407B4"/>
    <w:rsid w:val="0074131E"/>
    <w:rsid w:val="00742FD0"/>
    <w:rsid w:val="00744A31"/>
    <w:rsid w:val="00744D89"/>
    <w:rsid w:val="00744EBB"/>
    <w:rsid w:val="00745779"/>
    <w:rsid w:val="00745D70"/>
    <w:rsid w:val="00745E1D"/>
    <w:rsid w:val="007472E7"/>
    <w:rsid w:val="00747AAC"/>
    <w:rsid w:val="00750A3C"/>
    <w:rsid w:val="00750B06"/>
    <w:rsid w:val="007520CF"/>
    <w:rsid w:val="00752DF5"/>
    <w:rsid w:val="00753309"/>
    <w:rsid w:val="00754637"/>
    <w:rsid w:val="00754705"/>
    <w:rsid w:val="00755AE9"/>
    <w:rsid w:val="00757080"/>
    <w:rsid w:val="007572CB"/>
    <w:rsid w:val="007606F0"/>
    <w:rsid w:val="0076275A"/>
    <w:rsid w:val="00762D77"/>
    <w:rsid w:val="00765222"/>
    <w:rsid w:val="007659C7"/>
    <w:rsid w:val="00765B68"/>
    <w:rsid w:val="00765DB7"/>
    <w:rsid w:val="007679B2"/>
    <w:rsid w:val="00770D79"/>
    <w:rsid w:val="0077242F"/>
    <w:rsid w:val="0077475C"/>
    <w:rsid w:val="00776A1D"/>
    <w:rsid w:val="00777928"/>
    <w:rsid w:val="0078090E"/>
    <w:rsid w:val="00781660"/>
    <w:rsid w:val="00781E81"/>
    <w:rsid w:val="00783EA6"/>
    <w:rsid w:val="007843D2"/>
    <w:rsid w:val="0078767F"/>
    <w:rsid w:val="00791606"/>
    <w:rsid w:val="00792BBC"/>
    <w:rsid w:val="00792BC3"/>
    <w:rsid w:val="00793683"/>
    <w:rsid w:val="00793A15"/>
    <w:rsid w:val="00793C15"/>
    <w:rsid w:val="0079456A"/>
    <w:rsid w:val="0079527C"/>
    <w:rsid w:val="00795C88"/>
    <w:rsid w:val="007A1414"/>
    <w:rsid w:val="007A1504"/>
    <w:rsid w:val="007A23B2"/>
    <w:rsid w:val="007A242F"/>
    <w:rsid w:val="007A4501"/>
    <w:rsid w:val="007A4629"/>
    <w:rsid w:val="007A6046"/>
    <w:rsid w:val="007A6257"/>
    <w:rsid w:val="007A66DB"/>
    <w:rsid w:val="007B0D29"/>
    <w:rsid w:val="007B1D55"/>
    <w:rsid w:val="007B26D2"/>
    <w:rsid w:val="007B270D"/>
    <w:rsid w:val="007B32E7"/>
    <w:rsid w:val="007B5CE9"/>
    <w:rsid w:val="007B6204"/>
    <w:rsid w:val="007C13AF"/>
    <w:rsid w:val="007C2378"/>
    <w:rsid w:val="007C39DB"/>
    <w:rsid w:val="007C3FFF"/>
    <w:rsid w:val="007C406D"/>
    <w:rsid w:val="007C5E82"/>
    <w:rsid w:val="007C6CCB"/>
    <w:rsid w:val="007D07BF"/>
    <w:rsid w:val="007D2F0B"/>
    <w:rsid w:val="007D342B"/>
    <w:rsid w:val="007D35B3"/>
    <w:rsid w:val="007D3D07"/>
    <w:rsid w:val="007D4591"/>
    <w:rsid w:val="007D56DF"/>
    <w:rsid w:val="007D6290"/>
    <w:rsid w:val="007D6CFD"/>
    <w:rsid w:val="007D7AA9"/>
    <w:rsid w:val="007D7F28"/>
    <w:rsid w:val="007E08FF"/>
    <w:rsid w:val="007E151C"/>
    <w:rsid w:val="007E15D1"/>
    <w:rsid w:val="007E3A25"/>
    <w:rsid w:val="007E4C49"/>
    <w:rsid w:val="007E537C"/>
    <w:rsid w:val="007E5ABD"/>
    <w:rsid w:val="007E6275"/>
    <w:rsid w:val="007E6CB9"/>
    <w:rsid w:val="007E70FC"/>
    <w:rsid w:val="007F0A78"/>
    <w:rsid w:val="007F1CBD"/>
    <w:rsid w:val="007F226D"/>
    <w:rsid w:val="007F2504"/>
    <w:rsid w:val="007F4DCB"/>
    <w:rsid w:val="007F4F8C"/>
    <w:rsid w:val="007F4FAE"/>
    <w:rsid w:val="007F5209"/>
    <w:rsid w:val="008017AD"/>
    <w:rsid w:val="00801854"/>
    <w:rsid w:val="00801FE9"/>
    <w:rsid w:val="008023F7"/>
    <w:rsid w:val="008029FD"/>
    <w:rsid w:val="008038FD"/>
    <w:rsid w:val="00804EC4"/>
    <w:rsid w:val="00807D59"/>
    <w:rsid w:val="00810B4B"/>
    <w:rsid w:val="00812DE3"/>
    <w:rsid w:val="0081319C"/>
    <w:rsid w:val="00813EF1"/>
    <w:rsid w:val="0081512B"/>
    <w:rsid w:val="0081609D"/>
    <w:rsid w:val="00821080"/>
    <w:rsid w:val="008216B0"/>
    <w:rsid w:val="00821AFE"/>
    <w:rsid w:val="00821D33"/>
    <w:rsid w:val="0082235E"/>
    <w:rsid w:val="00824C52"/>
    <w:rsid w:val="008251A0"/>
    <w:rsid w:val="00825A64"/>
    <w:rsid w:val="008265C8"/>
    <w:rsid w:val="00830C3C"/>
    <w:rsid w:val="0083245E"/>
    <w:rsid w:val="008329C4"/>
    <w:rsid w:val="00833917"/>
    <w:rsid w:val="008346BA"/>
    <w:rsid w:val="00835978"/>
    <w:rsid w:val="00836106"/>
    <w:rsid w:val="00836CEF"/>
    <w:rsid w:val="0083728B"/>
    <w:rsid w:val="0084060B"/>
    <w:rsid w:val="00841094"/>
    <w:rsid w:val="0084123B"/>
    <w:rsid w:val="00841595"/>
    <w:rsid w:val="00842261"/>
    <w:rsid w:val="0084231F"/>
    <w:rsid w:val="0084234C"/>
    <w:rsid w:val="00844768"/>
    <w:rsid w:val="008449EC"/>
    <w:rsid w:val="00846809"/>
    <w:rsid w:val="00847D35"/>
    <w:rsid w:val="00850518"/>
    <w:rsid w:val="00850835"/>
    <w:rsid w:val="008510A4"/>
    <w:rsid w:val="00852442"/>
    <w:rsid w:val="00852500"/>
    <w:rsid w:val="008526B6"/>
    <w:rsid w:val="00855275"/>
    <w:rsid w:val="008555B9"/>
    <w:rsid w:val="0085583E"/>
    <w:rsid w:val="008568A8"/>
    <w:rsid w:val="00856A01"/>
    <w:rsid w:val="00860679"/>
    <w:rsid w:val="00861068"/>
    <w:rsid w:val="00862CEF"/>
    <w:rsid w:val="008631F9"/>
    <w:rsid w:val="00863733"/>
    <w:rsid w:val="00863A58"/>
    <w:rsid w:val="00863EF6"/>
    <w:rsid w:val="00864253"/>
    <w:rsid w:val="008662C1"/>
    <w:rsid w:val="008664B0"/>
    <w:rsid w:val="00866B2C"/>
    <w:rsid w:val="0086747C"/>
    <w:rsid w:val="0087042C"/>
    <w:rsid w:val="00870A75"/>
    <w:rsid w:val="00871024"/>
    <w:rsid w:val="00871066"/>
    <w:rsid w:val="00873038"/>
    <w:rsid w:val="008734B7"/>
    <w:rsid w:val="00873C2A"/>
    <w:rsid w:val="00875F2C"/>
    <w:rsid w:val="008760FB"/>
    <w:rsid w:val="0087678B"/>
    <w:rsid w:val="00876C8A"/>
    <w:rsid w:val="00880DC3"/>
    <w:rsid w:val="00884A19"/>
    <w:rsid w:val="0088519A"/>
    <w:rsid w:val="0088582C"/>
    <w:rsid w:val="00885D2D"/>
    <w:rsid w:val="00887079"/>
    <w:rsid w:val="00887508"/>
    <w:rsid w:val="008908BE"/>
    <w:rsid w:val="00890962"/>
    <w:rsid w:val="00891115"/>
    <w:rsid w:val="008911B4"/>
    <w:rsid w:val="008923C5"/>
    <w:rsid w:val="00893918"/>
    <w:rsid w:val="00893A8C"/>
    <w:rsid w:val="008941A1"/>
    <w:rsid w:val="00895AF9"/>
    <w:rsid w:val="00895B16"/>
    <w:rsid w:val="008978FF"/>
    <w:rsid w:val="008A1798"/>
    <w:rsid w:val="008A2896"/>
    <w:rsid w:val="008A403C"/>
    <w:rsid w:val="008A486E"/>
    <w:rsid w:val="008A4F8C"/>
    <w:rsid w:val="008A5368"/>
    <w:rsid w:val="008A5715"/>
    <w:rsid w:val="008A77D3"/>
    <w:rsid w:val="008B0019"/>
    <w:rsid w:val="008B0A85"/>
    <w:rsid w:val="008B0BE4"/>
    <w:rsid w:val="008B0CD3"/>
    <w:rsid w:val="008B0D77"/>
    <w:rsid w:val="008B1BEA"/>
    <w:rsid w:val="008B2F91"/>
    <w:rsid w:val="008B36F4"/>
    <w:rsid w:val="008B394C"/>
    <w:rsid w:val="008B3EB1"/>
    <w:rsid w:val="008B3F84"/>
    <w:rsid w:val="008B5E1E"/>
    <w:rsid w:val="008B704E"/>
    <w:rsid w:val="008B742E"/>
    <w:rsid w:val="008B767F"/>
    <w:rsid w:val="008B77B8"/>
    <w:rsid w:val="008C0057"/>
    <w:rsid w:val="008C1B8B"/>
    <w:rsid w:val="008C2315"/>
    <w:rsid w:val="008C259C"/>
    <w:rsid w:val="008C2B30"/>
    <w:rsid w:val="008C2BFC"/>
    <w:rsid w:val="008C345E"/>
    <w:rsid w:val="008C3B30"/>
    <w:rsid w:val="008C51DB"/>
    <w:rsid w:val="008C549D"/>
    <w:rsid w:val="008C6ECF"/>
    <w:rsid w:val="008D3204"/>
    <w:rsid w:val="008D4797"/>
    <w:rsid w:val="008D586E"/>
    <w:rsid w:val="008E033B"/>
    <w:rsid w:val="008E073E"/>
    <w:rsid w:val="008E1231"/>
    <w:rsid w:val="008E3698"/>
    <w:rsid w:val="008E3E23"/>
    <w:rsid w:val="008E42F3"/>
    <w:rsid w:val="008E5131"/>
    <w:rsid w:val="008E6B8E"/>
    <w:rsid w:val="008F00AD"/>
    <w:rsid w:val="008F17AB"/>
    <w:rsid w:val="008F17D9"/>
    <w:rsid w:val="008F1A02"/>
    <w:rsid w:val="008F202F"/>
    <w:rsid w:val="008F256B"/>
    <w:rsid w:val="008F28F8"/>
    <w:rsid w:val="008F5087"/>
    <w:rsid w:val="008F5880"/>
    <w:rsid w:val="008F6253"/>
    <w:rsid w:val="008F73FC"/>
    <w:rsid w:val="008F77AD"/>
    <w:rsid w:val="008F7BA2"/>
    <w:rsid w:val="00900D0F"/>
    <w:rsid w:val="00900FA3"/>
    <w:rsid w:val="00902272"/>
    <w:rsid w:val="009031BF"/>
    <w:rsid w:val="0090399B"/>
    <w:rsid w:val="00903FE6"/>
    <w:rsid w:val="009056FF"/>
    <w:rsid w:val="00905991"/>
    <w:rsid w:val="00905C9C"/>
    <w:rsid w:val="00907753"/>
    <w:rsid w:val="00910074"/>
    <w:rsid w:val="00910560"/>
    <w:rsid w:val="0091067A"/>
    <w:rsid w:val="00910E09"/>
    <w:rsid w:val="00914501"/>
    <w:rsid w:val="00914FC3"/>
    <w:rsid w:val="00916227"/>
    <w:rsid w:val="00916DCB"/>
    <w:rsid w:val="00920136"/>
    <w:rsid w:val="00921C78"/>
    <w:rsid w:val="00923D61"/>
    <w:rsid w:val="0092418E"/>
    <w:rsid w:val="00924D1B"/>
    <w:rsid w:val="00925A6C"/>
    <w:rsid w:val="009270CE"/>
    <w:rsid w:val="00927DBF"/>
    <w:rsid w:val="0093130E"/>
    <w:rsid w:val="009313B2"/>
    <w:rsid w:val="00932AEB"/>
    <w:rsid w:val="00932FE2"/>
    <w:rsid w:val="00933150"/>
    <w:rsid w:val="00935A9B"/>
    <w:rsid w:val="00936255"/>
    <w:rsid w:val="009364E3"/>
    <w:rsid w:val="009412DB"/>
    <w:rsid w:val="00941324"/>
    <w:rsid w:val="00943431"/>
    <w:rsid w:val="00943967"/>
    <w:rsid w:val="00943BA4"/>
    <w:rsid w:val="00943D15"/>
    <w:rsid w:val="00943E09"/>
    <w:rsid w:val="009444CE"/>
    <w:rsid w:val="009446B3"/>
    <w:rsid w:val="00945D18"/>
    <w:rsid w:val="0094630E"/>
    <w:rsid w:val="0094631A"/>
    <w:rsid w:val="00946694"/>
    <w:rsid w:val="009467C5"/>
    <w:rsid w:val="00947AEC"/>
    <w:rsid w:val="00950D2E"/>
    <w:rsid w:val="00951650"/>
    <w:rsid w:val="00951BFE"/>
    <w:rsid w:val="00952B64"/>
    <w:rsid w:val="00953373"/>
    <w:rsid w:val="00953B4E"/>
    <w:rsid w:val="00953D13"/>
    <w:rsid w:val="00955BEB"/>
    <w:rsid w:val="00955D77"/>
    <w:rsid w:val="009566DA"/>
    <w:rsid w:val="00960E06"/>
    <w:rsid w:val="009610D1"/>
    <w:rsid w:val="00962A92"/>
    <w:rsid w:val="00962BC1"/>
    <w:rsid w:val="00965CE7"/>
    <w:rsid w:val="00966BEA"/>
    <w:rsid w:val="009671C5"/>
    <w:rsid w:val="009672DC"/>
    <w:rsid w:val="00967799"/>
    <w:rsid w:val="00967AED"/>
    <w:rsid w:val="00971878"/>
    <w:rsid w:val="009719D0"/>
    <w:rsid w:val="00972C29"/>
    <w:rsid w:val="00972F4A"/>
    <w:rsid w:val="0097319A"/>
    <w:rsid w:val="009741AC"/>
    <w:rsid w:val="00974AFA"/>
    <w:rsid w:val="009778AC"/>
    <w:rsid w:val="0098061A"/>
    <w:rsid w:val="00980B8C"/>
    <w:rsid w:val="00983E6E"/>
    <w:rsid w:val="009844EB"/>
    <w:rsid w:val="00985A5F"/>
    <w:rsid w:val="00986261"/>
    <w:rsid w:val="00987006"/>
    <w:rsid w:val="00987B4D"/>
    <w:rsid w:val="00990486"/>
    <w:rsid w:val="00990CCB"/>
    <w:rsid w:val="00991AE1"/>
    <w:rsid w:val="00992BD6"/>
    <w:rsid w:val="00995DE2"/>
    <w:rsid w:val="0099610B"/>
    <w:rsid w:val="00996571"/>
    <w:rsid w:val="00996F3B"/>
    <w:rsid w:val="00997253"/>
    <w:rsid w:val="00997D85"/>
    <w:rsid w:val="00997DED"/>
    <w:rsid w:val="009A0A0E"/>
    <w:rsid w:val="009A138A"/>
    <w:rsid w:val="009A36C9"/>
    <w:rsid w:val="009A382E"/>
    <w:rsid w:val="009A504E"/>
    <w:rsid w:val="009A5401"/>
    <w:rsid w:val="009A5C65"/>
    <w:rsid w:val="009A67F6"/>
    <w:rsid w:val="009A6F2B"/>
    <w:rsid w:val="009A7533"/>
    <w:rsid w:val="009B14D5"/>
    <w:rsid w:val="009B1551"/>
    <w:rsid w:val="009B16B8"/>
    <w:rsid w:val="009B4040"/>
    <w:rsid w:val="009B555C"/>
    <w:rsid w:val="009B65E0"/>
    <w:rsid w:val="009B7AB1"/>
    <w:rsid w:val="009C03F6"/>
    <w:rsid w:val="009C0A53"/>
    <w:rsid w:val="009C1D0A"/>
    <w:rsid w:val="009C2862"/>
    <w:rsid w:val="009C2D88"/>
    <w:rsid w:val="009C2F96"/>
    <w:rsid w:val="009C3A56"/>
    <w:rsid w:val="009C55BA"/>
    <w:rsid w:val="009C72FA"/>
    <w:rsid w:val="009C7674"/>
    <w:rsid w:val="009C7F25"/>
    <w:rsid w:val="009D0F4A"/>
    <w:rsid w:val="009D24A3"/>
    <w:rsid w:val="009D2766"/>
    <w:rsid w:val="009D376B"/>
    <w:rsid w:val="009D3B16"/>
    <w:rsid w:val="009D40BF"/>
    <w:rsid w:val="009D42B4"/>
    <w:rsid w:val="009D42F2"/>
    <w:rsid w:val="009D5770"/>
    <w:rsid w:val="009D5C86"/>
    <w:rsid w:val="009D7487"/>
    <w:rsid w:val="009D7C32"/>
    <w:rsid w:val="009E1ED1"/>
    <w:rsid w:val="009E1EEA"/>
    <w:rsid w:val="009E42D3"/>
    <w:rsid w:val="009E5158"/>
    <w:rsid w:val="009E565B"/>
    <w:rsid w:val="009E701B"/>
    <w:rsid w:val="009E708E"/>
    <w:rsid w:val="009F0156"/>
    <w:rsid w:val="009F038D"/>
    <w:rsid w:val="009F0A56"/>
    <w:rsid w:val="009F324E"/>
    <w:rsid w:val="009F437F"/>
    <w:rsid w:val="009F532F"/>
    <w:rsid w:val="009F6CC7"/>
    <w:rsid w:val="009F76D5"/>
    <w:rsid w:val="009F77E3"/>
    <w:rsid w:val="00A01074"/>
    <w:rsid w:val="00A02742"/>
    <w:rsid w:val="00A04083"/>
    <w:rsid w:val="00A04162"/>
    <w:rsid w:val="00A04932"/>
    <w:rsid w:val="00A04FE7"/>
    <w:rsid w:val="00A0577A"/>
    <w:rsid w:val="00A05E8D"/>
    <w:rsid w:val="00A060C4"/>
    <w:rsid w:val="00A06762"/>
    <w:rsid w:val="00A07457"/>
    <w:rsid w:val="00A07B31"/>
    <w:rsid w:val="00A10E3C"/>
    <w:rsid w:val="00A1130B"/>
    <w:rsid w:val="00A1249A"/>
    <w:rsid w:val="00A13109"/>
    <w:rsid w:val="00A13F73"/>
    <w:rsid w:val="00A1414A"/>
    <w:rsid w:val="00A1451E"/>
    <w:rsid w:val="00A14C68"/>
    <w:rsid w:val="00A15AED"/>
    <w:rsid w:val="00A201C9"/>
    <w:rsid w:val="00A21C8B"/>
    <w:rsid w:val="00A23B9E"/>
    <w:rsid w:val="00A252EC"/>
    <w:rsid w:val="00A268A6"/>
    <w:rsid w:val="00A26BAD"/>
    <w:rsid w:val="00A26F7E"/>
    <w:rsid w:val="00A27457"/>
    <w:rsid w:val="00A27990"/>
    <w:rsid w:val="00A27A93"/>
    <w:rsid w:val="00A27CA0"/>
    <w:rsid w:val="00A27F0A"/>
    <w:rsid w:val="00A3032D"/>
    <w:rsid w:val="00A30A6D"/>
    <w:rsid w:val="00A31137"/>
    <w:rsid w:val="00A32522"/>
    <w:rsid w:val="00A337B8"/>
    <w:rsid w:val="00A352E6"/>
    <w:rsid w:val="00A35735"/>
    <w:rsid w:val="00A3588C"/>
    <w:rsid w:val="00A35EEB"/>
    <w:rsid w:val="00A40D0F"/>
    <w:rsid w:val="00A41F4C"/>
    <w:rsid w:val="00A42155"/>
    <w:rsid w:val="00A42783"/>
    <w:rsid w:val="00A44488"/>
    <w:rsid w:val="00A44643"/>
    <w:rsid w:val="00A4478A"/>
    <w:rsid w:val="00A46900"/>
    <w:rsid w:val="00A46FA7"/>
    <w:rsid w:val="00A47B8F"/>
    <w:rsid w:val="00A47FC1"/>
    <w:rsid w:val="00A50731"/>
    <w:rsid w:val="00A524CB"/>
    <w:rsid w:val="00A52C69"/>
    <w:rsid w:val="00A54A7E"/>
    <w:rsid w:val="00A54CDE"/>
    <w:rsid w:val="00A55162"/>
    <w:rsid w:val="00A576E5"/>
    <w:rsid w:val="00A57D18"/>
    <w:rsid w:val="00A61708"/>
    <w:rsid w:val="00A62057"/>
    <w:rsid w:val="00A62DC6"/>
    <w:rsid w:val="00A63451"/>
    <w:rsid w:val="00A63E45"/>
    <w:rsid w:val="00A64223"/>
    <w:rsid w:val="00A655D6"/>
    <w:rsid w:val="00A660A1"/>
    <w:rsid w:val="00A67326"/>
    <w:rsid w:val="00A67627"/>
    <w:rsid w:val="00A70650"/>
    <w:rsid w:val="00A7080C"/>
    <w:rsid w:val="00A71426"/>
    <w:rsid w:val="00A72226"/>
    <w:rsid w:val="00A7227A"/>
    <w:rsid w:val="00A7230D"/>
    <w:rsid w:val="00A72425"/>
    <w:rsid w:val="00A724E8"/>
    <w:rsid w:val="00A7383A"/>
    <w:rsid w:val="00A75945"/>
    <w:rsid w:val="00A75DF7"/>
    <w:rsid w:val="00A76037"/>
    <w:rsid w:val="00A76069"/>
    <w:rsid w:val="00A81B01"/>
    <w:rsid w:val="00A83B88"/>
    <w:rsid w:val="00A8458D"/>
    <w:rsid w:val="00A848B4"/>
    <w:rsid w:val="00A8495A"/>
    <w:rsid w:val="00A8501E"/>
    <w:rsid w:val="00A861C0"/>
    <w:rsid w:val="00A90086"/>
    <w:rsid w:val="00A91B8A"/>
    <w:rsid w:val="00A92793"/>
    <w:rsid w:val="00A931F6"/>
    <w:rsid w:val="00A94672"/>
    <w:rsid w:val="00A96F78"/>
    <w:rsid w:val="00A97309"/>
    <w:rsid w:val="00A97A9F"/>
    <w:rsid w:val="00AA1945"/>
    <w:rsid w:val="00AA1C54"/>
    <w:rsid w:val="00AA4612"/>
    <w:rsid w:val="00AA5F90"/>
    <w:rsid w:val="00AA6F61"/>
    <w:rsid w:val="00AA7024"/>
    <w:rsid w:val="00AB10AF"/>
    <w:rsid w:val="00AB1E18"/>
    <w:rsid w:val="00AB270B"/>
    <w:rsid w:val="00AB2997"/>
    <w:rsid w:val="00AB354E"/>
    <w:rsid w:val="00AB3755"/>
    <w:rsid w:val="00AB4B2F"/>
    <w:rsid w:val="00AB57BC"/>
    <w:rsid w:val="00AB642D"/>
    <w:rsid w:val="00AB7240"/>
    <w:rsid w:val="00AC0219"/>
    <w:rsid w:val="00AC090F"/>
    <w:rsid w:val="00AC09EB"/>
    <w:rsid w:val="00AC2299"/>
    <w:rsid w:val="00AC3440"/>
    <w:rsid w:val="00AC429E"/>
    <w:rsid w:val="00AC44E7"/>
    <w:rsid w:val="00AC4A7D"/>
    <w:rsid w:val="00AC4F1C"/>
    <w:rsid w:val="00AC6434"/>
    <w:rsid w:val="00AC65AD"/>
    <w:rsid w:val="00AC67BC"/>
    <w:rsid w:val="00AC6CCE"/>
    <w:rsid w:val="00AD03BE"/>
    <w:rsid w:val="00AD0510"/>
    <w:rsid w:val="00AD198A"/>
    <w:rsid w:val="00AD3050"/>
    <w:rsid w:val="00AD43A7"/>
    <w:rsid w:val="00AD56C7"/>
    <w:rsid w:val="00AD56EA"/>
    <w:rsid w:val="00AD7595"/>
    <w:rsid w:val="00AE0802"/>
    <w:rsid w:val="00AE0A61"/>
    <w:rsid w:val="00AE2405"/>
    <w:rsid w:val="00AE2817"/>
    <w:rsid w:val="00AE39DC"/>
    <w:rsid w:val="00AE3FFF"/>
    <w:rsid w:val="00AE6408"/>
    <w:rsid w:val="00AF01C8"/>
    <w:rsid w:val="00AF03F0"/>
    <w:rsid w:val="00AF192A"/>
    <w:rsid w:val="00AF284C"/>
    <w:rsid w:val="00AF54EE"/>
    <w:rsid w:val="00AF5C6D"/>
    <w:rsid w:val="00AF6973"/>
    <w:rsid w:val="00AF71F9"/>
    <w:rsid w:val="00AF7636"/>
    <w:rsid w:val="00AF7931"/>
    <w:rsid w:val="00AF7B00"/>
    <w:rsid w:val="00AF7CD7"/>
    <w:rsid w:val="00B004FD"/>
    <w:rsid w:val="00B014C4"/>
    <w:rsid w:val="00B01E81"/>
    <w:rsid w:val="00B02132"/>
    <w:rsid w:val="00B03321"/>
    <w:rsid w:val="00B044D3"/>
    <w:rsid w:val="00B05933"/>
    <w:rsid w:val="00B07930"/>
    <w:rsid w:val="00B07AE4"/>
    <w:rsid w:val="00B11433"/>
    <w:rsid w:val="00B127F6"/>
    <w:rsid w:val="00B12843"/>
    <w:rsid w:val="00B16FC1"/>
    <w:rsid w:val="00B17D6D"/>
    <w:rsid w:val="00B17E1F"/>
    <w:rsid w:val="00B21770"/>
    <w:rsid w:val="00B22C85"/>
    <w:rsid w:val="00B2342D"/>
    <w:rsid w:val="00B23BB9"/>
    <w:rsid w:val="00B2538C"/>
    <w:rsid w:val="00B26447"/>
    <w:rsid w:val="00B26A0B"/>
    <w:rsid w:val="00B30C41"/>
    <w:rsid w:val="00B30E66"/>
    <w:rsid w:val="00B34E4F"/>
    <w:rsid w:val="00B34EB1"/>
    <w:rsid w:val="00B3696D"/>
    <w:rsid w:val="00B36EA3"/>
    <w:rsid w:val="00B375E8"/>
    <w:rsid w:val="00B376D1"/>
    <w:rsid w:val="00B378AB"/>
    <w:rsid w:val="00B37AC5"/>
    <w:rsid w:val="00B42971"/>
    <w:rsid w:val="00B42BDF"/>
    <w:rsid w:val="00B46413"/>
    <w:rsid w:val="00B4644A"/>
    <w:rsid w:val="00B46AB1"/>
    <w:rsid w:val="00B47065"/>
    <w:rsid w:val="00B474FE"/>
    <w:rsid w:val="00B4790E"/>
    <w:rsid w:val="00B51F9B"/>
    <w:rsid w:val="00B53066"/>
    <w:rsid w:val="00B541E4"/>
    <w:rsid w:val="00B551EE"/>
    <w:rsid w:val="00B55E6A"/>
    <w:rsid w:val="00B5770F"/>
    <w:rsid w:val="00B57DD6"/>
    <w:rsid w:val="00B600CD"/>
    <w:rsid w:val="00B601E4"/>
    <w:rsid w:val="00B61087"/>
    <w:rsid w:val="00B61CDB"/>
    <w:rsid w:val="00B6264E"/>
    <w:rsid w:val="00B6292D"/>
    <w:rsid w:val="00B630C1"/>
    <w:rsid w:val="00B63CB5"/>
    <w:rsid w:val="00B63D6B"/>
    <w:rsid w:val="00B64814"/>
    <w:rsid w:val="00B64B8D"/>
    <w:rsid w:val="00B67F53"/>
    <w:rsid w:val="00B718F6"/>
    <w:rsid w:val="00B726D2"/>
    <w:rsid w:val="00B72FD4"/>
    <w:rsid w:val="00B74055"/>
    <w:rsid w:val="00B7577D"/>
    <w:rsid w:val="00B75B94"/>
    <w:rsid w:val="00B80713"/>
    <w:rsid w:val="00B8233D"/>
    <w:rsid w:val="00B83253"/>
    <w:rsid w:val="00B84E8B"/>
    <w:rsid w:val="00B85A1A"/>
    <w:rsid w:val="00B86615"/>
    <w:rsid w:val="00B87142"/>
    <w:rsid w:val="00B878A0"/>
    <w:rsid w:val="00B90C1F"/>
    <w:rsid w:val="00B910B8"/>
    <w:rsid w:val="00B91401"/>
    <w:rsid w:val="00B921E6"/>
    <w:rsid w:val="00B9227E"/>
    <w:rsid w:val="00B92783"/>
    <w:rsid w:val="00B928A3"/>
    <w:rsid w:val="00B929FD"/>
    <w:rsid w:val="00B93CA6"/>
    <w:rsid w:val="00B95158"/>
    <w:rsid w:val="00B96D6F"/>
    <w:rsid w:val="00B97F1B"/>
    <w:rsid w:val="00BA222B"/>
    <w:rsid w:val="00BA2AFA"/>
    <w:rsid w:val="00BA4FA5"/>
    <w:rsid w:val="00BA5183"/>
    <w:rsid w:val="00BA639C"/>
    <w:rsid w:val="00BA6689"/>
    <w:rsid w:val="00BA76FE"/>
    <w:rsid w:val="00BA7BE8"/>
    <w:rsid w:val="00BB105B"/>
    <w:rsid w:val="00BB2AC2"/>
    <w:rsid w:val="00BB3058"/>
    <w:rsid w:val="00BB5BA6"/>
    <w:rsid w:val="00BB6768"/>
    <w:rsid w:val="00BB74D4"/>
    <w:rsid w:val="00BB7501"/>
    <w:rsid w:val="00BB7A89"/>
    <w:rsid w:val="00BB7F30"/>
    <w:rsid w:val="00BC0E0D"/>
    <w:rsid w:val="00BC1327"/>
    <w:rsid w:val="00BC1946"/>
    <w:rsid w:val="00BC350E"/>
    <w:rsid w:val="00BC4196"/>
    <w:rsid w:val="00BC4E72"/>
    <w:rsid w:val="00BC4EED"/>
    <w:rsid w:val="00BC526D"/>
    <w:rsid w:val="00BD0EFC"/>
    <w:rsid w:val="00BD0F00"/>
    <w:rsid w:val="00BD10E1"/>
    <w:rsid w:val="00BD1C62"/>
    <w:rsid w:val="00BD2B95"/>
    <w:rsid w:val="00BD38AE"/>
    <w:rsid w:val="00BD4C36"/>
    <w:rsid w:val="00BD508A"/>
    <w:rsid w:val="00BD7260"/>
    <w:rsid w:val="00BE0673"/>
    <w:rsid w:val="00BE0DE2"/>
    <w:rsid w:val="00BE1116"/>
    <w:rsid w:val="00BE1389"/>
    <w:rsid w:val="00BE15BE"/>
    <w:rsid w:val="00BE24AE"/>
    <w:rsid w:val="00BE2959"/>
    <w:rsid w:val="00BE2D0E"/>
    <w:rsid w:val="00BE2DDD"/>
    <w:rsid w:val="00BE2F23"/>
    <w:rsid w:val="00BE2F5D"/>
    <w:rsid w:val="00BE312D"/>
    <w:rsid w:val="00BE330E"/>
    <w:rsid w:val="00BE36FE"/>
    <w:rsid w:val="00BE381C"/>
    <w:rsid w:val="00BE3B10"/>
    <w:rsid w:val="00BE49F6"/>
    <w:rsid w:val="00BE4E87"/>
    <w:rsid w:val="00BE5272"/>
    <w:rsid w:val="00BE718C"/>
    <w:rsid w:val="00BF0695"/>
    <w:rsid w:val="00BF1804"/>
    <w:rsid w:val="00BF1A66"/>
    <w:rsid w:val="00BF20A7"/>
    <w:rsid w:val="00BF3DAD"/>
    <w:rsid w:val="00BF4AF4"/>
    <w:rsid w:val="00BF5245"/>
    <w:rsid w:val="00BF5EA5"/>
    <w:rsid w:val="00BF6868"/>
    <w:rsid w:val="00BF6B3C"/>
    <w:rsid w:val="00C01746"/>
    <w:rsid w:val="00C01AF2"/>
    <w:rsid w:val="00C02EDB"/>
    <w:rsid w:val="00C03044"/>
    <w:rsid w:val="00C03203"/>
    <w:rsid w:val="00C04589"/>
    <w:rsid w:val="00C04C15"/>
    <w:rsid w:val="00C06670"/>
    <w:rsid w:val="00C07BB8"/>
    <w:rsid w:val="00C11264"/>
    <w:rsid w:val="00C121E6"/>
    <w:rsid w:val="00C12F3A"/>
    <w:rsid w:val="00C14C61"/>
    <w:rsid w:val="00C14F68"/>
    <w:rsid w:val="00C15BCE"/>
    <w:rsid w:val="00C15E09"/>
    <w:rsid w:val="00C1666C"/>
    <w:rsid w:val="00C16B44"/>
    <w:rsid w:val="00C1729D"/>
    <w:rsid w:val="00C2082E"/>
    <w:rsid w:val="00C25DFE"/>
    <w:rsid w:val="00C26CD4"/>
    <w:rsid w:val="00C316D8"/>
    <w:rsid w:val="00C3170D"/>
    <w:rsid w:val="00C329B5"/>
    <w:rsid w:val="00C32EF0"/>
    <w:rsid w:val="00C33B14"/>
    <w:rsid w:val="00C34A87"/>
    <w:rsid w:val="00C3509B"/>
    <w:rsid w:val="00C36281"/>
    <w:rsid w:val="00C368AC"/>
    <w:rsid w:val="00C37F9B"/>
    <w:rsid w:val="00C41975"/>
    <w:rsid w:val="00C42799"/>
    <w:rsid w:val="00C439A0"/>
    <w:rsid w:val="00C46D26"/>
    <w:rsid w:val="00C47BF0"/>
    <w:rsid w:val="00C47D92"/>
    <w:rsid w:val="00C5198B"/>
    <w:rsid w:val="00C52473"/>
    <w:rsid w:val="00C52A7F"/>
    <w:rsid w:val="00C52F02"/>
    <w:rsid w:val="00C53A91"/>
    <w:rsid w:val="00C53E7F"/>
    <w:rsid w:val="00C550DF"/>
    <w:rsid w:val="00C55508"/>
    <w:rsid w:val="00C558AC"/>
    <w:rsid w:val="00C57203"/>
    <w:rsid w:val="00C57A7E"/>
    <w:rsid w:val="00C57C2C"/>
    <w:rsid w:val="00C57EF8"/>
    <w:rsid w:val="00C611C6"/>
    <w:rsid w:val="00C61F3A"/>
    <w:rsid w:val="00C62787"/>
    <w:rsid w:val="00C62D4F"/>
    <w:rsid w:val="00C62D7D"/>
    <w:rsid w:val="00C64170"/>
    <w:rsid w:val="00C646F4"/>
    <w:rsid w:val="00C64A21"/>
    <w:rsid w:val="00C700DB"/>
    <w:rsid w:val="00C70AC0"/>
    <w:rsid w:val="00C717BD"/>
    <w:rsid w:val="00C71C9E"/>
    <w:rsid w:val="00C72404"/>
    <w:rsid w:val="00C7262A"/>
    <w:rsid w:val="00C727F0"/>
    <w:rsid w:val="00C749F6"/>
    <w:rsid w:val="00C7558B"/>
    <w:rsid w:val="00C7690D"/>
    <w:rsid w:val="00C76E50"/>
    <w:rsid w:val="00C7706D"/>
    <w:rsid w:val="00C77137"/>
    <w:rsid w:val="00C77871"/>
    <w:rsid w:val="00C80300"/>
    <w:rsid w:val="00C81070"/>
    <w:rsid w:val="00C81732"/>
    <w:rsid w:val="00C837C0"/>
    <w:rsid w:val="00C83886"/>
    <w:rsid w:val="00C86F47"/>
    <w:rsid w:val="00C9152C"/>
    <w:rsid w:val="00C9171F"/>
    <w:rsid w:val="00C91B61"/>
    <w:rsid w:val="00C92072"/>
    <w:rsid w:val="00C924D5"/>
    <w:rsid w:val="00C9264B"/>
    <w:rsid w:val="00C965A3"/>
    <w:rsid w:val="00CA013A"/>
    <w:rsid w:val="00CA1640"/>
    <w:rsid w:val="00CA2EC8"/>
    <w:rsid w:val="00CA5077"/>
    <w:rsid w:val="00CA5BE4"/>
    <w:rsid w:val="00CA5D50"/>
    <w:rsid w:val="00CA7689"/>
    <w:rsid w:val="00CB0616"/>
    <w:rsid w:val="00CB22CC"/>
    <w:rsid w:val="00CB3839"/>
    <w:rsid w:val="00CB3876"/>
    <w:rsid w:val="00CB576F"/>
    <w:rsid w:val="00CB5F9A"/>
    <w:rsid w:val="00CB7850"/>
    <w:rsid w:val="00CC0C4A"/>
    <w:rsid w:val="00CC3209"/>
    <w:rsid w:val="00CC48EC"/>
    <w:rsid w:val="00CC4C43"/>
    <w:rsid w:val="00CC5B4D"/>
    <w:rsid w:val="00CD11D6"/>
    <w:rsid w:val="00CD1453"/>
    <w:rsid w:val="00CD1800"/>
    <w:rsid w:val="00CD39CD"/>
    <w:rsid w:val="00CD46B2"/>
    <w:rsid w:val="00CD5B94"/>
    <w:rsid w:val="00CD68A7"/>
    <w:rsid w:val="00CD758B"/>
    <w:rsid w:val="00CD785C"/>
    <w:rsid w:val="00CE1405"/>
    <w:rsid w:val="00CE216C"/>
    <w:rsid w:val="00CE2E1E"/>
    <w:rsid w:val="00CE2E3A"/>
    <w:rsid w:val="00CE38CE"/>
    <w:rsid w:val="00CE3AE8"/>
    <w:rsid w:val="00CE4397"/>
    <w:rsid w:val="00CE47FB"/>
    <w:rsid w:val="00CE7EBE"/>
    <w:rsid w:val="00CE7FC6"/>
    <w:rsid w:val="00CF0B33"/>
    <w:rsid w:val="00CF0C8C"/>
    <w:rsid w:val="00CF1352"/>
    <w:rsid w:val="00CF38A6"/>
    <w:rsid w:val="00CF4F0F"/>
    <w:rsid w:val="00CF5C8E"/>
    <w:rsid w:val="00CF6C77"/>
    <w:rsid w:val="00CF7965"/>
    <w:rsid w:val="00D01772"/>
    <w:rsid w:val="00D017D1"/>
    <w:rsid w:val="00D01F1E"/>
    <w:rsid w:val="00D0298B"/>
    <w:rsid w:val="00D02AB1"/>
    <w:rsid w:val="00D05175"/>
    <w:rsid w:val="00D05A0B"/>
    <w:rsid w:val="00D0663A"/>
    <w:rsid w:val="00D1011E"/>
    <w:rsid w:val="00D10B2E"/>
    <w:rsid w:val="00D115A0"/>
    <w:rsid w:val="00D117AD"/>
    <w:rsid w:val="00D12848"/>
    <w:rsid w:val="00D135E3"/>
    <w:rsid w:val="00D13A1E"/>
    <w:rsid w:val="00D13B18"/>
    <w:rsid w:val="00D15033"/>
    <w:rsid w:val="00D152D2"/>
    <w:rsid w:val="00D15E0B"/>
    <w:rsid w:val="00D1627B"/>
    <w:rsid w:val="00D16849"/>
    <w:rsid w:val="00D20F19"/>
    <w:rsid w:val="00D21D10"/>
    <w:rsid w:val="00D22D5A"/>
    <w:rsid w:val="00D235B0"/>
    <w:rsid w:val="00D236E0"/>
    <w:rsid w:val="00D236FC"/>
    <w:rsid w:val="00D24727"/>
    <w:rsid w:val="00D24B35"/>
    <w:rsid w:val="00D258F7"/>
    <w:rsid w:val="00D260B8"/>
    <w:rsid w:val="00D267E4"/>
    <w:rsid w:val="00D26DF5"/>
    <w:rsid w:val="00D31C61"/>
    <w:rsid w:val="00D323EE"/>
    <w:rsid w:val="00D328C9"/>
    <w:rsid w:val="00D332DA"/>
    <w:rsid w:val="00D33846"/>
    <w:rsid w:val="00D33861"/>
    <w:rsid w:val="00D34EF9"/>
    <w:rsid w:val="00D35E48"/>
    <w:rsid w:val="00D36348"/>
    <w:rsid w:val="00D409BE"/>
    <w:rsid w:val="00D40E22"/>
    <w:rsid w:val="00D41E2D"/>
    <w:rsid w:val="00D42412"/>
    <w:rsid w:val="00D43644"/>
    <w:rsid w:val="00D438B1"/>
    <w:rsid w:val="00D451E8"/>
    <w:rsid w:val="00D454B6"/>
    <w:rsid w:val="00D462C8"/>
    <w:rsid w:val="00D476A5"/>
    <w:rsid w:val="00D53606"/>
    <w:rsid w:val="00D55BB7"/>
    <w:rsid w:val="00D55D6A"/>
    <w:rsid w:val="00D605A9"/>
    <w:rsid w:val="00D61722"/>
    <w:rsid w:val="00D61F97"/>
    <w:rsid w:val="00D62269"/>
    <w:rsid w:val="00D63E43"/>
    <w:rsid w:val="00D65B34"/>
    <w:rsid w:val="00D66B85"/>
    <w:rsid w:val="00D66E82"/>
    <w:rsid w:val="00D719DE"/>
    <w:rsid w:val="00D71E13"/>
    <w:rsid w:val="00D7292C"/>
    <w:rsid w:val="00D72E45"/>
    <w:rsid w:val="00D73226"/>
    <w:rsid w:val="00D73A99"/>
    <w:rsid w:val="00D73FD9"/>
    <w:rsid w:val="00D748FE"/>
    <w:rsid w:val="00D749C3"/>
    <w:rsid w:val="00D74DA8"/>
    <w:rsid w:val="00D76672"/>
    <w:rsid w:val="00D76884"/>
    <w:rsid w:val="00D76BD1"/>
    <w:rsid w:val="00D76D95"/>
    <w:rsid w:val="00D7775E"/>
    <w:rsid w:val="00D77E27"/>
    <w:rsid w:val="00D77FCF"/>
    <w:rsid w:val="00D803A9"/>
    <w:rsid w:val="00D80BD1"/>
    <w:rsid w:val="00D83A79"/>
    <w:rsid w:val="00D83E09"/>
    <w:rsid w:val="00D8408F"/>
    <w:rsid w:val="00D843EF"/>
    <w:rsid w:val="00D845C4"/>
    <w:rsid w:val="00D84EAB"/>
    <w:rsid w:val="00D85F18"/>
    <w:rsid w:val="00D871EC"/>
    <w:rsid w:val="00D9054D"/>
    <w:rsid w:val="00D90866"/>
    <w:rsid w:val="00D91088"/>
    <w:rsid w:val="00D912BE"/>
    <w:rsid w:val="00D916C3"/>
    <w:rsid w:val="00D92660"/>
    <w:rsid w:val="00D92A80"/>
    <w:rsid w:val="00D9583F"/>
    <w:rsid w:val="00D958B4"/>
    <w:rsid w:val="00D95954"/>
    <w:rsid w:val="00D95DE8"/>
    <w:rsid w:val="00D95E3F"/>
    <w:rsid w:val="00DA0159"/>
    <w:rsid w:val="00DA0DA0"/>
    <w:rsid w:val="00DA1E4F"/>
    <w:rsid w:val="00DA28BE"/>
    <w:rsid w:val="00DA3B0C"/>
    <w:rsid w:val="00DA5092"/>
    <w:rsid w:val="00DA6301"/>
    <w:rsid w:val="00DA74EA"/>
    <w:rsid w:val="00DB1750"/>
    <w:rsid w:val="00DB28D0"/>
    <w:rsid w:val="00DB2EB4"/>
    <w:rsid w:val="00DB3927"/>
    <w:rsid w:val="00DB4398"/>
    <w:rsid w:val="00DB4719"/>
    <w:rsid w:val="00DB5D7F"/>
    <w:rsid w:val="00DB72EB"/>
    <w:rsid w:val="00DB77E5"/>
    <w:rsid w:val="00DC01BF"/>
    <w:rsid w:val="00DC0421"/>
    <w:rsid w:val="00DC0948"/>
    <w:rsid w:val="00DC0A7A"/>
    <w:rsid w:val="00DC13DA"/>
    <w:rsid w:val="00DC1498"/>
    <w:rsid w:val="00DC1A2A"/>
    <w:rsid w:val="00DC2585"/>
    <w:rsid w:val="00DC298D"/>
    <w:rsid w:val="00DC44EA"/>
    <w:rsid w:val="00DC4BBD"/>
    <w:rsid w:val="00DC4E08"/>
    <w:rsid w:val="00DC5E2F"/>
    <w:rsid w:val="00DC60FC"/>
    <w:rsid w:val="00DC6ED3"/>
    <w:rsid w:val="00DD1125"/>
    <w:rsid w:val="00DD13FB"/>
    <w:rsid w:val="00DD1D26"/>
    <w:rsid w:val="00DD24BA"/>
    <w:rsid w:val="00DD25AC"/>
    <w:rsid w:val="00DD35F6"/>
    <w:rsid w:val="00DD40F8"/>
    <w:rsid w:val="00DD495C"/>
    <w:rsid w:val="00DD7857"/>
    <w:rsid w:val="00DE006A"/>
    <w:rsid w:val="00DE08FC"/>
    <w:rsid w:val="00DE25BA"/>
    <w:rsid w:val="00DE26E7"/>
    <w:rsid w:val="00DE45B3"/>
    <w:rsid w:val="00DE45C8"/>
    <w:rsid w:val="00DE4DEE"/>
    <w:rsid w:val="00DE5913"/>
    <w:rsid w:val="00DE6F8A"/>
    <w:rsid w:val="00DE73D2"/>
    <w:rsid w:val="00DE7AAD"/>
    <w:rsid w:val="00DF250A"/>
    <w:rsid w:val="00DF33B3"/>
    <w:rsid w:val="00DF39B8"/>
    <w:rsid w:val="00DF47B2"/>
    <w:rsid w:val="00DF492A"/>
    <w:rsid w:val="00DF54EF"/>
    <w:rsid w:val="00DF5F98"/>
    <w:rsid w:val="00DF6035"/>
    <w:rsid w:val="00DF6460"/>
    <w:rsid w:val="00DF6BFC"/>
    <w:rsid w:val="00DF6E27"/>
    <w:rsid w:val="00DF79BB"/>
    <w:rsid w:val="00DF7C0F"/>
    <w:rsid w:val="00E002B4"/>
    <w:rsid w:val="00E00560"/>
    <w:rsid w:val="00E00C71"/>
    <w:rsid w:val="00E00E0B"/>
    <w:rsid w:val="00E04DD5"/>
    <w:rsid w:val="00E04E9B"/>
    <w:rsid w:val="00E05566"/>
    <w:rsid w:val="00E05739"/>
    <w:rsid w:val="00E0636B"/>
    <w:rsid w:val="00E0688F"/>
    <w:rsid w:val="00E06A53"/>
    <w:rsid w:val="00E06CC5"/>
    <w:rsid w:val="00E06FF8"/>
    <w:rsid w:val="00E1112F"/>
    <w:rsid w:val="00E1114E"/>
    <w:rsid w:val="00E11595"/>
    <w:rsid w:val="00E12191"/>
    <w:rsid w:val="00E12B60"/>
    <w:rsid w:val="00E1377B"/>
    <w:rsid w:val="00E156B2"/>
    <w:rsid w:val="00E1598A"/>
    <w:rsid w:val="00E15DE9"/>
    <w:rsid w:val="00E173BE"/>
    <w:rsid w:val="00E202EC"/>
    <w:rsid w:val="00E209BD"/>
    <w:rsid w:val="00E209F2"/>
    <w:rsid w:val="00E23353"/>
    <w:rsid w:val="00E2390A"/>
    <w:rsid w:val="00E23D97"/>
    <w:rsid w:val="00E24059"/>
    <w:rsid w:val="00E24EE6"/>
    <w:rsid w:val="00E25EF0"/>
    <w:rsid w:val="00E264AA"/>
    <w:rsid w:val="00E27916"/>
    <w:rsid w:val="00E27A06"/>
    <w:rsid w:val="00E27F7B"/>
    <w:rsid w:val="00E27FDF"/>
    <w:rsid w:val="00E300AD"/>
    <w:rsid w:val="00E32D74"/>
    <w:rsid w:val="00E344F5"/>
    <w:rsid w:val="00E34844"/>
    <w:rsid w:val="00E3602F"/>
    <w:rsid w:val="00E36344"/>
    <w:rsid w:val="00E3752C"/>
    <w:rsid w:val="00E3789E"/>
    <w:rsid w:val="00E400E4"/>
    <w:rsid w:val="00E4050B"/>
    <w:rsid w:val="00E4159F"/>
    <w:rsid w:val="00E4378A"/>
    <w:rsid w:val="00E4408D"/>
    <w:rsid w:val="00E440CF"/>
    <w:rsid w:val="00E4480E"/>
    <w:rsid w:val="00E4540D"/>
    <w:rsid w:val="00E45D08"/>
    <w:rsid w:val="00E45EC7"/>
    <w:rsid w:val="00E460C2"/>
    <w:rsid w:val="00E46401"/>
    <w:rsid w:val="00E467FE"/>
    <w:rsid w:val="00E46A15"/>
    <w:rsid w:val="00E46CC1"/>
    <w:rsid w:val="00E52423"/>
    <w:rsid w:val="00E52E25"/>
    <w:rsid w:val="00E54974"/>
    <w:rsid w:val="00E54CBA"/>
    <w:rsid w:val="00E56004"/>
    <w:rsid w:val="00E5616B"/>
    <w:rsid w:val="00E57265"/>
    <w:rsid w:val="00E57B51"/>
    <w:rsid w:val="00E61358"/>
    <w:rsid w:val="00E61B09"/>
    <w:rsid w:val="00E63179"/>
    <w:rsid w:val="00E643B4"/>
    <w:rsid w:val="00E66CF2"/>
    <w:rsid w:val="00E677FA"/>
    <w:rsid w:val="00E67F13"/>
    <w:rsid w:val="00E70A8F"/>
    <w:rsid w:val="00E71B87"/>
    <w:rsid w:val="00E71EA0"/>
    <w:rsid w:val="00E72884"/>
    <w:rsid w:val="00E728EB"/>
    <w:rsid w:val="00E733C6"/>
    <w:rsid w:val="00E7397B"/>
    <w:rsid w:val="00E7429F"/>
    <w:rsid w:val="00E74360"/>
    <w:rsid w:val="00E744F1"/>
    <w:rsid w:val="00E76E66"/>
    <w:rsid w:val="00E77AE7"/>
    <w:rsid w:val="00E824E9"/>
    <w:rsid w:val="00E83E81"/>
    <w:rsid w:val="00E84B61"/>
    <w:rsid w:val="00E8767B"/>
    <w:rsid w:val="00E909CF"/>
    <w:rsid w:val="00E90FE0"/>
    <w:rsid w:val="00E91200"/>
    <w:rsid w:val="00E912BD"/>
    <w:rsid w:val="00E91BCB"/>
    <w:rsid w:val="00E91D09"/>
    <w:rsid w:val="00E93D50"/>
    <w:rsid w:val="00E9449A"/>
    <w:rsid w:val="00E9482E"/>
    <w:rsid w:val="00E949EF"/>
    <w:rsid w:val="00E94D7C"/>
    <w:rsid w:val="00EA07F7"/>
    <w:rsid w:val="00EA2393"/>
    <w:rsid w:val="00EA2880"/>
    <w:rsid w:val="00EA32D2"/>
    <w:rsid w:val="00EA4C23"/>
    <w:rsid w:val="00EA72F9"/>
    <w:rsid w:val="00EA7E91"/>
    <w:rsid w:val="00EB0069"/>
    <w:rsid w:val="00EB0B8E"/>
    <w:rsid w:val="00EB0F33"/>
    <w:rsid w:val="00EB1011"/>
    <w:rsid w:val="00EB20F6"/>
    <w:rsid w:val="00EB3689"/>
    <w:rsid w:val="00EB481D"/>
    <w:rsid w:val="00EB481F"/>
    <w:rsid w:val="00EB5CAC"/>
    <w:rsid w:val="00EB61C1"/>
    <w:rsid w:val="00EC0D8B"/>
    <w:rsid w:val="00EC1747"/>
    <w:rsid w:val="00EC209B"/>
    <w:rsid w:val="00EC2359"/>
    <w:rsid w:val="00EC295E"/>
    <w:rsid w:val="00EC2CD4"/>
    <w:rsid w:val="00EC4038"/>
    <w:rsid w:val="00EC450F"/>
    <w:rsid w:val="00EC45A4"/>
    <w:rsid w:val="00EC5989"/>
    <w:rsid w:val="00EC5A38"/>
    <w:rsid w:val="00EC5FAC"/>
    <w:rsid w:val="00EC6494"/>
    <w:rsid w:val="00EC65DD"/>
    <w:rsid w:val="00EC6859"/>
    <w:rsid w:val="00EC6DE7"/>
    <w:rsid w:val="00EC7966"/>
    <w:rsid w:val="00EC7CFF"/>
    <w:rsid w:val="00ED0EE1"/>
    <w:rsid w:val="00ED232A"/>
    <w:rsid w:val="00ED2A4B"/>
    <w:rsid w:val="00ED2FD6"/>
    <w:rsid w:val="00ED4CB2"/>
    <w:rsid w:val="00ED6549"/>
    <w:rsid w:val="00ED7295"/>
    <w:rsid w:val="00ED7BFF"/>
    <w:rsid w:val="00EE0679"/>
    <w:rsid w:val="00EE13A5"/>
    <w:rsid w:val="00EE19C0"/>
    <w:rsid w:val="00EE1A1C"/>
    <w:rsid w:val="00EE23ED"/>
    <w:rsid w:val="00EE2815"/>
    <w:rsid w:val="00EE2B8F"/>
    <w:rsid w:val="00EE485D"/>
    <w:rsid w:val="00EE4B5D"/>
    <w:rsid w:val="00EE6FF8"/>
    <w:rsid w:val="00EE7C8C"/>
    <w:rsid w:val="00EE7E3B"/>
    <w:rsid w:val="00EE7E63"/>
    <w:rsid w:val="00EF002F"/>
    <w:rsid w:val="00EF0331"/>
    <w:rsid w:val="00EF035E"/>
    <w:rsid w:val="00EF0E57"/>
    <w:rsid w:val="00EF28E5"/>
    <w:rsid w:val="00EF28F6"/>
    <w:rsid w:val="00EF37E4"/>
    <w:rsid w:val="00EF387F"/>
    <w:rsid w:val="00EF3E40"/>
    <w:rsid w:val="00EF474C"/>
    <w:rsid w:val="00EF484F"/>
    <w:rsid w:val="00EF4916"/>
    <w:rsid w:val="00EF4EA5"/>
    <w:rsid w:val="00EF6B1B"/>
    <w:rsid w:val="00EF717B"/>
    <w:rsid w:val="00F01538"/>
    <w:rsid w:val="00F0249A"/>
    <w:rsid w:val="00F02B40"/>
    <w:rsid w:val="00F0388D"/>
    <w:rsid w:val="00F03EF7"/>
    <w:rsid w:val="00F0461D"/>
    <w:rsid w:val="00F04C78"/>
    <w:rsid w:val="00F04F4D"/>
    <w:rsid w:val="00F076B7"/>
    <w:rsid w:val="00F100EC"/>
    <w:rsid w:val="00F10A79"/>
    <w:rsid w:val="00F10C5F"/>
    <w:rsid w:val="00F1225E"/>
    <w:rsid w:val="00F12B35"/>
    <w:rsid w:val="00F12CA4"/>
    <w:rsid w:val="00F13414"/>
    <w:rsid w:val="00F138AF"/>
    <w:rsid w:val="00F13B16"/>
    <w:rsid w:val="00F141D5"/>
    <w:rsid w:val="00F143A0"/>
    <w:rsid w:val="00F14C8B"/>
    <w:rsid w:val="00F14E5F"/>
    <w:rsid w:val="00F15D8F"/>
    <w:rsid w:val="00F16A06"/>
    <w:rsid w:val="00F20159"/>
    <w:rsid w:val="00F2100E"/>
    <w:rsid w:val="00F22060"/>
    <w:rsid w:val="00F226E7"/>
    <w:rsid w:val="00F22A61"/>
    <w:rsid w:val="00F23051"/>
    <w:rsid w:val="00F23690"/>
    <w:rsid w:val="00F23780"/>
    <w:rsid w:val="00F24BA2"/>
    <w:rsid w:val="00F255A4"/>
    <w:rsid w:val="00F26D52"/>
    <w:rsid w:val="00F2743A"/>
    <w:rsid w:val="00F278AB"/>
    <w:rsid w:val="00F30EA8"/>
    <w:rsid w:val="00F31B77"/>
    <w:rsid w:val="00F32883"/>
    <w:rsid w:val="00F34140"/>
    <w:rsid w:val="00F341CB"/>
    <w:rsid w:val="00F347A7"/>
    <w:rsid w:val="00F34CD3"/>
    <w:rsid w:val="00F358B5"/>
    <w:rsid w:val="00F375A2"/>
    <w:rsid w:val="00F40125"/>
    <w:rsid w:val="00F413EE"/>
    <w:rsid w:val="00F43195"/>
    <w:rsid w:val="00F435E8"/>
    <w:rsid w:val="00F441F4"/>
    <w:rsid w:val="00F460B1"/>
    <w:rsid w:val="00F462C9"/>
    <w:rsid w:val="00F46EE9"/>
    <w:rsid w:val="00F477AD"/>
    <w:rsid w:val="00F477E9"/>
    <w:rsid w:val="00F477F2"/>
    <w:rsid w:val="00F47A96"/>
    <w:rsid w:val="00F507D9"/>
    <w:rsid w:val="00F51083"/>
    <w:rsid w:val="00F518BE"/>
    <w:rsid w:val="00F53FA2"/>
    <w:rsid w:val="00F56604"/>
    <w:rsid w:val="00F56982"/>
    <w:rsid w:val="00F56A71"/>
    <w:rsid w:val="00F601D6"/>
    <w:rsid w:val="00F6022C"/>
    <w:rsid w:val="00F61AED"/>
    <w:rsid w:val="00F62CE4"/>
    <w:rsid w:val="00F62DD6"/>
    <w:rsid w:val="00F6456C"/>
    <w:rsid w:val="00F64C68"/>
    <w:rsid w:val="00F64F22"/>
    <w:rsid w:val="00F6511D"/>
    <w:rsid w:val="00F66004"/>
    <w:rsid w:val="00F66F09"/>
    <w:rsid w:val="00F670C8"/>
    <w:rsid w:val="00F67465"/>
    <w:rsid w:val="00F67D5D"/>
    <w:rsid w:val="00F710AB"/>
    <w:rsid w:val="00F71FEA"/>
    <w:rsid w:val="00F72F41"/>
    <w:rsid w:val="00F733F2"/>
    <w:rsid w:val="00F73E28"/>
    <w:rsid w:val="00F73E3A"/>
    <w:rsid w:val="00F74129"/>
    <w:rsid w:val="00F74666"/>
    <w:rsid w:val="00F747E9"/>
    <w:rsid w:val="00F76A47"/>
    <w:rsid w:val="00F76E69"/>
    <w:rsid w:val="00F77E84"/>
    <w:rsid w:val="00F8016A"/>
    <w:rsid w:val="00F80AB7"/>
    <w:rsid w:val="00F819D5"/>
    <w:rsid w:val="00F81BF0"/>
    <w:rsid w:val="00F83545"/>
    <w:rsid w:val="00F83B6F"/>
    <w:rsid w:val="00F8419F"/>
    <w:rsid w:val="00F849CB"/>
    <w:rsid w:val="00F8527C"/>
    <w:rsid w:val="00F852CE"/>
    <w:rsid w:val="00F853B6"/>
    <w:rsid w:val="00F85540"/>
    <w:rsid w:val="00F86E51"/>
    <w:rsid w:val="00F87EED"/>
    <w:rsid w:val="00F901FA"/>
    <w:rsid w:val="00F91045"/>
    <w:rsid w:val="00F911C3"/>
    <w:rsid w:val="00F915F2"/>
    <w:rsid w:val="00F91B64"/>
    <w:rsid w:val="00F93588"/>
    <w:rsid w:val="00F93BB5"/>
    <w:rsid w:val="00F94BE3"/>
    <w:rsid w:val="00F95350"/>
    <w:rsid w:val="00F95F66"/>
    <w:rsid w:val="00F960C9"/>
    <w:rsid w:val="00F973AC"/>
    <w:rsid w:val="00F97907"/>
    <w:rsid w:val="00F97A45"/>
    <w:rsid w:val="00FA0985"/>
    <w:rsid w:val="00FA3493"/>
    <w:rsid w:val="00FA3E32"/>
    <w:rsid w:val="00FA4A25"/>
    <w:rsid w:val="00FA4C3B"/>
    <w:rsid w:val="00FA4D7F"/>
    <w:rsid w:val="00FA5ECB"/>
    <w:rsid w:val="00FA6A6C"/>
    <w:rsid w:val="00FA7389"/>
    <w:rsid w:val="00FA79D0"/>
    <w:rsid w:val="00FA7DCC"/>
    <w:rsid w:val="00FB101B"/>
    <w:rsid w:val="00FB12ED"/>
    <w:rsid w:val="00FB2560"/>
    <w:rsid w:val="00FB3ECE"/>
    <w:rsid w:val="00FB4D8F"/>
    <w:rsid w:val="00FB5451"/>
    <w:rsid w:val="00FB64A8"/>
    <w:rsid w:val="00FB7DD4"/>
    <w:rsid w:val="00FB7E9A"/>
    <w:rsid w:val="00FC0148"/>
    <w:rsid w:val="00FC0BCE"/>
    <w:rsid w:val="00FC1FA3"/>
    <w:rsid w:val="00FC33D7"/>
    <w:rsid w:val="00FC50FD"/>
    <w:rsid w:val="00FC6E72"/>
    <w:rsid w:val="00FC709F"/>
    <w:rsid w:val="00FD250D"/>
    <w:rsid w:val="00FD2661"/>
    <w:rsid w:val="00FD2D25"/>
    <w:rsid w:val="00FD57E3"/>
    <w:rsid w:val="00FD5B27"/>
    <w:rsid w:val="00FD7A01"/>
    <w:rsid w:val="00FE0C1B"/>
    <w:rsid w:val="00FE121B"/>
    <w:rsid w:val="00FE3C64"/>
    <w:rsid w:val="00FE3D33"/>
    <w:rsid w:val="00FE5A94"/>
    <w:rsid w:val="00FE6719"/>
    <w:rsid w:val="00FE6B23"/>
    <w:rsid w:val="00FE734B"/>
    <w:rsid w:val="00FE74F3"/>
    <w:rsid w:val="00FE7A31"/>
    <w:rsid w:val="00FF1440"/>
    <w:rsid w:val="00FF16D0"/>
    <w:rsid w:val="00FF188F"/>
    <w:rsid w:val="00FF2303"/>
    <w:rsid w:val="00FF2367"/>
    <w:rsid w:val="00FF35FC"/>
    <w:rsid w:val="00FF3674"/>
    <w:rsid w:val="00FF3918"/>
    <w:rsid w:val="00FF6B29"/>
    <w:rsid w:val="00FF71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434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egistrucentr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artner-finder.oracle.com/catalog/?search=%5B%7B%221%22%3A%22filter-location%22%2C%222%22%3A%22%22%2C%223%22%3A%5B%22location2271%22%5D%2C%224%22%3A%22%22%7D%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2923</Words>
  <Characters>16662</Characters>
  <Application>Microsoft Office Word</Application>
  <DocSecurity>0</DocSecurity>
  <Lines>138</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54</cp:revision>
  <cp:lastPrinted>2025-01-17T11:33:00Z</cp:lastPrinted>
  <dcterms:created xsi:type="dcterms:W3CDTF">2025-01-20T11:27:00Z</dcterms:created>
  <dcterms:modified xsi:type="dcterms:W3CDTF">2025-01-22T08:55:00Z</dcterms:modified>
</cp:coreProperties>
</file>