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DE5A4" w14:textId="77777777" w:rsidR="00D57C0D" w:rsidRPr="003D4E47" w:rsidRDefault="00CB372F" w:rsidP="00D57C0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object w:dxaOrig="1440" w:dyaOrig="1440" w14:anchorId="50D831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747828330" r:id="rId9"/>
        </w:object>
      </w:r>
    </w:p>
    <w:p w14:paraId="48BF9E6B" w14:textId="77777777" w:rsidR="00D57C0D" w:rsidRPr="003D4E47" w:rsidRDefault="00D57C0D" w:rsidP="00D57C0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2D408A" w14:textId="77777777" w:rsidR="00D57C0D" w:rsidRPr="003D4E47" w:rsidRDefault="00D57C0D" w:rsidP="00D57C0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BDFEBC5" w14:textId="5A88AA89" w:rsidR="00D57C0D" w:rsidRPr="003D4E47" w:rsidRDefault="00D57C0D" w:rsidP="000C6C36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D4E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VIEŠŲJŲ PIRKIMŲ TARNYBA</w:t>
      </w:r>
    </w:p>
    <w:p w14:paraId="286490ED" w14:textId="4D74CDA9" w:rsidR="00D57C0D" w:rsidRPr="003D4E47" w:rsidRDefault="00D57C0D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5189BF4" w14:textId="77777777" w:rsidR="00D57C0D" w:rsidRPr="003D4E47" w:rsidRDefault="00D57C0D" w:rsidP="00D57C0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D57C0D" w:rsidRPr="003D4E47" w14:paraId="2CDF8AD2" w14:textId="77777777" w:rsidTr="005751A1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0C23C0E7" w14:textId="38DFE296" w:rsidR="00D57C0D" w:rsidRDefault="004B259C" w:rsidP="005751A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Lietuvos Respublikos valstybės </w:t>
            </w:r>
          </w:p>
          <w:p w14:paraId="418B8CC5" w14:textId="37DB93C5" w:rsidR="004B259C" w:rsidRPr="004B259C" w:rsidRDefault="004B259C" w:rsidP="005751A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saugumo departamentui</w:t>
            </w:r>
          </w:p>
          <w:p w14:paraId="52AC088D" w14:textId="028711E7" w:rsidR="00595888" w:rsidRPr="003D4E47" w:rsidRDefault="004B259C" w:rsidP="005751A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Pilaitės pr.</w:t>
            </w:r>
            <w:r w:rsidR="005E3ED0" w:rsidRPr="003D4E4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  <w:r w:rsidR="005B6A60" w:rsidRPr="003D4E4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66ABF713" w14:textId="1DB78457" w:rsidR="00D57C0D" w:rsidRPr="003D4E47" w:rsidRDefault="004B259C" w:rsidP="000C6C3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B259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06264 </w:t>
            </w:r>
            <w:r w:rsidR="005E3ED0" w:rsidRPr="003D4E4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Vilnius</w:t>
            </w:r>
          </w:p>
          <w:p w14:paraId="661B8D5A" w14:textId="77777777" w:rsidR="000C6C36" w:rsidRPr="003D4E47" w:rsidRDefault="000C6C36" w:rsidP="000C6C3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E3282A5" w14:textId="3C16F3B8" w:rsidR="00D57C0D" w:rsidRPr="003D4E47" w:rsidRDefault="00D57C0D" w:rsidP="005751A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E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El. p.: </w:t>
            </w:r>
            <w:r w:rsidR="005E3ED0" w:rsidRPr="003D4E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4B25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sd</w:t>
            </w:r>
            <w:r w:rsidRPr="003D4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="005E3ED0" w:rsidRPr="003D4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="004B2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sd</w:t>
            </w:r>
            <w:r w:rsidR="00D95337" w:rsidRPr="003D4E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.lt</w:t>
            </w:r>
          </w:p>
          <w:p w14:paraId="22CADF9E" w14:textId="77777777" w:rsidR="00D57C0D" w:rsidRPr="003D4E47" w:rsidRDefault="00D57C0D" w:rsidP="005751A1">
            <w:pPr>
              <w:tabs>
                <w:tab w:val="left" w:pos="900"/>
              </w:tabs>
              <w:spacing w:after="0"/>
              <w:ind w:left="-9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BF1649F" w14:textId="63088B05" w:rsidR="00D57C0D" w:rsidRPr="003D4E47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E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20</w:t>
            </w:r>
            <w:r w:rsidR="00CB1AD4" w:rsidRPr="003D4E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130B1" w:rsidRPr="003D4E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3D4E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130B1" w:rsidRPr="003D4E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207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3D4E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56AE18C1" w14:textId="6483BB2B" w:rsidR="00D57C0D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E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Į 20</w:t>
            </w:r>
            <w:r w:rsidR="00CB1AD4" w:rsidRPr="003D4E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130B1" w:rsidRPr="003D4E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3D4E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130B1" w:rsidRPr="003D4E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 w:rsidRPr="003D4E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DA534E" w:rsidRPr="003D4E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B25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  <w:p w14:paraId="56FDAA62" w14:textId="2025C8BE" w:rsidR="00227C18" w:rsidRDefault="00227C18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2023-06-02</w:t>
            </w:r>
          </w:p>
          <w:p w14:paraId="51E45536" w14:textId="77777777" w:rsidR="00227C18" w:rsidRDefault="00227C18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C05CC6" w14:textId="77777777" w:rsidR="00207FEE" w:rsidRPr="003D4E47" w:rsidRDefault="00207FEE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F87AA7" w14:textId="34C0BFFE" w:rsidR="00FD41F4" w:rsidRPr="003D4E47" w:rsidRDefault="00FD41F4" w:rsidP="004B259C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865101" w14:textId="77777777" w:rsidR="00D57C0D" w:rsidRPr="003D4E47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E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</w:p>
          <w:p w14:paraId="5772482F" w14:textId="17952FAD" w:rsidR="00D57C0D" w:rsidRPr="003D4E47" w:rsidRDefault="00D57C0D" w:rsidP="005751A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E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 w:rsidR="00C35580" w:rsidRPr="003D4E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56481E98" w14:textId="380D6618" w:rsidR="00D57C0D" w:rsidRPr="003D4E47" w:rsidRDefault="00D57C0D" w:rsidP="005751A1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4E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4S-</w:t>
            </w:r>
            <w:r w:rsidR="003130B1" w:rsidRPr="003D4E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F2044F" w:rsidRPr="003D4E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(8.</w:t>
            </w:r>
            <w:r w:rsidR="00E60E22" w:rsidRPr="003D4E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B25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="004B25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Mr</w:t>
            </w:r>
            <w:proofErr w:type="spellEnd"/>
            <w:r w:rsidR="00F2044F" w:rsidRPr="003D4E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7CAA029" w14:textId="3BE04BF6" w:rsidR="00D57C0D" w:rsidRPr="004B259C" w:rsidRDefault="004B259C" w:rsidP="005751A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18-5470</w:t>
            </w:r>
          </w:p>
          <w:p w14:paraId="76E43C05" w14:textId="3A8CE983" w:rsidR="00D57C0D" w:rsidRPr="003D4E47" w:rsidRDefault="00227C18" w:rsidP="004B259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gautą el. paštu</w:t>
            </w:r>
          </w:p>
        </w:tc>
      </w:tr>
    </w:tbl>
    <w:p w14:paraId="48106F6B" w14:textId="2BEA5602" w:rsidR="00D57C0D" w:rsidRPr="003D4E47" w:rsidRDefault="00D57C0D" w:rsidP="0030166F">
      <w:pPr>
        <w:tabs>
          <w:tab w:val="left" w:pos="1134"/>
        </w:tabs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D4E47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SPRENDIMAS dėl sutikimo VYKDYTI </w:t>
      </w:r>
      <w:r w:rsidR="00BC1A3D" w:rsidRPr="003D4E47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PIRKIM</w:t>
      </w:r>
      <w:r w:rsidR="002C0BD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ą</w:t>
      </w:r>
      <w:r w:rsidR="00BC1A3D" w:rsidRPr="003D4E47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</w:t>
      </w:r>
      <w:r w:rsidRPr="003D4E47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NESKELBIAMŲ DERYBŲ BŪDU</w:t>
      </w:r>
    </w:p>
    <w:p w14:paraId="398F4658" w14:textId="0D0371D3" w:rsidR="00D57C0D" w:rsidRPr="003D4E47" w:rsidRDefault="00D57C0D" w:rsidP="00D57C0D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17CAF2" w14:textId="777CF150" w:rsidR="004B259C" w:rsidRDefault="00C76FD2" w:rsidP="004B25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D4E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Viešųjų pirkimų tarnyba (toliau – Tarnyba), vadovaudamasi </w:t>
      </w:r>
      <w:r w:rsidR="004B259C" w:rsidRPr="00B624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Lietuvos Respublikos viešųjų pirkimų, atliekamų gynybos ir saugumo srityje, įstatymo (toliau – Įstatymas) 9 straipsnio 2 dalies 6 punkto nuostatomis, išnagrinėjo Lietuvos Respublikos valstybės saugumo departamento (toliau – Perkančioji organizacija) prašymą sutikti </w:t>
      </w:r>
      <w:r w:rsidR="004B259C" w:rsidRPr="00B62453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Specializuotos techninės ir programinės</w:t>
      </w:r>
      <w:r w:rsidR="004B259C" w:rsidRPr="004B259C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įrangos, skirtos mobiliojo ryšio tinklo galinio įrenginio vietos nustatymui įmonės „Telia Lietuva“ AB, UAB „Tele 2“ ir UAB „Bitė Lietuva“ 2G/3G/4G/5G tinkluose (tinklų komutacijos mazguose) ir mobiliojo ryšio tinklo galinio įrenginio vietos nustatymo sistemos aukšto patikimumo bei prieinamumo užtikrinimui, pirkimą</w:t>
      </w:r>
      <w:r w:rsidR="004B259C" w:rsidRPr="004B25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(toliau – Pirkimas)</w:t>
      </w:r>
      <w:r w:rsidR="004B25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B259C" w:rsidRPr="004B25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vykdyti neskelbiamų derybų būdu, vadovaujantis Įstatymo 19 straipsnio 4 dalies 5 punkto nuostatomis.</w:t>
      </w:r>
    </w:p>
    <w:p w14:paraId="565AF644" w14:textId="00BEF8B1" w:rsidR="00AF6F92" w:rsidRPr="00BD0931" w:rsidRDefault="002C0BD6" w:rsidP="004B25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Nustatyta, </w:t>
      </w:r>
      <w:r w:rsidRPr="00B624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jog Lietuvos Respublikos ryšių reguliavimo tarnyba 2023 m. gegužės 5 d. pavedimo sutartimi Nr. 31-69/2023 įgaliojo Perkančiąją organizaciją atlikti Specializuotos techninės ir programinės įrangos, skirtos mobiliojo</w:t>
      </w:r>
      <w:r w:rsidRPr="002C0B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ryšio tinklo galinio įrenginio vietos nustatymui įmonės „Telia Lietuva“ AB, UAB „Tele 2“ ir UAB „Bitė Lietuva“ 2G/3G/4G/5G tinkluose (tinklų komutacijos mazguose) ir mobiliojo ryšio tinklo galinio įrenginio vietos nustatymo sistemos aukšto patikimumo bei prieinamumo užtikrinimui</w:t>
      </w:r>
      <w:r w:rsidR="008C5A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(toliau – specializuota įranga</w:t>
      </w:r>
      <w:r w:rsidR="008C5A4D">
        <w:rPr>
          <w:rStyle w:val="FootnoteReference"/>
          <w:rFonts w:ascii="Times New Roman" w:eastAsia="Calibri" w:hAnsi="Times New Roman" w:cs="Times New Roman"/>
          <w:color w:val="000000" w:themeColor="text1"/>
          <w:sz w:val="24"/>
          <w:szCs w:val="24"/>
        </w:rPr>
        <w:footnoteReference w:id="1"/>
      </w:r>
      <w:r w:rsidR="008C5A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  <w:r w:rsidRPr="002C0B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pirkimą</w:t>
      </w:r>
      <w:r w:rsidR="008C5A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pagal Pirkimo užduotį</w:t>
      </w:r>
      <w:r w:rsidR="00681C51">
        <w:rPr>
          <w:rStyle w:val="FootnoteReference"/>
          <w:rFonts w:ascii="Times New Roman" w:eastAsia="Calibri" w:hAnsi="Times New Roman" w:cs="Times New Roman"/>
          <w:color w:val="000000" w:themeColor="text1"/>
          <w:sz w:val="24"/>
          <w:szCs w:val="24"/>
        </w:rPr>
        <w:footnoteReference w:id="2"/>
      </w:r>
      <w:r w:rsidR="008C5A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6903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Pirkimo užduotyje nurodyta, jog UAB „Ericsson Lietuva“ šiuo metu yra įdiegusi kompanijos „Ericsson“ Pozicionavimo sistemos (angl. </w:t>
      </w:r>
      <w:r w:rsidR="0069032C" w:rsidRPr="0069032C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Ericsson Network Location</w:t>
      </w:r>
      <w:r w:rsidR="006903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 sprendimus galinio įrenginio vietos nustatymui </w:t>
      </w:r>
      <w:r w:rsidR="0069032C" w:rsidRPr="006903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="006903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G/3G/4G/5G tinkluose</w:t>
      </w:r>
      <w:r w:rsidR="00AF6F92">
        <w:rPr>
          <w:rStyle w:val="FootnoteReference"/>
          <w:rFonts w:ascii="Times New Roman" w:eastAsia="Calibri" w:hAnsi="Times New Roman" w:cs="Times New Roman"/>
          <w:color w:val="000000" w:themeColor="text1"/>
          <w:sz w:val="24"/>
          <w:szCs w:val="24"/>
        </w:rPr>
        <w:footnoteReference w:id="3"/>
      </w:r>
      <w:r w:rsidR="005A27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903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ir tuo tikslu naudoja specializuotą aparatinę ir programinę įrangą</w:t>
      </w:r>
      <w:r w:rsidR="0069032C" w:rsidRPr="00B624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FE6E34" w:rsidRPr="00B624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Perkančioji organizacija papildomai paaiškino</w:t>
      </w:r>
      <w:r w:rsidR="00FE6E34" w:rsidRPr="00B62453">
        <w:rPr>
          <w:rStyle w:val="FootnoteReference"/>
          <w:rFonts w:ascii="Times New Roman" w:eastAsia="Calibri" w:hAnsi="Times New Roman" w:cs="Times New Roman"/>
          <w:color w:val="000000" w:themeColor="text1"/>
          <w:sz w:val="24"/>
          <w:szCs w:val="24"/>
        </w:rPr>
        <w:footnoteReference w:id="4"/>
      </w:r>
      <w:r w:rsidR="00FE6E34" w:rsidRPr="00B624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jog Pirkimu siekiama</w:t>
      </w:r>
      <w:r w:rsidR="00BD0931" w:rsidRPr="00B624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FE6E34" w:rsidRPr="00B624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tobulin</w:t>
      </w:r>
      <w:r w:rsidR="00BD0931" w:rsidRPr="00B624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ant</w:t>
      </w:r>
      <w:r w:rsidR="00FE6E34" w:rsidRPr="00B624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iš tiekėjo UAB „Ericsson Lietuva“ </w:t>
      </w:r>
      <w:r w:rsidR="00BD0931" w:rsidRPr="00B6245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2017 metais įsigytos Pozicionavimo sistemos veikimą bei mažinant šios sistemos techninių gedimų, trikdžių ir neveikimo rizikas, išplėsti įdiegtą</w:t>
      </w:r>
      <w:r w:rsidR="00BD093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BD093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sistemą, įsigyjant papildomus komponentus Pozicionavimo sistemos aukšto patikimumo bei prieinamumo užtikrinimo sprendimui</w:t>
      </w:r>
      <w:r w:rsidR="008059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BD093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ir įsigyti Pozicionavimo sistemos programinės įrangos naujausią versiją kartu su šios sistemos darbui užtikrinti </w:t>
      </w:r>
      <w:r w:rsidR="00BD0931" w:rsidRPr="00BD093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="00BD093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024</w:t>
      </w:r>
      <w:r w:rsidR="007E10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BD093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2026 metais reikaling</w:t>
      </w:r>
      <w:r w:rsidR="008059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omi</w:t>
      </w:r>
      <w:r w:rsidR="00BD093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 programinės įrangos licencij</w:t>
      </w:r>
      <w:r w:rsidR="008059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omi</w:t>
      </w:r>
      <w:r w:rsidR="00BD093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 w:rsidR="008059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746EDCE1" w14:textId="36586842" w:rsidR="009E5129" w:rsidRPr="009E5129" w:rsidRDefault="005A270C" w:rsidP="00FB123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Perkančioji organizacija </w:t>
      </w:r>
      <w:r w:rsidR="008059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kartu su prašymu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pateikė UAB „Ericsson Lietuva“ </w:t>
      </w:r>
      <w:r w:rsidRPr="005A270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2023 m. kovo 31 d. ra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štą, kuriame nurodoma, jog </w:t>
      </w:r>
      <w:r w:rsidR="008059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Pozicionavimo sistemos mazguose NLS (angl. Network Location Server) ir NLG (</w:t>
      </w:r>
      <w:r w:rsidR="00FB12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angl. Network Location Gateway) naudojama kompanijos „HP“ aparatinė įranga ir kompanijos „Ericsson“ programinė įranga. </w:t>
      </w:r>
      <w:r w:rsidR="00FB1237" w:rsidRPr="00FB12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UAB „Ericsson Lietuva“</w:t>
      </w:r>
      <w:r w:rsidR="00FB12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pažymi, jog kompanija „Ericsson“ yra vienintel</w:t>
      </w:r>
      <w:r w:rsidR="008F6F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ė</w:t>
      </w:r>
      <w:r w:rsidR="00FB12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Pozicionavimo sistemos programinės įrangos bei susijusių licencijų nuosavybės teisių turėtoja ir platintoja bei nurodo, kad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Pozicionavimo sistemos programinė įranga yra pastoviai atnaujinama ir tobulinama, </w:t>
      </w:r>
      <w:r w:rsidR="00FB12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siekiant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atitikt</w:t>
      </w:r>
      <w:r w:rsidR="00FB12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ies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naujausi</w:t>
      </w:r>
      <w:r w:rsidR="00FB12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ų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461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funkcionalumo ir suderinamumo reikalavim</w:t>
      </w:r>
      <w:r w:rsidR="00FB12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ų</w:t>
      </w:r>
      <w:r w:rsidR="005461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su kitais tinklo mazgais. Kiekvienais metais išleidžiamos naujos Pozicionavimo sistemos </w:t>
      </w:r>
      <w:r w:rsidR="001F29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programinės įrangos versijos</w:t>
      </w:r>
      <w:r w:rsidR="00FB12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o k</w:t>
      </w:r>
      <w:r w:rsidR="001F295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iekviena programinės įrangos versija turi savo gyvavimo laiką (angl. Lyfe Cycle), kuris apibrėžia, kokiu laikotarpiu konkrečiai versijai yra išleidžiami atnaujinimai ir pataisymai, sprendžiamos problemos, kada palaikymas nutraukiamas</w:t>
      </w:r>
      <w:r w:rsidR="009E51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4B259C" w:rsidRPr="004B259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Atsižvelgiant į tai, </w:t>
      </w:r>
      <w:r w:rsidR="00FB123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kompanija „Ericsson“</w:t>
      </w:r>
      <w:r w:rsidR="004B259C" w:rsidRPr="004B259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rekomenduoja visuose mazguose naudoti tik naujausias programinės įrangos versijas</w:t>
      </w:r>
      <w:r w:rsidR="00FB123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, o š</w:t>
      </w:r>
      <w:r w:rsidR="009E512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iuo metu naudojama versija</w:t>
      </w:r>
      <w:r w:rsidR="009E5129">
        <w:rPr>
          <w:rStyle w:val="FootnoteReference"/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footnoteReference w:id="5"/>
      </w:r>
      <w:r w:rsidR="009E512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nebebus palaikoma, nuo 2023 m. gruodžio </w:t>
      </w:r>
      <w:r w:rsidR="009E5129" w:rsidRPr="009E512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31 d</w:t>
      </w:r>
      <w:r w:rsidR="009E512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</w:t>
      </w:r>
    </w:p>
    <w:p w14:paraId="1680C813" w14:textId="14DCC84F" w:rsidR="00FB1237" w:rsidRDefault="004B259C" w:rsidP="0099288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4B259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Siekiant, kad būtų užtikrintas tinkamas ir efektyvus integralaus informacijos kontrolės </w:t>
      </w:r>
      <w:r w:rsidR="00D43D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techninės</w:t>
      </w:r>
      <w:r w:rsidRPr="004B259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ir programinės įrangos komplekso veikimas, bei įvertinusi aukščiau nurodytas aplinkybes, </w:t>
      </w:r>
      <w:r w:rsidR="00D43D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Perkančiosios organizacijos viešųjų pirkimų komisija</w:t>
      </w:r>
      <w:r w:rsidRPr="004B259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43D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(toliau – Komisija) </w:t>
      </w:r>
      <w:r w:rsidRPr="004B259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nusprendė </w:t>
      </w:r>
      <w:r w:rsidR="00D43D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Pirkimą vykdyti </w:t>
      </w:r>
      <w:r w:rsidRPr="004B259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neskelbiamų derybų būdu</w:t>
      </w:r>
      <w:r w:rsidR="00D43D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,</w:t>
      </w:r>
      <w:r w:rsidRPr="004B259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vadovaujantis Įstatymo 19 straipsnio 4 dalies 5 punkto nuostatomis ir kreiptis į Tarnybą sutikimo dėl tokio pirkimo būdo pasirinkimo</w:t>
      </w:r>
      <w:r w:rsidRPr="004B259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vertAlign w:val="superscript"/>
        </w:rPr>
        <w:footnoteReference w:id="6"/>
      </w:r>
      <w:r w:rsidRPr="004B259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. Pažymėtina, kad UAB „Ericsson Lietuva“ yra kompanijos „Ericsson“ dukterinė įmonė bei vienintelis subjektas turintis išimtines teises Lietuvoje platinti kompanijos „Ericsson“ produktus, tame tarpe </w:t>
      </w:r>
      <w:r w:rsidR="00D43D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Pozicionavimo sistemos</w:t>
      </w:r>
      <w:r w:rsidRPr="004B259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programinę įrangą bei susijusias licencijas</w:t>
      </w:r>
      <w:r w:rsidRPr="004B259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vertAlign w:val="superscript"/>
        </w:rPr>
        <w:footnoteReference w:id="7"/>
      </w:r>
      <w:r w:rsidRPr="004B259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</w:t>
      </w:r>
      <w:r w:rsidR="00FB123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Perkančioji organizacija papildomai paaiškino</w:t>
      </w:r>
      <w:r w:rsidR="00FB1237">
        <w:rPr>
          <w:rStyle w:val="FootnoteReference"/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footnoteReference w:id="8"/>
      </w:r>
      <w:r w:rsidR="00FB123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jog </w:t>
      </w:r>
      <w:r w:rsidR="0099288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t</w:t>
      </w:r>
      <w:r w:rsidR="00FB1237" w:rsidRPr="00FB123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inkamo sprendimo veikimo užtikrinimas reikalauja aparatinės ir programinės įrangos </w:t>
      </w:r>
      <w:r w:rsidR="0099288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techninio suderinamumo</w:t>
      </w:r>
      <w:r w:rsidR="00FB1237" w:rsidRPr="00FB123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, atitinkamos komplektacijos ir konfigūravimo, gamyklinės programinės įrangos modifikacijos (</w:t>
      </w:r>
      <w:r w:rsidR="0099288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angl. </w:t>
      </w:r>
      <w:r w:rsidR="00FB1237" w:rsidRPr="00FB123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firmware) ir (arba) jų specifinio pritaikymo su programine įranga. Pozicionavimo sistemos aparatinės įrangos, reikalingos sprendimo įgyvendinimui, techninius parametrus ir konfigūravimą gali nustatyti ir atlikti tik </w:t>
      </w:r>
      <w:r w:rsidR="0099288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Pozicionavimo sistemos </w:t>
      </w:r>
      <w:r w:rsidR="00D3759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gamintojas</w:t>
      </w:r>
      <w:r w:rsidR="0099288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t. y. </w:t>
      </w:r>
      <w:r w:rsidR="00FB1237" w:rsidRPr="00FB123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kompanija „Ericsson“.</w:t>
      </w:r>
    </w:p>
    <w:p w14:paraId="0970889D" w14:textId="6E6D5C6F" w:rsidR="00D43D39" w:rsidRPr="00D43D39" w:rsidRDefault="00D43D39" w:rsidP="00D43D3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Pirkimo vertė –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en-US"/>
        </w:rPr>
        <w:t>585 206,61 Eur be PVM.</w:t>
      </w:r>
    </w:p>
    <w:p w14:paraId="2C276786" w14:textId="77777777" w:rsidR="004B259C" w:rsidRPr="004B259C" w:rsidRDefault="004B259C" w:rsidP="004B25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4B259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Įstatymo 19 straipsnio 4 dalies 5 punkto nuostatose įtvirtinta, kad prekių, paslaugų ir darbų pirkimas neskelbiamų derybų būdu galimas, jeigu yra ši sąlyga: </w:t>
      </w:r>
      <w:r w:rsidRPr="004B259C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„jeigu dėl techninių priežasčių arba dėl priežasčių, susijusių su išimtinių teisių apsauga, pirkimo sutartis gali būti sudaroma su konkrečiu tiekėju“. </w:t>
      </w:r>
    </w:p>
    <w:p w14:paraId="7EBB5AB7" w14:textId="233DC7DB" w:rsidR="004B259C" w:rsidRPr="004B259C" w:rsidRDefault="004B259C" w:rsidP="003A3BC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4B259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Perkančiosios organizacijos prašyme nurodytos aplinkybės, pateikti dokumentai bei papildomai pateikta informacija patvirtina, jog </w:t>
      </w:r>
      <w:r w:rsidRPr="00D43D3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Pirkimu</w:t>
      </w:r>
      <w:r w:rsidRPr="004B259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siekiamą įsigyti pirkimo objektą</w:t>
      </w:r>
      <w:r w:rsidR="003A3BC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62BA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– </w:t>
      </w:r>
      <w:r w:rsidR="0099288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specializuotą Pozicionavimo sistemos </w:t>
      </w:r>
      <w:r w:rsidR="00992887" w:rsidRPr="0099288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technin</w:t>
      </w:r>
      <w:r w:rsidR="0099288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ę</w:t>
      </w:r>
      <w:r w:rsidR="00992887" w:rsidRPr="0099288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ir programin</w:t>
      </w:r>
      <w:r w:rsidR="0099288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ę</w:t>
      </w:r>
      <w:r w:rsidR="00992887" w:rsidRPr="0099288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įrang</w:t>
      </w:r>
      <w:r w:rsidR="0099288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ą</w:t>
      </w:r>
      <w:r w:rsidR="00992887" w:rsidRPr="0099288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, skirt</w:t>
      </w:r>
      <w:r w:rsidR="0099288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ą</w:t>
      </w:r>
      <w:r w:rsidR="00992887" w:rsidRPr="0099288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mobiliojo ryšio tinklo galinio įrenginio vietos nustatymui įmonės „Telia Lietuva“ AB, UAB „Tele 2“ ir UAB „Bitė Lietuva“ 2G/3G/4G/5G tinkluose (tinklų komutacijos mazguose) ir mobiliojo ryšio tinklo galinio įrenginio vietos nustatymo sistemos aukšto patikimumo bei prieinamumo užtikrinimui,</w:t>
      </w:r>
      <w:r w:rsidR="00992887" w:rsidRPr="0099288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92887" w:rsidRPr="0099288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kartu su šios sistemos darbui užtikrinti 2024</w:t>
      </w:r>
      <w:r w:rsidR="001A389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–</w:t>
      </w:r>
      <w:r w:rsidR="00992887" w:rsidRPr="0099288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2026 metais reikalingomis programinės įrangos licencijomis</w:t>
      </w:r>
      <w:r w:rsidR="0099288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4B259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dėl </w:t>
      </w:r>
      <w:r w:rsidR="003A3BC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Pozicionavimo sistemos programinės ir aparatinės įrangos techninio suderinamumo </w:t>
      </w:r>
      <w:r w:rsidR="0099288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priežasčių bei </w:t>
      </w:r>
      <w:r w:rsidRPr="004B259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priežasčių, susijusių su išimtinių teisių apsauga, gali pateikti tik konkretus tiekėjas</w:t>
      </w:r>
      <w:r w:rsidR="00B507B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507BC" w:rsidRPr="00B507B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UAB „Ericsson </w:t>
      </w:r>
      <w:r w:rsidR="00B507BC" w:rsidRPr="00B507B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lastRenderedPageBreak/>
        <w:t>Lietuva“</w:t>
      </w:r>
      <w:r w:rsidR="00B507B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, kuris</w:t>
      </w:r>
      <w:r w:rsidR="00B507BC" w:rsidRPr="00B507B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yra </w:t>
      </w:r>
      <w:r w:rsidR="00B507B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Pozicionavimo sistemos gamintojo </w:t>
      </w:r>
      <w:r w:rsidR="00962BA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–</w:t>
      </w:r>
      <w:r w:rsidR="00B507B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507BC" w:rsidRPr="00B507B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kompanijos „Ericsson“ dukterinė įmonė bei vienintelis subjektas turintis išimtines teises Lietuvoje platinti kompanijos „Ericsson“ produktus, tame tarpe Pozicionavimo sistemos programinę įrangą bei susijusias licencija</w:t>
      </w:r>
      <w:r w:rsidR="00B507B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s</w:t>
      </w:r>
      <w:r w:rsidR="003A3BC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4B259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t. y. nagrinėjamu atveju yra tenkinamos neskelbiamų derybų sąlygos, nurodytos Įstatymo 19 straipsnio 4 dalies 5 punkte. Įvertinusi aukščiau nurodytą bei vadovaudamasi Įstatymo 9 straipsnio 2 dalies </w:t>
      </w:r>
      <w:r w:rsidR="006D20F5" w:rsidRPr="006D20F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6</w:t>
      </w:r>
      <w:r w:rsidRPr="004B259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punkto nuostatomis, </w:t>
      </w:r>
      <w:r w:rsidRPr="004B259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Tarnyba</w:t>
      </w:r>
      <w:r w:rsidRPr="004B259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B259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sutinka</w:t>
      </w:r>
      <w:r w:rsidRPr="004B259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kad Perkančioji organizacija </w:t>
      </w:r>
      <w:r w:rsidR="006D20F5" w:rsidRPr="006D20F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Specializuotos techninės ir programinės įrangos, skirtos mobiliojo ryšio tinklo galinio įrenginio vietos nustatymui įmonės „Telia Lietuva“ AB, UAB „Tele 2“ ir UAB „Bitė Lietuva“ 2G/3G/4G/5G tinkluose (tinklų komutacijos mazguose) ir mobiliojo ryšio tinklo galinio įrenginio vietos nustatymo sistemos aukšto patikimumo bei prieinamumo užtikrinimui, pirkimą</w:t>
      </w:r>
      <w:r w:rsidR="006D20F5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B259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vykdytų neskelbiamų derybų būdu, vadovaujantis Įstatymo 19 straipsnio 4 dalies 5 punkto nuostatomis, į derybas kviečiant konkretų tiekėją – UAB „Ericsson Lietuva“.</w:t>
      </w:r>
    </w:p>
    <w:p w14:paraId="6CFC6256" w14:textId="77777777" w:rsidR="004B259C" w:rsidRDefault="004B259C" w:rsidP="004B25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06F1725" w14:textId="77777777" w:rsidR="00BE3619" w:rsidRPr="003D4E47" w:rsidRDefault="00BE3619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F22025" w14:textId="1CEBE632" w:rsidR="001D6BE8" w:rsidRPr="003D4E47" w:rsidRDefault="00EF24E0" w:rsidP="00AB01FE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4E47">
        <w:rPr>
          <w:rFonts w:ascii="Times New Roman" w:hAnsi="Times New Roman" w:cs="Times New Roman"/>
          <w:color w:val="000000" w:themeColor="text1"/>
          <w:sz w:val="24"/>
          <w:szCs w:val="24"/>
        </w:rPr>
        <w:t>Direktorius</w:t>
      </w:r>
      <w:r w:rsidR="00AB01FE" w:rsidRPr="003D4E4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B01FE" w:rsidRPr="003D4E4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B01FE" w:rsidRPr="003D4E4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B01FE" w:rsidRPr="003D4E4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B01FE" w:rsidRPr="003D4E4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B01FE" w:rsidRPr="003D4E4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B01FE" w:rsidRPr="003D4E4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Darius Vedrickas</w:t>
      </w:r>
    </w:p>
    <w:p w14:paraId="26128AD4" w14:textId="77777777" w:rsidR="00550187" w:rsidRPr="00A21D4B" w:rsidRDefault="0055018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03F71A9" w14:textId="77777777" w:rsidR="00550187" w:rsidRDefault="00550187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AD7B5B" w14:textId="77777777" w:rsidR="003A3BC5" w:rsidRDefault="003A3BC5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B35763" w14:textId="77777777" w:rsidR="003A3BC5" w:rsidRDefault="003A3BC5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2CD0C1" w14:textId="77777777" w:rsidR="003A3BC5" w:rsidRDefault="003A3BC5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F16466B" w14:textId="77777777" w:rsidR="003A3BC5" w:rsidRDefault="003A3BC5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DF0480" w14:textId="77777777" w:rsidR="003A3BC5" w:rsidRDefault="003A3BC5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097223" w14:textId="77777777" w:rsidR="003A3BC5" w:rsidRDefault="003A3BC5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AA5058" w14:textId="77777777" w:rsidR="003A3BC5" w:rsidRDefault="003A3BC5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056B4B" w14:textId="77777777" w:rsidR="003A3BC5" w:rsidRDefault="003A3BC5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0C43351" w14:textId="77777777" w:rsidR="003A3BC5" w:rsidRDefault="003A3BC5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9801578" w14:textId="77777777" w:rsidR="003A3BC5" w:rsidRDefault="003A3BC5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5F0239" w14:textId="77777777" w:rsidR="003A3BC5" w:rsidRDefault="003A3BC5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F657C81" w14:textId="77777777" w:rsidR="003A3BC5" w:rsidRDefault="003A3BC5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6AC019" w14:textId="77777777" w:rsidR="003A3BC5" w:rsidRDefault="003A3BC5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2B2E8A" w14:textId="77777777" w:rsidR="003A3BC5" w:rsidRDefault="003A3BC5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9EF08B1" w14:textId="77777777" w:rsidR="003A3BC5" w:rsidRDefault="003A3BC5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927D8F3" w14:textId="77777777" w:rsidR="003A3BC5" w:rsidRDefault="003A3BC5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F2E010" w14:textId="77777777" w:rsidR="003A3BC5" w:rsidRDefault="003A3BC5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9698EDE" w14:textId="77777777" w:rsidR="003A3BC5" w:rsidRDefault="003A3BC5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841631D" w14:textId="77777777" w:rsidR="003A3BC5" w:rsidRPr="003D4E47" w:rsidRDefault="003A3BC5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D319BA" w14:textId="3F8ED873" w:rsidR="00BE3619" w:rsidRDefault="00BE3619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310105D" w14:textId="77777777" w:rsidR="0066688E" w:rsidRPr="003D4E47" w:rsidRDefault="0066688E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612928F" w14:textId="718D6F88" w:rsidR="00BE3619" w:rsidRPr="003D4E47" w:rsidRDefault="00BE3619" w:rsidP="000C6C36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60DF5CD" w14:textId="77777777" w:rsidR="00AB01FE" w:rsidRPr="003D4E47" w:rsidRDefault="00AB01FE" w:rsidP="00AB01FE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4E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Živilė Gasiulienė, tel. +37069024148, el. p. Zivile.Gasiuliene@vpt.lt</w:t>
      </w:r>
    </w:p>
    <w:sectPr w:rsidR="00AB01FE" w:rsidRPr="003D4E47" w:rsidSect="00E52A99">
      <w:headerReference w:type="even" r:id="rId10"/>
      <w:headerReference w:type="default" r:id="rId11"/>
      <w:footerReference w:type="first" r:id="rId12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7E821" w14:textId="77777777" w:rsidR="00553941" w:rsidRDefault="00553941">
      <w:pPr>
        <w:spacing w:after="0" w:line="240" w:lineRule="auto"/>
      </w:pPr>
      <w:r>
        <w:separator/>
      </w:r>
    </w:p>
  </w:endnote>
  <w:endnote w:type="continuationSeparator" w:id="0">
    <w:p w14:paraId="7D3F9990" w14:textId="77777777" w:rsidR="00553941" w:rsidRDefault="00553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1F71" w14:textId="0570BDCD" w:rsidR="008049BB" w:rsidRPr="004948EF" w:rsidRDefault="008049BB" w:rsidP="008049BB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Duomenys kaupiami ir saugomi              </w:t>
    </w:r>
  </w:p>
  <w:p w14:paraId="46F71C60" w14:textId="77777777" w:rsidR="008049BB" w:rsidRPr="004948EF" w:rsidRDefault="008049BB" w:rsidP="008049BB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Juridinių asmenų registre </w:t>
    </w:r>
  </w:p>
  <w:p w14:paraId="11085F0D" w14:textId="77777777" w:rsidR="008049BB" w:rsidRPr="004948EF" w:rsidRDefault="00CB372F" w:rsidP="008049BB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8049BB" w:rsidRPr="004948EF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8049BB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2" w:history="1">
      <w:r w:rsidR="008049BB" w:rsidRPr="004948EF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8049BB" w:rsidRPr="004948EF">
      <w:rPr>
        <w:rFonts w:ascii="Times New Roman" w:hAnsi="Times New Roman" w:cs="Times New Roman"/>
        <w:sz w:val="20"/>
        <w:szCs w:val="20"/>
      </w:rPr>
      <w:t xml:space="preserve">                   Kodas 188656261                                   </w:t>
    </w:r>
  </w:p>
  <w:p w14:paraId="093336D7" w14:textId="77777777" w:rsidR="008049BB" w:rsidRPr="004948EF" w:rsidRDefault="008049BB" w:rsidP="008049BB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0CCB83AA" w14:textId="77777777" w:rsidR="008049BB" w:rsidRPr="004948EF" w:rsidRDefault="008049BB" w:rsidP="008049BB">
    <w:pPr>
      <w:pStyle w:val="Footer"/>
      <w:rPr>
        <w:rFonts w:ascii="Times New Roman" w:hAnsi="Times New Roman" w:cs="Times New Roman"/>
        <w:sz w:val="20"/>
        <w:szCs w:val="20"/>
      </w:rPr>
    </w:pPr>
  </w:p>
  <w:p w14:paraId="7686D504" w14:textId="77777777" w:rsidR="008049BB" w:rsidRPr="00380BA0" w:rsidRDefault="008049BB" w:rsidP="008049BB">
    <w:pPr>
      <w:pStyle w:val="Footer"/>
    </w:pPr>
  </w:p>
  <w:p w14:paraId="3618489E" w14:textId="77777777" w:rsidR="006C06BD" w:rsidRPr="008049BB" w:rsidRDefault="00CB372F" w:rsidP="008049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95EF8" w14:textId="77777777" w:rsidR="00553941" w:rsidRDefault="00553941">
      <w:pPr>
        <w:spacing w:after="0" w:line="240" w:lineRule="auto"/>
      </w:pPr>
      <w:r>
        <w:separator/>
      </w:r>
    </w:p>
  </w:footnote>
  <w:footnote w:type="continuationSeparator" w:id="0">
    <w:p w14:paraId="2069DB79" w14:textId="77777777" w:rsidR="00553941" w:rsidRDefault="00553941">
      <w:pPr>
        <w:spacing w:after="0" w:line="240" w:lineRule="auto"/>
      </w:pPr>
      <w:r>
        <w:continuationSeparator/>
      </w:r>
    </w:p>
  </w:footnote>
  <w:footnote w:id="1">
    <w:p w14:paraId="22302765" w14:textId="0D05AF41" w:rsidR="008C5A4D" w:rsidRPr="00BD0931" w:rsidRDefault="008C5A4D" w:rsidP="00BD0931">
      <w:pPr>
        <w:pStyle w:val="FootnoteText"/>
        <w:jc w:val="both"/>
        <w:rPr>
          <w:rFonts w:asciiTheme="majorBidi" w:hAnsiTheme="majorBidi" w:cstheme="majorBidi"/>
        </w:rPr>
      </w:pPr>
      <w:r>
        <w:rPr>
          <w:rStyle w:val="FootnoteReference"/>
        </w:rPr>
        <w:footnoteRef/>
      </w:r>
      <w:r>
        <w:t xml:space="preserve"> </w:t>
      </w:r>
      <w:r w:rsidRPr="00BD0931">
        <w:rPr>
          <w:rFonts w:asciiTheme="majorBidi" w:hAnsiTheme="majorBidi" w:cstheme="majorBidi"/>
        </w:rPr>
        <w:t>BVPŽ – 48000000-8</w:t>
      </w:r>
      <w:r w:rsidR="002E3D58">
        <w:rPr>
          <w:rFonts w:asciiTheme="majorBidi" w:hAnsiTheme="majorBidi" w:cstheme="majorBidi"/>
        </w:rPr>
        <w:t xml:space="preserve"> „</w:t>
      </w:r>
      <w:r w:rsidRPr="00BD0931">
        <w:rPr>
          <w:rFonts w:asciiTheme="majorBidi" w:hAnsiTheme="majorBidi" w:cstheme="majorBidi"/>
        </w:rPr>
        <w:t>Programinės įrangos paketai ir informacinės sistemos“, papildomas BVPŽ – 32000000-3</w:t>
      </w:r>
      <w:r w:rsidR="00E350E7">
        <w:rPr>
          <w:rFonts w:asciiTheme="majorBidi" w:hAnsiTheme="majorBidi" w:cstheme="majorBidi"/>
        </w:rPr>
        <w:t xml:space="preserve"> „</w:t>
      </w:r>
      <w:r w:rsidRPr="00BD0931">
        <w:rPr>
          <w:rFonts w:asciiTheme="majorBidi" w:hAnsiTheme="majorBidi" w:cstheme="majorBidi"/>
        </w:rPr>
        <w:t>Radijo, televizijos, komunikacijų</w:t>
      </w:r>
      <w:r w:rsidR="00681C51" w:rsidRPr="00BD0931">
        <w:rPr>
          <w:rFonts w:asciiTheme="majorBidi" w:hAnsiTheme="majorBidi" w:cstheme="majorBidi"/>
        </w:rPr>
        <w:t>, telekomunikacijų</w:t>
      </w:r>
      <w:r w:rsidRPr="00BD0931">
        <w:rPr>
          <w:rFonts w:asciiTheme="majorBidi" w:hAnsiTheme="majorBidi" w:cstheme="majorBidi"/>
        </w:rPr>
        <w:t xml:space="preserve"> ir susijusi įranga“;</w:t>
      </w:r>
    </w:p>
  </w:footnote>
  <w:footnote w:id="2">
    <w:p w14:paraId="1E363937" w14:textId="07567A61" w:rsidR="00681C51" w:rsidRPr="00BD0931" w:rsidRDefault="00681C51" w:rsidP="00BD0931">
      <w:pPr>
        <w:pStyle w:val="FootnoteText"/>
        <w:jc w:val="both"/>
        <w:rPr>
          <w:rFonts w:asciiTheme="majorBidi" w:hAnsiTheme="majorBidi" w:cstheme="majorBidi"/>
        </w:rPr>
      </w:pPr>
      <w:r w:rsidRPr="00BD0931">
        <w:rPr>
          <w:rStyle w:val="FootnoteReference"/>
          <w:rFonts w:asciiTheme="majorBidi" w:hAnsiTheme="majorBidi" w:cstheme="majorBidi"/>
        </w:rPr>
        <w:footnoteRef/>
      </w:r>
      <w:r w:rsidRPr="00BD0931">
        <w:rPr>
          <w:rFonts w:asciiTheme="majorBidi" w:hAnsiTheme="majorBidi" w:cstheme="majorBidi"/>
        </w:rPr>
        <w:t xml:space="preserve"> 2023 m. gegužės 5 d. pavedimo sutarties Nr. 31-69/2023 priedas „Užduotis dėl specializuotos techninės ir programinės įrangos įsigijimo ir įdiegimo įmonės „Telia Lietuva“, UAB „Tele2“ ir UAB „Bitė Lietuva“ tinklų komutacijos mazguose“;</w:t>
      </w:r>
    </w:p>
  </w:footnote>
  <w:footnote w:id="3">
    <w:p w14:paraId="492AB858" w14:textId="3427A805" w:rsidR="00AF6F92" w:rsidRPr="00BD0931" w:rsidRDefault="00AF6F92" w:rsidP="00BD0931">
      <w:pPr>
        <w:pStyle w:val="FootnoteText"/>
        <w:jc w:val="both"/>
        <w:rPr>
          <w:rFonts w:asciiTheme="majorBidi" w:hAnsiTheme="majorBidi" w:cstheme="majorBidi"/>
        </w:rPr>
      </w:pPr>
      <w:r w:rsidRPr="00BD0931">
        <w:rPr>
          <w:rStyle w:val="FootnoteReference"/>
          <w:rFonts w:asciiTheme="majorBidi" w:hAnsiTheme="majorBidi" w:cstheme="majorBidi"/>
        </w:rPr>
        <w:footnoteRef/>
      </w:r>
      <w:r w:rsidRPr="00BD0931">
        <w:rPr>
          <w:rFonts w:asciiTheme="majorBidi" w:hAnsiTheme="majorBidi" w:cstheme="majorBidi"/>
        </w:rPr>
        <w:t xml:space="preserve"> </w:t>
      </w:r>
      <w:r w:rsidR="00FE6E34" w:rsidRPr="00BD0931">
        <w:rPr>
          <w:rFonts w:asciiTheme="majorBidi" w:hAnsiTheme="majorBidi" w:cstheme="majorBidi"/>
        </w:rPr>
        <w:t>UAB „Ericsson Lietuva“ ir Lietuvos Respublikos ryšių reguliavimo tarnybos sudarytos sutartys: 2017 lapkričio 6 d. sutartis Nr. (7.2)1F-104, 2017 m. gruodžio 14 d. sutartis Nr.(7.2)1F-123);</w:t>
      </w:r>
    </w:p>
  </w:footnote>
  <w:footnote w:id="4">
    <w:p w14:paraId="1097B4AF" w14:textId="2BC81311" w:rsidR="00FE6E34" w:rsidRPr="0080594A" w:rsidRDefault="00FE6E34" w:rsidP="0080594A">
      <w:pPr>
        <w:pStyle w:val="FootnoteText"/>
        <w:jc w:val="both"/>
        <w:rPr>
          <w:rFonts w:ascii="Times New Roman" w:hAnsi="Times New Roman" w:cs="Times New Roman"/>
        </w:rPr>
      </w:pPr>
      <w:r w:rsidRPr="00BD0931">
        <w:rPr>
          <w:rStyle w:val="FootnoteReference"/>
          <w:rFonts w:asciiTheme="majorBidi" w:hAnsiTheme="majorBidi" w:cstheme="majorBidi"/>
        </w:rPr>
        <w:footnoteRef/>
      </w:r>
      <w:r w:rsidRPr="00BD0931">
        <w:rPr>
          <w:rFonts w:asciiTheme="majorBidi" w:hAnsiTheme="majorBidi" w:cstheme="majorBidi"/>
        </w:rPr>
        <w:t xml:space="preserve"> </w:t>
      </w:r>
      <w:r w:rsidRPr="0080594A">
        <w:rPr>
          <w:rFonts w:ascii="Times New Roman" w:hAnsi="Times New Roman" w:cs="Times New Roman"/>
        </w:rPr>
        <w:t>Perkančiosios organizacijos 2023 m. birželio 2 d. el. paštu pateikta informacija;</w:t>
      </w:r>
    </w:p>
  </w:footnote>
  <w:footnote w:id="5">
    <w:p w14:paraId="645413DD" w14:textId="7D09008D" w:rsidR="009E5129" w:rsidRPr="0080594A" w:rsidRDefault="009E5129" w:rsidP="0080594A">
      <w:pPr>
        <w:pStyle w:val="FootnoteText"/>
        <w:jc w:val="both"/>
        <w:rPr>
          <w:rFonts w:ascii="Times New Roman" w:hAnsi="Times New Roman" w:cs="Times New Roman"/>
        </w:rPr>
      </w:pPr>
      <w:r w:rsidRPr="0080594A">
        <w:rPr>
          <w:rStyle w:val="FootnoteReference"/>
          <w:rFonts w:ascii="Times New Roman" w:hAnsi="Times New Roman" w:cs="Times New Roman"/>
        </w:rPr>
        <w:footnoteRef/>
      </w:r>
      <w:r w:rsidRPr="0080594A">
        <w:rPr>
          <w:rFonts w:ascii="Times New Roman" w:hAnsi="Times New Roman" w:cs="Times New Roman"/>
        </w:rPr>
        <w:t xml:space="preserve"> NLS ir NLG yra sudėtinės Pozicionavimo sistemos dalys, o šiuo metu NLS ir NLG mazguose naudojama ENL 1.2 versija;</w:t>
      </w:r>
    </w:p>
  </w:footnote>
  <w:footnote w:id="6">
    <w:p w14:paraId="2A0A10EA" w14:textId="520CC1AE" w:rsidR="004B259C" w:rsidRPr="0080594A" w:rsidRDefault="004B259C" w:rsidP="0080594A">
      <w:pPr>
        <w:pStyle w:val="FootnoteText"/>
        <w:jc w:val="both"/>
        <w:rPr>
          <w:rFonts w:ascii="Times New Roman" w:hAnsi="Times New Roman" w:cs="Times New Roman"/>
        </w:rPr>
      </w:pPr>
      <w:r w:rsidRPr="0080594A">
        <w:rPr>
          <w:rStyle w:val="FootnoteReference"/>
          <w:rFonts w:ascii="Times New Roman" w:hAnsi="Times New Roman" w:cs="Times New Roman"/>
        </w:rPr>
        <w:footnoteRef/>
      </w:r>
      <w:r w:rsidRPr="0080594A">
        <w:rPr>
          <w:rFonts w:ascii="Times New Roman" w:hAnsi="Times New Roman" w:cs="Times New Roman"/>
        </w:rPr>
        <w:t xml:space="preserve"> </w:t>
      </w:r>
      <w:r w:rsidR="00D43D39" w:rsidRPr="0080594A">
        <w:rPr>
          <w:rFonts w:ascii="Times New Roman" w:hAnsi="Times New Roman" w:cs="Times New Roman"/>
        </w:rPr>
        <w:t>Komisijos 2023 m. gegužės 17 d. protokolas Nr. 30-110;</w:t>
      </w:r>
    </w:p>
  </w:footnote>
  <w:footnote w:id="7">
    <w:p w14:paraId="5F3799CD" w14:textId="75660AC6" w:rsidR="004B259C" w:rsidRPr="0080594A" w:rsidRDefault="004B259C" w:rsidP="0080594A">
      <w:pPr>
        <w:pStyle w:val="FootnoteText"/>
        <w:jc w:val="both"/>
        <w:rPr>
          <w:rFonts w:ascii="Times New Roman" w:hAnsi="Times New Roman" w:cs="Times New Roman"/>
        </w:rPr>
      </w:pPr>
      <w:r w:rsidRPr="0080594A">
        <w:rPr>
          <w:rStyle w:val="FootnoteReference"/>
          <w:rFonts w:ascii="Times New Roman" w:hAnsi="Times New Roman" w:cs="Times New Roman"/>
        </w:rPr>
        <w:footnoteRef/>
      </w:r>
      <w:r w:rsidRPr="0080594A">
        <w:rPr>
          <w:rFonts w:ascii="Times New Roman" w:hAnsi="Times New Roman" w:cs="Times New Roman"/>
        </w:rPr>
        <w:t xml:space="preserve"> </w:t>
      </w:r>
      <w:r w:rsidR="00D43D39" w:rsidRPr="0080594A">
        <w:rPr>
          <w:rFonts w:ascii="Times New Roman" w:hAnsi="Times New Roman" w:cs="Times New Roman"/>
        </w:rPr>
        <w:t>UAB „Ericsson Lietuva“ 2023 m. kovo 31 d. raštas.</w:t>
      </w:r>
    </w:p>
  </w:footnote>
  <w:footnote w:id="8">
    <w:p w14:paraId="6DE6484C" w14:textId="06928734" w:rsidR="00FB1237" w:rsidRPr="00FB1237" w:rsidRDefault="00FB1237" w:rsidP="00FB1237">
      <w:pPr>
        <w:pStyle w:val="FootnoteText"/>
        <w:jc w:val="both"/>
        <w:rPr>
          <w:rFonts w:asciiTheme="majorBidi" w:hAnsiTheme="majorBidi" w:cstheme="majorBidi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B1237">
        <w:rPr>
          <w:rFonts w:asciiTheme="majorBidi" w:hAnsiTheme="majorBidi" w:cstheme="majorBidi"/>
        </w:rPr>
        <w:t xml:space="preserve">Žr. nuorodą Nr. </w:t>
      </w:r>
      <w:r w:rsidRPr="00FB1237">
        <w:rPr>
          <w:rFonts w:asciiTheme="majorBidi" w:hAnsiTheme="majorBidi" w:cstheme="majorBidi"/>
          <w:lang w:val="en-US"/>
        </w:rPr>
        <w:t>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51A5" w14:textId="77777777" w:rsidR="006C06BD" w:rsidRDefault="00823C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21D7F2" w14:textId="77777777" w:rsidR="006C06BD" w:rsidRDefault="00CB37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637F" w14:textId="77777777" w:rsidR="006C06BD" w:rsidRDefault="00823C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5C0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D4C100" w14:textId="77777777" w:rsidR="006C06BD" w:rsidRDefault="00CB37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C6E71"/>
    <w:multiLevelType w:val="hybridMultilevel"/>
    <w:tmpl w:val="C91AA8C4"/>
    <w:lvl w:ilvl="0" w:tplc="10AA97E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76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49E"/>
    <w:rsid w:val="00000C99"/>
    <w:rsid w:val="00014B4E"/>
    <w:rsid w:val="0001705B"/>
    <w:rsid w:val="000231EA"/>
    <w:rsid w:val="000266AD"/>
    <w:rsid w:val="00027E7B"/>
    <w:rsid w:val="00032741"/>
    <w:rsid w:val="0005566A"/>
    <w:rsid w:val="000849B5"/>
    <w:rsid w:val="00086B08"/>
    <w:rsid w:val="000929AB"/>
    <w:rsid w:val="000A2DBA"/>
    <w:rsid w:val="000A6C1B"/>
    <w:rsid w:val="000B1944"/>
    <w:rsid w:val="000B534A"/>
    <w:rsid w:val="000B6400"/>
    <w:rsid w:val="000B6C7B"/>
    <w:rsid w:val="000C0F3C"/>
    <w:rsid w:val="000C23C5"/>
    <w:rsid w:val="000C3834"/>
    <w:rsid w:val="000C4329"/>
    <w:rsid w:val="000C6C36"/>
    <w:rsid w:val="000D08E4"/>
    <w:rsid w:val="000D6F76"/>
    <w:rsid w:val="000E25C4"/>
    <w:rsid w:val="000E5100"/>
    <w:rsid w:val="000F128B"/>
    <w:rsid w:val="000F7AD1"/>
    <w:rsid w:val="00106D1D"/>
    <w:rsid w:val="00112578"/>
    <w:rsid w:val="001361B4"/>
    <w:rsid w:val="00140BF1"/>
    <w:rsid w:val="00143CC1"/>
    <w:rsid w:val="001461D5"/>
    <w:rsid w:val="00152F53"/>
    <w:rsid w:val="001624D5"/>
    <w:rsid w:val="00167F14"/>
    <w:rsid w:val="0017167F"/>
    <w:rsid w:val="001825FB"/>
    <w:rsid w:val="00194CB5"/>
    <w:rsid w:val="00196318"/>
    <w:rsid w:val="001A0227"/>
    <w:rsid w:val="001A17A7"/>
    <w:rsid w:val="001A3891"/>
    <w:rsid w:val="001A4F34"/>
    <w:rsid w:val="001A5BE4"/>
    <w:rsid w:val="001C0B19"/>
    <w:rsid w:val="001D6BE8"/>
    <w:rsid w:val="001F295C"/>
    <w:rsid w:val="001F2E59"/>
    <w:rsid w:val="001F64B9"/>
    <w:rsid w:val="00207C02"/>
    <w:rsid w:val="00207FEE"/>
    <w:rsid w:val="00213A97"/>
    <w:rsid w:val="00224FBB"/>
    <w:rsid w:val="002265DC"/>
    <w:rsid w:val="00227C18"/>
    <w:rsid w:val="00227EF7"/>
    <w:rsid w:val="002410F9"/>
    <w:rsid w:val="002425FB"/>
    <w:rsid w:val="00257569"/>
    <w:rsid w:val="00261CDB"/>
    <w:rsid w:val="00264608"/>
    <w:rsid w:val="00273892"/>
    <w:rsid w:val="00282153"/>
    <w:rsid w:val="00284943"/>
    <w:rsid w:val="002864E1"/>
    <w:rsid w:val="00295779"/>
    <w:rsid w:val="002A017C"/>
    <w:rsid w:val="002A361F"/>
    <w:rsid w:val="002A4F2E"/>
    <w:rsid w:val="002A6BE1"/>
    <w:rsid w:val="002B2E46"/>
    <w:rsid w:val="002B6087"/>
    <w:rsid w:val="002B7394"/>
    <w:rsid w:val="002C0BD6"/>
    <w:rsid w:val="002D008D"/>
    <w:rsid w:val="002E349E"/>
    <w:rsid w:val="002E3D58"/>
    <w:rsid w:val="002F0C50"/>
    <w:rsid w:val="002F0D3C"/>
    <w:rsid w:val="002F3218"/>
    <w:rsid w:val="002F414C"/>
    <w:rsid w:val="0030166F"/>
    <w:rsid w:val="0031140A"/>
    <w:rsid w:val="0031232A"/>
    <w:rsid w:val="003130B1"/>
    <w:rsid w:val="00321AF8"/>
    <w:rsid w:val="00331FF9"/>
    <w:rsid w:val="0033479B"/>
    <w:rsid w:val="003515C7"/>
    <w:rsid w:val="00356324"/>
    <w:rsid w:val="003569A5"/>
    <w:rsid w:val="0036177B"/>
    <w:rsid w:val="003629C2"/>
    <w:rsid w:val="003728D5"/>
    <w:rsid w:val="00373058"/>
    <w:rsid w:val="003802BC"/>
    <w:rsid w:val="00391723"/>
    <w:rsid w:val="00392132"/>
    <w:rsid w:val="003A3BC5"/>
    <w:rsid w:val="003A7B83"/>
    <w:rsid w:val="003D29D5"/>
    <w:rsid w:val="003D3C7B"/>
    <w:rsid w:val="003D4E47"/>
    <w:rsid w:val="003E694E"/>
    <w:rsid w:val="003F1FCA"/>
    <w:rsid w:val="003F30C3"/>
    <w:rsid w:val="003F338B"/>
    <w:rsid w:val="00403175"/>
    <w:rsid w:val="00403C02"/>
    <w:rsid w:val="00405ED2"/>
    <w:rsid w:val="004076C5"/>
    <w:rsid w:val="00420A28"/>
    <w:rsid w:val="00426B96"/>
    <w:rsid w:val="00430EE1"/>
    <w:rsid w:val="00437475"/>
    <w:rsid w:val="00445489"/>
    <w:rsid w:val="00486C7C"/>
    <w:rsid w:val="00490DAA"/>
    <w:rsid w:val="00492E08"/>
    <w:rsid w:val="004B259C"/>
    <w:rsid w:val="004B39D0"/>
    <w:rsid w:val="004B6315"/>
    <w:rsid w:val="004C670B"/>
    <w:rsid w:val="004D1254"/>
    <w:rsid w:val="004E1D44"/>
    <w:rsid w:val="004E79E3"/>
    <w:rsid w:val="00512031"/>
    <w:rsid w:val="00512E3C"/>
    <w:rsid w:val="005138D3"/>
    <w:rsid w:val="00516207"/>
    <w:rsid w:val="0052425A"/>
    <w:rsid w:val="0054618D"/>
    <w:rsid w:val="00550187"/>
    <w:rsid w:val="00550D77"/>
    <w:rsid w:val="00553941"/>
    <w:rsid w:val="00555994"/>
    <w:rsid w:val="0058585C"/>
    <w:rsid w:val="00586DD5"/>
    <w:rsid w:val="00593BEC"/>
    <w:rsid w:val="00595888"/>
    <w:rsid w:val="0059709E"/>
    <w:rsid w:val="005A270C"/>
    <w:rsid w:val="005A5048"/>
    <w:rsid w:val="005B5B77"/>
    <w:rsid w:val="005B6A60"/>
    <w:rsid w:val="005B733E"/>
    <w:rsid w:val="005C22B8"/>
    <w:rsid w:val="005D40B7"/>
    <w:rsid w:val="005D7E9A"/>
    <w:rsid w:val="005E309A"/>
    <w:rsid w:val="005E3ED0"/>
    <w:rsid w:val="005F593F"/>
    <w:rsid w:val="005F6733"/>
    <w:rsid w:val="00600DAB"/>
    <w:rsid w:val="00601E12"/>
    <w:rsid w:val="006048DB"/>
    <w:rsid w:val="0061235F"/>
    <w:rsid w:val="00617770"/>
    <w:rsid w:val="00627AB1"/>
    <w:rsid w:val="00631E12"/>
    <w:rsid w:val="00647D38"/>
    <w:rsid w:val="0066688E"/>
    <w:rsid w:val="006752AB"/>
    <w:rsid w:val="00680891"/>
    <w:rsid w:val="00680C2F"/>
    <w:rsid w:val="00681C51"/>
    <w:rsid w:val="0069032C"/>
    <w:rsid w:val="00691CFD"/>
    <w:rsid w:val="006A3055"/>
    <w:rsid w:val="006A6A6B"/>
    <w:rsid w:val="006B1D68"/>
    <w:rsid w:val="006C11D6"/>
    <w:rsid w:val="006D20F5"/>
    <w:rsid w:val="006D4761"/>
    <w:rsid w:val="006F5007"/>
    <w:rsid w:val="006F539E"/>
    <w:rsid w:val="006F7C2B"/>
    <w:rsid w:val="00703645"/>
    <w:rsid w:val="00704A4F"/>
    <w:rsid w:val="00707C18"/>
    <w:rsid w:val="00734A10"/>
    <w:rsid w:val="007356A3"/>
    <w:rsid w:val="00735803"/>
    <w:rsid w:val="0074445B"/>
    <w:rsid w:val="00745A0E"/>
    <w:rsid w:val="00752566"/>
    <w:rsid w:val="0075352E"/>
    <w:rsid w:val="00762E00"/>
    <w:rsid w:val="00790B76"/>
    <w:rsid w:val="0079685E"/>
    <w:rsid w:val="007A4BF9"/>
    <w:rsid w:val="007B19F6"/>
    <w:rsid w:val="007B352E"/>
    <w:rsid w:val="007B3E37"/>
    <w:rsid w:val="007B495B"/>
    <w:rsid w:val="007D2F6E"/>
    <w:rsid w:val="007E1022"/>
    <w:rsid w:val="007E177E"/>
    <w:rsid w:val="007E382A"/>
    <w:rsid w:val="007E41C0"/>
    <w:rsid w:val="007E5798"/>
    <w:rsid w:val="007F08AD"/>
    <w:rsid w:val="007F44A4"/>
    <w:rsid w:val="007F4D2D"/>
    <w:rsid w:val="007F56A3"/>
    <w:rsid w:val="008049BB"/>
    <w:rsid w:val="0080594A"/>
    <w:rsid w:val="0081127E"/>
    <w:rsid w:val="008116C6"/>
    <w:rsid w:val="008217F2"/>
    <w:rsid w:val="00823CC6"/>
    <w:rsid w:val="0082665B"/>
    <w:rsid w:val="00834A35"/>
    <w:rsid w:val="00837107"/>
    <w:rsid w:val="0084391A"/>
    <w:rsid w:val="00843D68"/>
    <w:rsid w:val="008451A4"/>
    <w:rsid w:val="008505C8"/>
    <w:rsid w:val="008524F7"/>
    <w:rsid w:val="00860496"/>
    <w:rsid w:val="00860690"/>
    <w:rsid w:val="00861353"/>
    <w:rsid w:val="00863E1A"/>
    <w:rsid w:val="00866ABB"/>
    <w:rsid w:val="00877F2C"/>
    <w:rsid w:val="0088690F"/>
    <w:rsid w:val="008A2EB1"/>
    <w:rsid w:val="008B0B67"/>
    <w:rsid w:val="008B2380"/>
    <w:rsid w:val="008B33B5"/>
    <w:rsid w:val="008B4A8A"/>
    <w:rsid w:val="008C5A4D"/>
    <w:rsid w:val="008D1858"/>
    <w:rsid w:val="008D6D26"/>
    <w:rsid w:val="008D6F22"/>
    <w:rsid w:val="008E2A07"/>
    <w:rsid w:val="008E3041"/>
    <w:rsid w:val="008E50FD"/>
    <w:rsid w:val="008F2E64"/>
    <w:rsid w:val="008F4FD2"/>
    <w:rsid w:val="008F6F90"/>
    <w:rsid w:val="009007DF"/>
    <w:rsid w:val="009019C8"/>
    <w:rsid w:val="0090445A"/>
    <w:rsid w:val="00905321"/>
    <w:rsid w:val="00917E7B"/>
    <w:rsid w:val="00920D8B"/>
    <w:rsid w:val="00923F37"/>
    <w:rsid w:val="00931A44"/>
    <w:rsid w:val="00962BA8"/>
    <w:rsid w:val="0096725F"/>
    <w:rsid w:val="0097199E"/>
    <w:rsid w:val="00972A5A"/>
    <w:rsid w:val="00986295"/>
    <w:rsid w:val="00990FDB"/>
    <w:rsid w:val="00992887"/>
    <w:rsid w:val="00996ECC"/>
    <w:rsid w:val="009A2EBD"/>
    <w:rsid w:val="009A7B05"/>
    <w:rsid w:val="009C6814"/>
    <w:rsid w:val="009C69BB"/>
    <w:rsid w:val="009D4967"/>
    <w:rsid w:val="009D63DF"/>
    <w:rsid w:val="009E0B30"/>
    <w:rsid w:val="009E13F1"/>
    <w:rsid w:val="009E214F"/>
    <w:rsid w:val="009E2C14"/>
    <w:rsid w:val="009E5129"/>
    <w:rsid w:val="009F07E7"/>
    <w:rsid w:val="009F1167"/>
    <w:rsid w:val="009F412F"/>
    <w:rsid w:val="009F52AB"/>
    <w:rsid w:val="00A136F9"/>
    <w:rsid w:val="00A21D4B"/>
    <w:rsid w:val="00A47F26"/>
    <w:rsid w:val="00A52758"/>
    <w:rsid w:val="00A563DD"/>
    <w:rsid w:val="00A65012"/>
    <w:rsid w:val="00A66358"/>
    <w:rsid w:val="00A66787"/>
    <w:rsid w:val="00A71E11"/>
    <w:rsid w:val="00A7423B"/>
    <w:rsid w:val="00A8143D"/>
    <w:rsid w:val="00A94A05"/>
    <w:rsid w:val="00A96A73"/>
    <w:rsid w:val="00AA0A6E"/>
    <w:rsid w:val="00AA4D90"/>
    <w:rsid w:val="00AB01FE"/>
    <w:rsid w:val="00AB1E29"/>
    <w:rsid w:val="00AC16D2"/>
    <w:rsid w:val="00AC2F38"/>
    <w:rsid w:val="00AC58A5"/>
    <w:rsid w:val="00AC58C3"/>
    <w:rsid w:val="00AC6567"/>
    <w:rsid w:val="00AC74B0"/>
    <w:rsid w:val="00AD0B07"/>
    <w:rsid w:val="00AD1C2B"/>
    <w:rsid w:val="00AD25B6"/>
    <w:rsid w:val="00AD3C24"/>
    <w:rsid w:val="00AF12D7"/>
    <w:rsid w:val="00AF4DF2"/>
    <w:rsid w:val="00AF6F92"/>
    <w:rsid w:val="00B00A22"/>
    <w:rsid w:val="00B027D4"/>
    <w:rsid w:val="00B2320C"/>
    <w:rsid w:val="00B27295"/>
    <w:rsid w:val="00B43329"/>
    <w:rsid w:val="00B445DD"/>
    <w:rsid w:val="00B507BC"/>
    <w:rsid w:val="00B511CE"/>
    <w:rsid w:val="00B55C06"/>
    <w:rsid w:val="00B60520"/>
    <w:rsid w:val="00B61269"/>
    <w:rsid w:val="00B62453"/>
    <w:rsid w:val="00BA6F77"/>
    <w:rsid w:val="00BB38D1"/>
    <w:rsid w:val="00BB4206"/>
    <w:rsid w:val="00BB4A2E"/>
    <w:rsid w:val="00BB73CA"/>
    <w:rsid w:val="00BC1A3D"/>
    <w:rsid w:val="00BC4E38"/>
    <w:rsid w:val="00BC55D4"/>
    <w:rsid w:val="00BC7BDD"/>
    <w:rsid w:val="00BD0931"/>
    <w:rsid w:val="00BE3619"/>
    <w:rsid w:val="00BF7A77"/>
    <w:rsid w:val="00C10598"/>
    <w:rsid w:val="00C23A13"/>
    <w:rsid w:val="00C333F3"/>
    <w:rsid w:val="00C33E89"/>
    <w:rsid w:val="00C35580"/>
    <w:rsid w:val="00C4336F"/>
    <w:rsid w:val="00C45D9C"/>
    <w:rsid w:val="00C513C8"/>
    <w:rsid w:val="00C5209C"/>
    <w:rsid w:val="00C71E45"/>
    <w:rsid w:val="00C76FD2"/>
    <w:rsid w:val="00CB1AD4"/>
    <w:rsid w:val="00CB372F"/>
    <w:rsid w:val="00CB38CB"/>
    <w:rsid w:val="00CB5567"/>
    <w:rsid w:val="00CC6759"/>
    <w:rsid w:val="00CC7730"/>
    <w:rsid w:val="00CD2838"/>
    <w:rsid w:val="00CD4B37"/>
    <w:rsid w:val="00CD5238"/>
    <w:rsid w:val="00CE3ACB"/>
    <w:rsid w:val="00CE48D3"/>
    <w:rsid w:val="00CE7F2D"/>
    <w:rsid w:val="00D04762"/>
    <w:rsid w:val="00D04D9D"/>
    <w:rsid w:val="00D147DA"/>
    <w:rsid w:val="00D14EB2"/>
    <w:rsid w:val="00D22C4C"/>
    <w:rsid w:val="00D30A86"/>
    <w:rsid w:val="00D3214E"/>
    <w:rsid w:val="00D3759E"/>
    <w:rsid w:val="00D43D39"/>
    <w:rsid w:val="00D47D38"/>
    <w:rsid w:val="00D50115"/>
    <w:rsid w:val="00D56C4D"/>
    <w:rsid w:val="00D57C0D"/>
    <w:rsid w:val="00D65355"/>
    <w:rsid w:val="00D653FB"/>
    <w:rsid w:val="00D667CE"/>
    <w:rsid w:val="00D75484"/>
    <w:rsid w:val="00D8792E"/>
    <w:rsid w:val="00D87C59"/>
    <w:rsid w:val="00D95337"/>
    <w:rsid w:val="00D975EF"/>
    <w:rsid w:val="00DA534E"/>
    <w:rsid w:val="00DB40E8"/>
    <w:rsid w:val="00DC60E3"/>
    <w:rsid w:val="00DC6483"/>
    <w:rsid w:val="00DD3780"/>
    <w:rsid w:val="00DD43F3"/>
    <w:rsid w:val="00DE44D9"/>
    <w:rsid w:val="00DE4579"/>
    <w:rsid w:val="00DF66C1"/>
    <w:rsid w:val="00E00817"/>
    <w:rsid w:val="00E27F2C"/>
    <w:rsid w:val="00E33147"/>
    <w:rsid w:val="00E350E7"/>
    <w:rsid w:val="00E3553F"/>
    <w:rsid w:val="00E3566D"/>
    <w:rsid w:val="00E47C15"/>
    <w:rsid w:val="00E50A95"/>
    <w:rsid w:val="00E52A99"/>
    <w:rsid w:val="00E5594E"/>
    <w:rsid w:val="00E60E22"/>
    <w:rsid w:val="00E61462"/>
    <w:rsid w:val="00E61B40"/>
    <w:rsid w:val="00E64544"/>
    <w:rsid w:val="00E71CDB"/>
    <w:rsid w:val="00E80D70"/>
    <w:rsid w:val="00EA5A87"/>
    <w:rsid w:val="00EA5C01"/>
    <w:rsid w:val="00EB2264"/>
    <w:rsid w:val="00EB30FE"/>
    <w:rsid w:val="00EB3906"/>
    <w:rsid w:val="00EB4A67"/>
    <w:rsid w:val="00EB7F79"/>
    <w:rsid w:val="00EC3A65"/>
    <w:rsid w:val="00EC5587"/>
    <w:rsid w:val="00ED4D38"/>
    <w:rsid w:val="00EE0E0F"/>
    <w:rsid w:val="00EE392A"/>
    <w:rsid w:val="00EF1808"/>
    <w:rsid w:val="00EF24E0"/>
    <w:rsid w:val="00EF4474"/>
    <w:rsid w:val="00EF4B66"/>
    <w:rsid w:val="00EF6238"/>
    <w:rsid w:val="00EF6F4E"/>
    <w:rsid w:val="00F053B4"/>
    <w:rsid w:val="00F06409"/>
    <w:rsid w:val="00F14BC0"/>
    <w:rsid w:val="00F200D5"/>
    <w:rsid w:val="00F2044F"/>
    <w:rsid w:val="00F22EF0"/>
    <w:rsid w:val="00F2473F"/>
    <w:rsid w:val="00F615C6"/>
    <w:rsid w:val="00F63B44"/>
    <w:rsid w:val="00F66BF8"/>
    <w:rsid w:val="00F75166"/>
    <w:rsid w:val="00F9384F"/>
    <w:rsid w:val="00FA0BD4"/>
    <w:rsid w:val="00FB1237"/>
    <w:rsid w:val="00FB5913"/>
    <w:rsid w:val="00FD3B79"/>
    <w:rsid w:val="00FD41F4"/>
    <w:rsid w:val="00FE6E34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ED4602"/>
  <w15:docId w15:val="{23F9746A-059E-474E-8850-B1FD058D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49E"/>
  </w:style>
  <w:style w:type="paragraph" w:styleId="Footer">
    <w:name w:val="footer"/>
    <w:basedOn w:val="Normal"/>
    <w:link w:val="FooterChar"/>
    <w:uiPriority w:val="99"/>
    <w:unhideWhenUsed/>
    <w:rsid w:val="002E3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49E"/>
  </w:style>
  <w:style w:type="character" w:styleId="PageNumber">
    <w:name w:val="page number"/>
    <w:basedOn w:val="DefaultParagraphFont"/>
    <w:rsid w:val="002E349E"/>
  </w:style>
  <w:style w:type="paragraph" w:styleId="BalloonText">
    <w:name w:val="Balloon Text"/>
    <w:basedOn w:val="Normal"/>
    <w:link w:val="BalloonTextChar"/>
    <w:uiPriority w:val="99"/>
    <w:semiHidden/>
    <w:unhideWhenUsed/>
    <w:rsid w:val="00595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88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2F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2F38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AC2F38"/>
    <w:rPr>
      <w:vertAlign w:val="superscript"/>
    </w:rPr>
  </w:style>
  <w:style w:type="paragraph" w:styleId="ListParagraph">
    <w:name w:val="List Paragraph"/>
    <w:basedOn w:val="Normal"/>
    <w:uiPriority w:val="34"/>
    <w:qFormat/>
    <w:rsid w:val="00EF4B66"/>
    <w:pPr>
      <w:ind w:left="720"/>
      <w:contextualSpacing/>
    </w:pPr>
  </w:style>
  <w:style w:type="character" w:styleId="Hyperlink">
    <w:name w:val="Hyperlink"/>
    <w:uiPriority w:val="99"/>
    <w:unhideWhenUsed/>
    <w:rsid w:val="00EF24E0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E50A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0A9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F30C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C7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7B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7B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B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A14AC-C2EC-4C13-984C-12128D21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6284</Characters>
  <Application>Microsoft Office Word</Application>
  <DocSecurity>4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Silvija Sirvydienė</cp:lastModifiedBy>
  <cp:revision>2</cp:revision>
  <cp:lastPrinted>2017-08-09T12:55:00Z</cp:lastPrinted>
  <dcterms:created xsi:type="dcterms:W3CDTF">2023-06-09T12:06:00Z</dcterms:created>
  <dcterms:modified xsi:type="dcterms:W3CDTF">2023-06-09T12:06:00Z</dcterms:modified>
</cp:coreProperties>
</file>