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25B9" w14:textId="77777777" w:rsidR="000D5ACD" w:rsidRDefault="003850EB" w:rsidP="0069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4D375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19pt;margin-top:0;width:43.5pt;height:48pt;z-index:251659264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0" DrawAspect="Content" ObjectID="_1707735535" r:id="rId9"/>
        </w:object>
      </w:r>
    </w:p>
    <w:p w14:paraId="427124A4" w14:textId="77777777" w:rsidR="006967D5" w:rsidRPr="008A38CD" w:rsidRDefault="006967D5" w:rsidP="0069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9779EE" w14:textId="77777777" w:rsidR="000D5ACD" w:rsidRPr="008A38CD" w:rsidRDefault="000D5ACD" w:rsidP="00FB0A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2D447B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48A0066A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22E327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0D5ACD" w:rsidRPr="008A38CD" w14:paraId="3FAA2EC3" w14:textId="77777777" w:rsidTr="00312647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4BE1E2C" w14:textId="1B8AA077" w:rsidR="00312647" w:rsidRDefault="00312647" w:rsidP="00312647">
            <w:pPr>
              <w:spacing w:after="0"/>
              <w:ind w:left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UAB </w:t>
            </w:r>
            <w:r w:rsidR="005B7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„Ignitis grupė</w:t>
            </w:r>
            <w:r w:rsidR="000F18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paslaugų centras</w:t>
            </w:r>
            <w:r w:rsidR="005B7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</w:p>
          <w:p w14:paraId="2C984BE9" w14:textId="303AB033" w:rsidR="00312647" w:rsidRPr="000F18C1" w:rsidRDefault="00544439" w:rsidP="00312647">
            <w:pPr>
              <w:spacing w:after="0"/>
              <w:ind w:lef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Laisvės pr. </w:t>
            </w:r>
            <w:r w:rsidRPr="000F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</w:t>
            </w:r>
          </w:p>
          <w:p w14:paraId="79F983EC" w14:textId="7130FCC2" w:rsidR="00312647" w:rsidRPr="00567382" w:rsidRDefault="00544439" w:rsidP="00567382">
            <w:pPr>
              <w:spacing w:after="0"/>
              <w:ind w:left="22"/>
              <w:rPr>
                <w:rStyle w:val="Hyperlink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04215</w:t>
            </w:r>
            <w:r w:rsidR="003126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1D82B757" w14:textId="363F2C8E" w:rsidR="00544439" w:rsidRDefault="00312647" w:rsidP="0031264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="00544439" w:rsidRPr="00BF7C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gpc@ignitis.lt</w:t>
              </w:r>
            </w:hyperlink>
          </w:p>
          <w:p w14:paraId="376C9CAF" w14:textId="7BE1B2BA" w:rsidR="000D5ACD" w:rsidRDefault="003850EB" w:rsidP="0031264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44439" w:rsidRPr="00BF7C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dovile.beniusiene@ignitis.lt</w:t>
              </w:r>
            </w:hyperlink>
          </w:p>
          <w:p w14:paraId="00BE0518" w14:textId="2D0BC40B" w:rsidR="00544439" w:rsidRPr="00312647" w:rsidRDefault="00544439" w:rsidP="0031264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D611CF" w14:textId="349D5BF1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54443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443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9EE820C" w14:textId="67DAB162" w:rsidR="005E0B84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54443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443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7160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443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0DFE8F41" w14:textId="09FD5FC5" w:rsidR="00312647" w:rsidRPr="008A38CD" w:rsidRDefault="00312647" w:rsidP="00717ADB">
            <w:pPr>
              <w:tabs>
                <w:tab w:val="left" w:pos="900"/>
              </w:tabs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CA7B04" w14:textId="77777777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7DE3074" w14:textId="77777777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1F5B079" w14:textId="06E4F88D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9800618" w14:textId="4CF79421" w:rsidR="000D5ACD" w:rsidRPr="008A38CD" w:rsidRDefault="000D5ACD" w:rsidP="00FB0A2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F198F">
              <w:rPr>
                <w:rFonts w:ascii="Times New Roman" w:eastAsia="Times New Roman" w:hAnsi="Times New Roman" w:cs="Times New Roman"/>
                <w:sz w:val="24"/>
                <w:szCs w:val="24"/>
              </w:rPr>
              <w:t>(8.15)</w:t>
            </w:r>
          </w:p>
          <w:p w14:paraId="1F76B564" w14:textId="1044CDD9" w:rsidR="000D5ACD" w:rsidRDefault="00312647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="00544439">
              <w:rPr>
                <w:rFonts w:ascii="Times New Roman" w:eastAsia="Times New Roman" w:hAnsi="Times New Roman" w:cs="Times New Roman"/>
                <w:sz w:val="24"/>
                <w:szCs w:val="24"/>
              </w:rPr>
              <w:t>-53-22</w:t>
            </w:r>
          </w:p>
          <w:p w14:paraId="28197BAC" w14:textId="262DD229" w:rsidR="000D5ACD" w:rsidRPr="008A38CD" w:rsidRDefault="000D5ACD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A2DC1" w14:textId="77777777" w:rsidR="000D5ACD" w:rsidRPr="008A38CD" w:rsidRDefault="000D5ACD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4A2EA3" w14:textId="33EB0C98" w:rsidR="00717ADB" w:rsidRDefault="00717ADB" w:rsidP="00EE2394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25BA2E8" w14:textId="54F969B9" w:rsidR="000A1F40" w:rsidRDefault="00590C04" w:rsidP="00312647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90C0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Pr="00590C0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NESKELBIAMŲ DERYBŲ BŪDU</w:t>
      </w:r>
    </w:p>
    <w:p w14:paraId="57892A49" w14:textId="77777777" w:rsidR="00294E33" w:rsidRDefault="00294E33" w:rsidP="00312647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987CFC9" w14:textId="468F751D" w:rsidR="00521D2D" w:rsidRDefault="00312647" w:rsidP="0025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</w:t>
      </w:r>
      <w:r w:rsidR="00497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79BD" w:rsidRPr="000B350C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95 straipsnio 2 dalies 6 punkto nuostatomis, </w:t>
      </w:r>
      <w:r w:rsidR="004979BD">
        <w:rPr>
          <w:rFonts w:ascii="Times New Roman" w:eastAsia="Calibri" w:hAnsi="Times New Roman" w:cs="Times New Roman"/>
          <w:sz w:val="24"/>
          <w:szCs w:val="24"/>
        </w:rPr>
        <w:t xml:space="preserve">išnagrinėjo </w:t>
      </w:r>
      <w:r w:rsidR="00544439">
        <w:rPr>
          <w:rFonts w:ascii="Times New Roman" w:eastAsia="Calibri" w:hAnsi="Times New Roman" w:cs="Times New Roman"/>
          <w:sz w:val="24"/>
          <w:szCs w:val="24"/>
        </w:rPr>
        <w:t>UAB „Ignitis grupė</w:t>
      </w:r>
      <w:r w:rsidR="000F18C1">
        <w:rPr>
          <w:rFonts w:ascii="Times New Roman" w:eastAsia="Calibri" w:hAnsi="Times New Roman" w:cs="Times New Roman"/>
          <w:sz w:val="24"/>
          <w:szCs w:val="24"/>
        </w:rPr>
        <w:t>s paslaugų centras</w:t>
      </w:r>
      <w:r w:rsidR="00544439">
        <w:rPr>
          <w:rFonts w:ascii="Times New Roman" w:eastAsia="Calibri" w:hAnsi="Times New Roman" w:cs="Times New Roman"/>
          <w:sz w:val="24"/>
          <w:szCs w:val="24"/>
        </w:rPr>
        <w:t xml:space="preserve">“ (toliau – Perkančioji organizacija) </w:t>
      </w:r>
      <w:r w:rsidR="005D4474">
        <w:rPr>
          <w:rFonts w:ascii="Times New Roman" w:eastAsia="Calibri" w:hAnsi="Times New Roman" w:cs="Times New Roman"/>
          <w:sz w:val="24"/>
          <w:szCs w:val="24"/>
        </w:rPr>
        <w:t xml:space="preserve">prašymą </w:t>
      </w:r>
      <w:r w:rsidR="00544439">
        <w:rPr>
          <w:rFonts w:ascii="Times New Roman" w:eastAsia="Calibri" w:hAnsi="Times New Roman" w:cs="Times New Roman"/>
          <w:sz w:val="24"/>
          <w:szCs w:val="24"/>
        </w:rPr>
        <w:t xml:space="preserve">sutikti </w:t>
      </w:r>
      <w:r w:rsidRPr="005D4474">
        <w:rPr>
          <w:rFonts w:ascii="Times New Roman" w:eastAsia="Times New Roman" w:hAnsi="Times New Roman" w:cs="Times New Roman"/>
          <w:i/>
          <w:sz w:val="24"/>
          <w:szCs w:val="24"/>
        </w:rPr>
        <w:t>Oracle programinės įrangos palaikymo paslaugų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B85">
        <w:rPr>
          <w:rFonts w:ascii="Times New Roman" w:eastAsia="Times New Roman" w:hAnsi="Times New Roman" w:cs="Times New Roman"/>
          <w:i/>
          <w:iCs/>
          <w:sz w:val="24"/>
          <w:szCs w:val="24"/>
        </w:rPr>
        <w:t>pirkimą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(toliau – Pirkimas) vykdyti neskelbiamų derybų būdu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6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C04" w:rsidRPr="00590C04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BFB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9C1329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 71 straipsnio 1 dalies 2 punkto </w:t>
      </w:r>
      <w:r w:rsidR="00DF03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>c</w:t>
      </w:r>
      <w:r w:rsidR="00DF039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 papunkčio nuostatomis.</w:t>
      </w:r>
    </w:p>
    <w:p w14:paraId="4F7A6BCF" w14:textId="48225E33" w:rsidR="00544439" w:rsidRDefault="00331323" w:rsidP="00252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Pateiktame prašyme nurodoma, </w:t>
      </w:r>
      <w:r w:rsidR="0088298E">
        <w:rPr>
          <w:rFonts w:ascii="Times New Roman" w:eastAsia="Times New Roman" w:hAnsi="Times New Roman" w:cs="Times New Roman"/>
          <w:sz w:val="24"/>
          <w:szCs w:val="24"/>
        </w:rPr>
        <w:t xml:space="preserve">jog </w:t>
      </w:r>
      <w:bookmarkStart w:id="1" w:name="_Hlk97040151"/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 xml:space="preserve">Oracle programinės įrangos </w:t>
      </w:r>
      <w:bookmarkEnd w:id="1"/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licencijos, kurioms perkamos palaikymo paslaugos buvo įsigytos 2018</w:t>
      </w:r>
      <w:r w:rsidR="0088298E">
        <w:rPr>
          <w:rFonts w:ascii="Times New Roman" w:eastAsia="Times New Roman" w:hAnsi="Times New Roman" w:cs="Times New Roman"/>
          <w:sz w:val="24"/>
          <w:szCs w:val="24"/>
        </w:rPr>
        <w:t xml:space="preserve"> m. gruodžio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88298E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sudarius sutartį Nr. SUT-151-18</w:t>
      </w:r>
      <w:r w:rsidR="002E3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bookmarkStart w:id="2" w:name="_Hlk97106367"/>
      <w:r w:rsidR="005D56DA" w:rsidRPr="005D56DA">
        <w:rPr>
          <w:rFonts w:ascii="Times New Roman" w:eastAsia="Times New Roman" w:hAnsi="Times New Roman" w:cs="Times New Roman"/>
          <w:sz w:val="24"/>
          <w:szCs w:val="24"/>
        </w:rPr>
        <w:t>Oracle East Central Europe Limited filial</w:t>
      </w:r>
      <w:r w:rsidR="005D56DA">
        <w:rPr>
          <w:rFonts w:ascii="Times New Roman" w:eastAsia="Times New Roman" w:hAnsi="Times New Roman" w:cs="Times New Roman"/>
          <w:sz w:val="24"/>
          <w:szCs w:val="24"/>
        </w:rPr>
        <w:t>u</w:t>
      </w:r>
      <w:bookmarkEnd w:id="2"/>
      <w:r w:rsidR="005D56DA" w:rsidRPr="005D5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6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11D7">
        <w:rPr>
          <w:rFonts w:ascii="Times New Roman" w:eastAsia="Times New Roman" w:hAnsi="Times New Roman" w:cs="Times New Roman"/>
          <w:sz w:val="24"/>
          <w:szCs w:val="24"/>
        </w:rPr>
        <w:t xml:space="preserve">sutartimi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Oracle Database Gateway for SQL server - Computer Perpetual licencijos buvo įsigytos su 36 mėn. palaikymu, o Oracle WebLogic Suite - Processor Perpetual licencijos su 12 mėn. palaikymu</w:t>
      </w:r>
      <w:r w:rsidR="006F6F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6F51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 xml:space="preserve">nurodo, kad šiuo metu 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 xml:space="preserve">Oracle programinės įrangos 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 xml:space="preserve">palaikymo paslaugos yra teikiamos 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 xml:space="preserve"> m. gegužės </w:t>
      </w:r>
      <w:r w:rsidR="00852B85" w:rsidRPr="000F18C1">
        <w:rPr>
          <w:rFonts w:ascii="Times New Roman" w:eastAsia="Times New Roman" w:hAnsi="Times New Roman" w:cs="Times New Roman"/>
          <w:sz w:val="24"/>
          <w:szCs w:val="24"/>
        </w:rPr>
        <w:t>3 d.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>pasirašyt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 xml:space="preserve"> sutarti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 xml:space="preserve">s Nr. SUT-51-19 </w:t>
      </w:r>
      <w:r w:rsidR="008C183D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8C183D" w:rsidRPr="008C183D">
        <w:rPr>
          <w:rFonts w:ascii="Times New Roman" w:eastAsia="Times New Roman" w:hAnsi="Times New Roman" w:cs="Times New Roman"/>
          <w:sz w:val="24"/>
          <w:szCs w:val="24"/>
        </w:rPr>
        <w:t xml:space="preserve">Oracle East Central Europe Limited filialu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>pagrindu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 xml:space="preserve">tame tarpe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 xml:space="preserve">teikiamos 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 xml:space="preserve">ir Oracle WebLogic Suite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52B85" w:rsidRPr="0088298E">
        <w:rPr>
          <w:rFonts w:ascii="Times New Roman" w:eastAsia="Times New Roman" w:hAnsi="Times New Roman" w:cs="Times New Roman"/>
          <w:sz w:val="24"/>
          <w:szCs w:val="24"/>
        </w:rPr>
        <w:t xml:space="preserve"> Processor Perpetual licencijų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 xml:space="preserve"> palaikymo paslaug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52B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2B85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0F18C1">
        <w:rPr>
          <w:rFonts w:ascii="Times New Roman" w:eastAsia="Times New Roman" w:hAnsi="Times New Roman" w:cs="Times New Roman"/>
          <w:sz w:val="24"/>
          <w:szCs w:val="24"/>
        </w:rPr>
        <w:t>. Prašyme nurodoma, jog</w:t>
      </w:r>
      <w:r w:rsidR="000B11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F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707D4">
        <w:rPr>
          <w:rFonts w:ascii="Times New Roman" w:eastAsia="Times New Roman" w:hAnsi="Times New Roman" w:cs="Times New Roman"/>
          <w:sz w:val="24"/>
          <w:szCs w:val="24"/>
        </w:rPr>
        <w:t xml:space="preserve"> m. balandžio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707D4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 xml:space="preserve"> baigiasi aukščiau nurodytų licencijų palaikymo paslaugų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 xml:space="preserve">teikimo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terminas, o Pirkim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 xml:space="preserve">u siekiamos įsigyti paslaugos yra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būtin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7D4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 xml:space="preserve">funkcijų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 xml:space="preserve">vykdymo </w:t>
      </w:r>
      <w:r w:rsidR="0088298E" w:rsidRPr="0088298E">
        <w:rPr>
          <w:rFonts w:ascii="Times New Roman" w:eastAsia="Times New Roman" w:hAnsi="Times New Roman" w:cs="Times New Roman"/>
          <w:sz w:val="24"/>
          <w:szCs w:val="24"/>
        </w:rPr>
        <w:t>užtikrinimui.</w:t>
      </w:r>
    </w:p>
    <w:p w14:paraId="3EF94927" w14:textId="2397B4F7" w:rsidR="002E39C2" w:rsidRPr="002E39C2" w:rsidRDefault="001A6C8C" w:rsidP="002528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C8C">
        <w:rPr>
          <w:rFonts w:ascii="Times New Roman" w:eastAsia="Times New Roman" w:hAnsi="Times New Roman" w:cs="Times New Roman"/>
          <w:sz w:val="24"/>
          <w:szCs w:val="24"/>
        </w:rPr>
        <w:t>Iš Tarnybai pateiktų dokumentų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1A6C8C">
        <w:rPr>
          <w:rFonts w:ascii="Times New Roman" w:eastAsia="Times New Roman" w:hAnsi="Times New Roman" w:cs="Times New Roman"/>
          <w:sz w:val="24"/>
          <w:szCs w:val="24"/>
        </w:rPr>
        <w:t xml:space="preserve"> nustatyta, kad visos intelektinės nuosavybės teisės į Oracle programinę įrangą priklauso Oracle korporacijai, todėl Oracle programinės įrangos </w:t>
      </w:r>
      <w:r w:rsidR="003F61F0">
        <w:rPr>
          <w:rFonts w:ascii="Times New Roman" w:eastAsia="Times New Roman" w:hAnsi="Times New Roman" w:cs="Times New Roman"/>
          <w:sz w:val="24"/>
          <w:szCs w:val="24"/>
        </w:rPr>
        <w:t xml:space="preserve">techninio palaikymo </w:t>
      </w:r>
      <w:r w:rsidR="00670E28">
        <w:rPr>
          <w:rFonts w:ascii="Times New Roman" w:eastAsia="Times New Roman" w:hAnsi="Times New Roman" w:cs="Times New Roman"/>
          <w:sz w:val="24"/>
          <w:szCs w:val="24"/>
        </w:rPr>
        <w:t xml:space="preserve">ir atnaujinimo </w:t>
      </w:r>
      <w:r w:rsidR="003F61F0">
        <w:rPr>
          <w:rFonts w:ascii="Times New Roman" w:eastAsia="Times New Roman" w:hAnsi="Times New Roman" w:cs="Times New Roman"/>
          <w:sz w:val="24"/>
          <w:szCs w:val="24"/>
        </w:rPr>
        <w:t xml:space="preserve">paslaugas </w:t>
      </w:r>
      <w:r w:rsidRPr="001A6C8C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3F61F0">
        <w:rPr>
          <w:rFonts w:ascii="Times New Roman" w:eastAsia="Times New Roman" w:hAnsi="Times New Roman" w:cs="Times New Roman"/>
          <w:sz w:val="24"/>
          <w:szCs w:val="24"/>
        </w:rPr>
        <w:t xml:space="preserve">teikti </w:t>
      </w:r>
      <w:r w:rsidRPr="001A6C8C">
        <w:rPr>
          <w:rFonts w:ascii="Times New Roman" w:eastAsia="Times New Roman" w:hAnsi="Times New Roman" w:cs="Times New Roman"/>
          <w:sz w:val="24"/>
          <w:szCs w:val="24"/>
        </w:rPr>
        <w:t>tik Oracle korporacija ir jos atstovybė</w:t>
      </w:r>
      <w:r w:rsidR="000276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0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E28" w:rsidRPr="00670E28">
        <w:rPr>
          <w:rFonts w:ascii="Times New Roman" w:eastAsia="Times New Roman" w:hAnsi="Times New Roman" w:cs="Times New Roman"/>
          <w:sz w:val="24"/>
          <w:szCs w:val="24"/>
        </w:rPr>
        <w:t>(Oracle korporacija Lietuvoje yra atstovaujama Oracle East Central Europe Limited filialo)</w:t>
      </w:r>
      <w:r w:rsidRPr="001A6C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543A43">
        <w:rPr>
          <w:rFonts w:ascii="Times New Roman" w:eastAsia="Times New Roman" w:hAnsi="Times New Roman" w:cs="Times New Roman"/>
          <w:sz w:val="24"/>
          <w:szCs w:val="24"/>
        </w:rPr>
        <w:t xml:space="preserve">prašyme 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nurodo, jog Oracle programinės įrangos palaikymo paslaugas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>siekia</w:t>
      </w:r>
      <w:r w:rsidR="003709F0">
        <w:rPr>
          <w:rFonts w:ascii="Times New Roman" w:eastAsia="Times New Roman" w:hAnsi="Times New Roman" w:cs="Times New Roman"/>
          <w:sz w:val="24"/>
          <w:szCs w:val="24"/>
        </w:rPr>
        <w:t>ma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 xml:space="preserve"> įsigyti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 iš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 xml:space="preserve">tiekėjo </w:t>
      </w:r>
      <w:r w:rsidR="00543A43" w:rsidRPr="00543A43">
        <w:rPr>
          <w:rFonts w:ascii="Times New Roman" w:eastAsia="Times New Roman" w:hAnsi="Times New Roman" w:cs="Times New Roman"/>
          <w:sz w:val="24"/>
          <w:szCs w:val="24"/>
        </w:rPr>
        <w:t>Oracle East Central Europe Limited filial</w:t>
      </w:r>
      <w:r w:rsidR="00543A43">
        <w:rPr>
          <w:rFonts w:ascii="Times New Roman" w:eastAsia="Times New Roman" w:hAnsi="Times New Roman" w:cs="Times New Roman"/>
          <w:sz w:val="24"/>
          <w:szCs w:val="24"/>
        </w:rPr>
        <w:t>o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6B3D">
        <w:rPr>
          <w:rFonts w:ascii="Times New Roman" w:eastAsia="Times New Roman" w:hAnsi="Times New Roman" w:cs="Times New Roman"/>
          <w:sz w:val="24"/>
          <w:szCs w:val="24"/>
        </w:rPr>
        <w:t>kadangi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: i) 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Oracle programinės įrangos gamintojas yra </w:t>
      </w:r>
      <w:r w:rsidR="00670E28">
        <w:rPr>
          <w:rFonts w:ascii="Times New Roman" w:eastAsia="Times New Roman" w:hAnsi="Times New Roman" w:cs="Times New Roman"/>
          <w:sz w:val="24"/>
          <w:szCs w:val="24"/>
        </w:rPr>
        <w:t>Oracle korporacija (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>Oracle Corporation</w:t>
      </w:r>
      <w:r w:rsidR="00670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>Kalifornijos valstija, Jungtinės Amerikos Valstijos</w:t>
      </w:r>
      <w:r w:rsidR="00670E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>, kuriai priklauso i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>ntelektinės nuosavybės teisės į Oracle programinę įrangą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; ii) 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>Oracle programinės įrangos palaikymą ir techninę priežiūrą gali atlikti tik Oracle korporacija ir jos atstovybė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Oracle korporacija Lietuvoje yra atstovaujama </w:t>
      </w:r>
      <w:r w:rsidR="000276CC" w:rsidRPr="000276CC">
        <w:rPr>
          <w:rFonts w:ascii="Times New Roman" w:eastAsia="Times New Roman" w:hAnsi="Times New Roman" w:cs="Times New Roman"/>
          <w:sz w:val="24"/>
          <w:szCs w:val="24"/>
        </w:rPr>
        <w:t>Oracle East Central Europe Limited filialo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5D5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y. Oracle 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>rangos palaikymo ir techninės priežiūros funkcijos trečiosioms šalims nėra perleidžiamos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 xml:space="preserve">; iii) 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Oracle korporacijos partneriai dvišalių susitarimų su Oracle korporacija pagrindu turi teisę pasirašyti 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lastRenderedPageBreak/>
        <w:t>Oracle programinės įrangos p</w:t>
      </w:r>
      <w:r w:rsidR="008C183D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laikymo paslaugų sutartis, tačiau faktines palaikymo paslaugas gali teikti tik </w:t>
      </w:r>
      <w:r w:rsidR="008C183D" w:rsidRPr="00670E28">
        <w:rPr>
          <w:rFonts w:ascii="Times New Roman" w:eastAsia="Times New Roman" w:hAnsi="Times New Roman" w:cs="Times New Roman"/>
          <w:sz w:val="24"/>
          <w:szCs w:val="24"/>
        </w:rPr>
        <w:t>Oracle East Central Europe Limited filial</w:t>
      </w:r>
      <w:r w:rsidR="008C183D">
        <w:rPr>
          <w:rFonts w:ascii="Times New Roman" w:eastAsia="Times New Roman" w:hAnsi="Times New Roman" w:cs="Times New Roman"/>
          <w:sz w:val="24"/>
          <w:szCs w:val="24"/>
        </w:rPr>
        <w:t>as, iš kurio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 konkrečių Oracle programinės įrangos palaikymo užduočių atlikimą ir užsako Oracle korporacijos partneriai</w:t>
      </w:r>
      <w:r w:rsidR="00A14971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 Oracle korporacijos partneriai nėra </w:t>
      </w:r>
      <w:r w:rsidR="008C183D" w:rsidRPr="008C183D">
        <w:rPr>
          <w:rFonts w:ascii="Times New Roman" w:eastAsia="Times New Roman" w:hAnsi="Times New Roman" w:cs="Times New Roman"/>
          <w:sz w:val="24"/>
          <w:szCs w:val="24"/>
        </w:rPr>
        <w:t>Oracle East Central Europe Limited filial</w:t>
      </w:r>
      <w:r w:rsidR="008C18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 įgalioti teikti palaikymo paslaugas - jas gali teikti ir visada teikia tik gamintojo atstovas Lietuvoje</w:t>
      </w:r>
      <w:r w:rsidR="008C18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2D6">
        <w:rPr>
          <w:rFonts w:ascii="Times New Roman" w:eastAsia="Times New Roman" w:hAnsi="Times New Roman" w:cs="Times New Roman"/>
          <w:sz w:val="24"/>
          <w:szCs w:val="24"/>
        </w:rPr>
        <w:t>; iv) a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 xml:space="preserve">lternatyvūs sprendimai </w:t>
      </w:r>
      <w:r w:rsidR="004B22D6">
        <w:rPr>
          <w:rFonts w:ascii="Times New Roman" w:eastAsia="Times New Roman" w:hAnsi="Times New Roman" w:cs="Times New Roman"/>
          <w:sz w:val="24"/>
          <w:szCs w:val="24"/>
        </w:rPr>
        <w:t xml:space="preserve">Perkančiojoje organizacijoje </w:t>
      </w:r>
      <w:r w:rsidR="00A14971" w:rsidRPr="00A14971">
        <w:rPr>
          <w:rFonts w:ascii="Times New Roman" w:eastAsia="Times New Roman" w:hAnsi="Times New Roman" w:cs="Times New Roman"/>
          <w:sz w:val="24"/>
          <w:szCs w:val="24"/>
        </w:rPr>
        <w:t>yra nepriimtini dėl neproporcingo ir neracionalaus investicinių kaštų skirtumo.</w:t>
      </w:r>
      <w:r w:rsidR="002E3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9C2" w:rsidRPr="002E39C2">
        <w:rPr>
          <w:rFonts w:ascii="Times New Roman" w:eastAsia="Times New Roman" w:hAnsi="Times New Roman" w:cs="Times New Roman"/>
          <w:bCs/>
          <w:sz w:val="24"/>
          <w:szCs w:val="24"/>
        </w:rPr>
        <w:t xml:space="preserve">Atsižvelgiant į aukščiau nurodytas aplinkybes, </w:t>
      </w:r>
      <w:r w:rsidR="002E39C2">
        <w:rPr>
          <w:rFonts w:ascii="Times New Roman" w:eastAsia="Times New Roman" w:hAnsi="Times New Roman" w:cs="Times New Roman"/>
          <w:bCs/>
          <w:sz w:val="24"/>
          <w:szCs w:val="24"/>
        </w:rPr>
        <w:t>Perkančiosios</w:t>
      </w:r>
      <w:r w:rsidR="002E39C2" w:rsidRPr="002E39C2">
        <w:rPr>
          <w:rFonts w:ascii="Times New Roman" w:eastAsia="Times New Roman" w:hAnsi="Times New Roman" w:cs="Times New Roman"/>
          <w:bCs/>
          <w:sz w:val="24"/>
          <w:szCs w:val="24"/>
        </w:rPr>
        <w:t xml:space="preserve"> organizacijos viešųjų pirkimų komisija </w:t>
      </w:r>
      <w:r w:rsidR="0025288A">
        <w:rPr>
          <w:rFonts w:ascii="Times New Roman" w:eastAsia="Times New Roman" w:hAnsi="Times New Roman" w:cs="Times New Roman"/>
          <w:bCs/>
          <w:sz w:val="24"/>
          <w:szCs w:val="24"/>
        </w:rPr>
        <w:t xml:space="preserve">(toliau – Komisija) </w:t>
      </w:r>
      <w:r w:rsidR="002E39C2" w:rsidRPr="002E39C2">
        <w:rPr>
          <w:rFonts w:ascii="Times New Roman" w:eastAsia="Times New Roman" w:hAnsi="Times New Roman" w:cs="Times New Roman"/>
          <w:bCs/>
          <w:sz w:val="24"/>
          <w:szCs w:val="24"/>
        </w:rPr>
        <w:t>priėmė sprendimą Pirkimą vykdyti neskelbiamų derybų būdu kreipiantis į konkretų tiekėją</w:t>
      </w:r>
      <w:r w:rsidR="00AE0F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39C2" w:rsidRPr="002E39C2">
        <w:rPr>
          <w:rFonts w:ascii="Times New Roman" w:eastAsia="Times New Roman" w:hAnsi="Times New Roman" w:cs="Times New Roman"/>
          <w:bCs/>
          <w:sz w:val="24"/>
          <w:szCs w:val="24"/>
        </w:rPr>
        <w:t>ir prašo Tarnybos sutikimo dėl tokio pirkimo būdo pasirinkimo</w:t>
      </w:r>
      <w:r w:rsidR="00F00C17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3"/>
      </w:r>
      <w:r w:rsidR="002E39C2" w:rsidRPr="002E39C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8088375" w14:textId="73295B3F" w:rsidR="004E7D70" w:rsidRPr="004E7D70" w:rsidRDefault="004E7D70" w:rsidP="0025288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7D70">
        <w:rPr>
          <w:rFonts w:ascii="Times New Roman" w:eastAsia="Times New Roman" w:hAnsi="Times New Roman" w:cs="Times New Roman"/>
          <w:sz w:val="24"/>
          <w:szCs w:val="24"/>
        </w:rPr>
        <w:t>Preliminari Pirkimo vertė: 170 000,00 Eur be PVM</w:t>
      </w:r>
      <w:r>
        <w:rPr>
          <w:rFonts w:ascii="Times New Roman" w:eastAsia="Times New Roman" w:hAnsi="Times New Roman" w:cs="Times New Roman"/>
          <w:sz w:val="24"/>
          <w:szCs w:val="24"/>
        </w:rPr>
        <w:t>, planuojamos sudaryti sutarties trukmė -</w:t>
      </w:r>
      <w:r w:rsidRPr="004E7D70">
        <w:rPr>
          <w:rFonts w:ascii="Times New Roman" w:eastAsia="Times New Roman" w:hAnsi="Times New Roman" w:cs="Times New Roman"/>
          <w:sz w:val="24"/>
          <w:szCs w:val="24"/>
        </w:rPr>
        <w:t xml:space="preserve"> 36 mėnesiai.</w:t>
      </w:r>
    </w:p>
    <w:p w14:paraId="5C4A8F69" w14:textId="7A0D1B87" w:rsidR="00C51EEE" w:rsidRDefault="00C51EEE" w:rsidP="00252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bookmarkStart w:id="3" w:name="_Hlk512591765"/>
      <w:r w:rsidRPr="00862A4E">
        <w:rPr>
          <w:rFonts w:ascii="Times New Roman" w:eastAsia="Calibri" w:hAnsi="Times New Roman" w:cs="Times New Roman"/>
          <w:sz w:val="24"/>
          <w:szCs w:val="24"/>
        </w:rPr>
        <w:t>71 straipsnio 1 dalies 2 punkto (c) papunk</w:t>
      </w:r>
      <w:r w:rsidR="00DF0392">
        <w:rPr>
          <w:rFonts w:ascii="Times New Roman" w:eastAsia="Calibri" w:hAnsi="Times New Roman" w:cs="Times New Roman"/>
          <w:sz w:val="24"/>
          <w:szCs w:val="24"/>
        </w:rPr>
        <w:t>tyje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r w:rsidRPr="00862A4E">
        <w:rPr>
          <w:rFonts w:ascii="Times New Roman" w:eastAsia="Calibri" w:hAnsi="Times New Roman" w:cs="Times New Roman"/>
          <w:sz w:val="24"/>
          <w:szCs w:val="24"/>
        </w:rPr>
        <w:t>nu</w:t>
      </w:r>
      <w:r w:rsidR="00F754C8">
        <w:rPr>
          <w:rFonts w:ascii="Times New Roman" w:eastAsia="Calibri" w:hAnsi="Times New Roman" w:cs="Times New Roman"/>
          <w:sz w:val="24"/>
          <w:szCs w:val="24"/>
        </w:rPr>
        <w:t>statyta</w:t>
      </w:r>
      <w:r w:rsidR="00DF0392">
        <w:rPr>
          <w:rFonts w:ascii="Times New Roman" w:eastAsia="Calibri" w:hAnsi="Times New Roman" w:cs="Times New Roman"/>
          <w:sz w:val="24"/>
          <w:szCs w:val="24"/>
        </w:rPr>
        <w:t>,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31EA1F22" w14:textId="7405583C" w:rsidR="005E03E0" w:rsidRPr="00B3372D" w:rsidRDefault="005E03E0" w:rsidP="0025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 w:rsidR="004E7D70">
        <w:rPr>
          <w:rFonts w:ascii="Times New Roman" w:eastAsia="Times New Roman" w:hAnsi="Times New Roman" w:cs="Times New Roman"/>
          <w:sz w:val="24"/>
          <w:szCs w:val="24"/>
        </w:rPr>
        <w:t>Perkančiosios organizacijos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prašyme nurodytas aplinkybes</w:t>
      </w:r>
      <w:r w:rsidR="00567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 w:rsidR="00567382"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110"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="00326110"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7382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326110"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</w:t>
      </w:r>
      <w:r w:rsidR="00326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9BF"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 w:rsidR="00E519BF">
        <w:rPr>
          <w:rFonts w:ascii="Times New Roman" w:hAnsi="Times New Roman" w:cs="Times New Roman"/>
          <w:sz w:val="24"/>
          <w:szCs w:val="24"/>
        </w:rPr>
        <w:t>c</w:t>
      </w:r>
      <w:r w:rsidR="00E519BF" w:rsidRPr="007A5BF7">
        <w:rPr>
          <w:rFonts w:ascii="Times New Roman" w:hAnsi="Times New Roman" w:cs="Times New Roman"/>
          <w:sz w:val="24"/>
          <w:szCs w:val="24"/>
        </w:rPr>
        <w:t>)</w:t>
      </w:r>
      <w:r w:rsidR="00E519BF">
        <w:rPr>
          <w:rFonts w:ascii="Times New Roman" w:hAnsi="Times New Roman" w:cs="Times New Roman"/>
          <w:sz w:val="24"/>
          <w:szCs w:val="24"/>
        </w:rPr>
        <w:t xml:space="preserve"> </w:t>
      </w:r>
      <w:r w:rsidR="00326110">
        <w:rPr>
          <w:rFonts w:ascii="Times New Roman" w:eastAsia="Times New Roman" w:hAnsi="Times New Roman" w:cs="Times New Roman"/>
          <w:sz w:val="24"/>
          <w:szCs w:val="24"/>
        </w:rPr>
        <w:t xml:space="preserve">nuostatas, t. y. </w:t>
      </w:r>
      <w:r w:rsidR="00E519BF">
        <w:rPr>
          <w:rFonts w:ascii="Times New Roman" w:eastAsia="Times New Roman" w:hAnsi="Times New Roman" w:cs="Times New Roman"/>
          <w:sz w:val="24"/>
          <w:szCs w:val="24"/>
        </w:rPr>
        <w:t>nagrinėjamu</w:t>
      </w:r>
      <w:r w:rsidR="00326110">
        <w:rPr>
          <w:rFonts w:ascii="Times New Roman" w:eastAsia="Times New Roman" w:hAnsi="Times New Roman" w:cs="Times New Roman"/>
          <w:sz w:val="24"/>
          <w:szCs w:val="24"/>
        </w:rPr>
        <w:t xml:space="preserve"> atveju dėl išimtinių teisių </w:t>
      </w:r>
      <w:r w:rsidR="00E519BF">
        <w:rPr>
          <w:rFonts w:ascii="Times New Roman" w:eastAsia="Times New Roman" w:hAnsi="Times New Roman" w:cs="Times New Roman"/>
          <w:sz w:val="24"/>
          <w:szCs w:val="24"/>
        </w:rPr>
        <w:t xml:space="preserve">apsaugos </w:t>
      </w:r>
      <w:r w:rsidR="00326110">
        <w:rPr>
          <w:rFonts w:ascii="Times New Roman" w:eastAsia="Times New Roman" w:hAnsi="Times New Roman" w:cs="Times New Roman"/>
          <w:sz w:val="24"/>
          <w:szCs w:val="24"/>
        </w:rPr>
        <w:t>Pirkimu sieki</w:t>
      </w:r>
      <w:r w:rsidR="00E519B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26110">
        <w:rPr>
          <w:rFonts w:ascii="Times New Roman" w:eastAsia="Times New Roman" w:hAnsi="Times New Roman" w:cs="Times New Roman"/>
          <w:sz w:val="24"/>
          <w:szCs w:val="24"/>
        </w:rPr>
        <w:t xml:space="preserve">mas įsigyti paslaugas </w:t>
      </w:r>
      <w:r w:rsidR="00D05DE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05DEF" w:rsidRPr="00D05DEF">
        <w:rPr>
          <w:rFonts w:ascii="Times New Roman" w:eastAsia="Times New Roman" w:hAnsi="Times New Roman" w:cs="Times New Roman"/>
          <w:iCs/>
          <w:sz w:val="24"/>
          <w:szCs w:val="24"/>
        </w:rPr>
        <w:t>Oracle programinės įrangos palaikymo paslaug</w:t>
      </w:r>
      <w:r w:rsidR="00D05DEF">
        <w:rPr>
          <w:rFonts w:ascii="Times New Roman" w:eastAsia="Times New Roman" w:hAnsi="Times New Roman" w:cs="Times New Roman"/>
          <w:iCs/>
          <w:sz w:val="24"/>
          <w:szCs w:val="24"/>
        </w:rPr>
        <w:t xml:space="preserve">as, </w:t>
      </w:r>
      <w:r w:rsidR="00326110">
        <w:rPr>
          <w:rFonts w:ascii="Times New Roman" w:eastAsia="Times New Roman" w:hAnsi="Times New Roman" w:cs="Times New Roman"/>
          <w:sz w:val="24"/>
          <w:szCs w:val="24"/>
        </w:rPr>
        <w:t>gali suteikti tik konkretus tiekėjas</w:t>
      </w:r>
      <w:r w:rsidR="00D05D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5DEF">
        <w:rPr>
          <w:rFonts w:ascii="Times New Roman" w:eastAsia="Calibri" w:hAnsi="Times New Roman" w:cs="Times New Roman"/>
          <w:sz w:val="24"/>
          <w:szCs w:val="24"/>
          <w:lang w:eastAsia="lt-LT"/>
        </w:rPr>
        <w:t>Atsižvelgdama į</w:t>
      </w:r>
      <w:r w:rsidR="00D05DEF" w:rsidRPr="006102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aukščiau išdėstytą bei vadovaudamasi Įstatymo 95 straipsnio 2 dalies 6 punkto nuostatomis, </w:t>
      </w:r>
      <w:r w:rsidR="00D05DEF" w:rsidRPr="0061022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0C5">
        <w:rPr>
          <w:rFonts w:ascii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4E7D70">
        <w:rPr>
          <w:rFonts w:ascii="Times New Roman" w:hAnsi="Times New Roman" w:cs="Times New Roman"/>
          <w:sz w:val="24"/>
          <w:szCs w:val="24"/>
        </w:rPr>
        <w:t>Perkančioji organizacija</w:t>
      </w:r>
      <w:r w:rsidR="00A36386">
        <w:rPr>
          <w:rFonts w:ascii="Times New Roman" w:hAnsi="Times New Roman" w:cs="Times New Roman"/>
          <w:sz w:val="24"/>
          <w:szCs w:val="24"/>
        </w:rPr>
        <w:t xml:space="preserve"> </w:t>
      </w:r>
      <w:r w:rsidRPr="005D4474">
        <w:rPr>
          <w:rFonts w:ascii="Times New Roman" w:eastAsia="Times New Roman" w:hAnsi="Times New Roman" w:cs="Times New Roman"/>
          <w:i/>
          <w:sz w:val="24"/>
          <w:szCs w:val="24"/>
        </w:rPr>
        <w:t>Oracle programinės įrangos palaikymo paslaugų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95E90">
        <w:rPr>
          <w:rFonts w:ascii="Times New Roman" w:eastAsia="Calibri" w:hAnsi="Times New Roman" w:cs="Times New Roman"/>
          <w:i/>
          <w:iCs/>
          <w:sz w:val="24"/>
          <w:szCs w:val="24"/>
        </w:rPr>
        <w:t>viešąjį pirkimą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vykdytų neskelbiamų derybų būdu </w:t>
      </w:r>
      <w:r w:rsidRPr="007A5BF7">
        <w:rPr>
          <w:rFonts w:ascii="Times New Roman" w:hAnsi="Times New Roman" w:cs="Times New Roman"/>
          <w:sz w:val="24"/>
          <w:szCs w:val="24"/>
        </w:rPr>
        <w:t xml:space="preserve">vadovaujantis Įstatymo </w:t>
      </w:r>
      <w:bookmarkStart w:id="4" w:name="_Hlk769388"/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papunkči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5BF7">
        <w:rPr>
          <w:rFonts w:ascii="Times New Roman" w:hAnsi="Times New Roman" w:cs="Times New Roman"/>
          <w:sz w:val="24"/>
          <w:szCs w:val="24"/>
        </w:rPr>
        <w:t xml:space="preserve"> nuostatomis, į derybas kviečiant </w:t>
      </w:r>
      <w:r w:rsidR="00E519BF" w:rsidRPr="00986BBB">
        <w:rPr>
          <w:rFonts w:ascii="Times New Roman" w:eastAsia="Times New Roman" w:hAnsi="Times New Roman" w:cs="Times New Roman"/>
          <w:bCs/>
          <w:sz w:val="24"/>
          <w:szCs w:val="24"/>
        </w:rPr>
        <w:t>Oracle East Central Europe Limited filial</w:t>
      </w:r>
      <w:r w:rsidR="00E519BF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7A5BF7">
        <w:rPr>
          <w:rFonts w:ascii="Times New Roman" w:hAnsi="Times New Roman" w:cs="Times New Roman"/>
          <w:sz w:val="24"/>
          <w:szCs w:val="24"/>
        </w:rPr>
        <w:t>.</w:t>
      </w:r>
    </w:p>
    <w:p w14:paraId="3484465D" w14:textId="77777777" w:rsidR="00BB3B5B" w:rsidRDefault="00BB3B5B" w:rsidP="002528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4C588" w14:textId="0B74FE75" w:rsidR="00294E33" w:rsidRDefault="00294E33" w:rsidP="004E7D7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 xml:space="preserve">Direktorius 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7D70">
        <w:rPr>
          <w:rFonts w:ascii="Times New Roman" w:eastAsia="Times New Roman" w:hAnsi="Times New Roman" w:cs="Times New Roman"/>
          <w:sz w:val="24"/>
          <w:szCs w:val="24"/>
        </w:rPr>
        <w:tab/>
      </w:r>
      <w:r w:rsidR="004E7D70">
        <w:rPr>
          <w:rFonts w:ascii="Times New Roman" w:eastAsia="Times New Roman" w:hAnsi="Times New Roman" w:cs="Times New Roman"/>
          <w:sz w:val="24"/>
          <w:szCs w:val="24"/>
        </w:rPr>
        <w:tab/>
        <w:t>Darius Vedrickas</w:t>
      </w:r>
    </w:p>
    <w:p w14:paraId="66C9FE60" w14:textId="5EC9E4CD" w:rsidR="005E03E0" w:rsidRDefault="005E03E0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5B669E" w14:textId="603D3F72" w:rsidR="008D0E13" w:rsidRDefault="008D0E13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B7D76D" w14:textId="2FD03BD4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93F593" w14:textId="61410621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951840" w14:textId="70D0172E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1627EF" w14:textId="3F06EF24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11008A" w14:textId="0F4E540D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FB26C0" w14:textId="1A5F7D46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55945C" w14:textId="5A297486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681020" w14:textId="4A3F4E20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A50BCC" w14:textId="4BC279B5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C40478" w14:textId="40EC6921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89E271" w14:textId="6CC0DF84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4BBC52" w14:textId="77777777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964EF2" w14:textId="77777777" w:rsidR="00AF3C8D" w:rsidRDefault="00AF3C8D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EA9940" w14:textId="77777777" w:rsidR="008D0E13" w:rsidRDefault="008D0E13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8C08B8" w14:textId="117FBF82" w:rsidR="000D5ACD" w:rsidRDefault="004E7D70" w:rsidP="00294E3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Živilė Gasiulienė</w:t>
      </w:r>
      <w:r w:rsidR="00294E33" w:rsidRPr="000B35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24D2" w:rsidRPr="005024D2">
        <w:rPr>
          <w:rFonts w:ascii="Times New Roman" w:eastAsia="Times New Roman" w:hAnsi="Times New Roman" w:cs="Times New Roman"/>
          <w:sz w:val="24"/>
          <w:szCs w:val="24"/>
        </w:rPr>
        <w:t>tel. (+370) 69024148, el. p. Zivile.Gasiuliene@vpt.lt</w:t>
      </w:r>
    </w:p>
    <w:sectPr w:rsidR="000D5ACD" w:rsidSect="00835748">
      <w:headerReference w:type="even" r:id="rId12"/>
      <w:headerReference w:type="defaul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02E9" w14:textId="77777777" w:rsidR="003850EB" w:rsidRDefault="003850EB">
      <w:pPr>
        <w:spacing w:after="0" w:line="240" w:lineRule="auto"/>
      </w:pPr>
      <w:r>
        <w:separator/>
      </w:r>
    </w:p>
  </w:endnote>
  <w:endnote w:type="continuationSeparator" w:id="0">
    <w:p w14:paraId="001F87E2" w14:textId="77777777" w:rsidR="003850EB" w:rsidRDefault="0038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F314" w14:textId="3BD5DFF4" w:rsidR="003D2F85" w:rsidRPr="00294E33" w:rsidRDefault="007160D7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294E33">
      <w:rPr>
        <w:rFonts w:ascii="Times New Roman" w:eastAsia="Times New Roman" w:hAnsi="Times New Roman" w:cs="Times New Roman"/>
        <w:sz w:val="20"/>
        <w:szCs w:val="20"/>
      </w:rPr>
      <w:t>Biudžetinė įstaiga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="00E84F31" w:rsidRPr="00294E33">
      <w:rPr>
        <w:rFonts w:ascii="Times New Roman" w:eastAsia="Times New Roman" w:hAnsi="Times New Roman" w:cs="Times New Roman"/>
        <w:sz w:val="20"/>
        <w:szCs w:val="20"/>
      </w:rPr>
      <w:tab/>
    </w:r>
    <w:r w:rsidRPr="00294E33">
      <w:rPr>
        <w:rFonts w:ascii="Times New Roman" w:eastAsia="Times New Roman" w:hAnsi="Times New Roman" w:cs="Times New Roman"/>
        <w:sz w:val="20"/>
        <w:szCs w:val="20"/>
      </w:rPr>
      <w:t>Tel.  (8 5) 219 7001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Pr="00294E33">
      <w:rPr>
        <w:rFonts w:ascii="Times New Roman" w:eastAsia="Times New Roman" w:hAnsi="Times New Roman" w:cs="Times New Roman"/>
        <w:sz w:val="20"/>
        <w:szCs w:val="20"/>
      </w:rPr>
      <w:t>Duomenys kaupiami ir saugomi</w:t>
    </w:r>
  </w:p>
  <w:p w14:paraId="5540FC96" w14:textId="264F5B9D" w:rsidR="003D2F85" w:rsidRPr="00294E33" w:rsidRDefault="007160D7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294E33">
      <w:rPr>
        <w:rFonts w:ascii="Times New Roman" w:eastAsia="Times New Roman" w:hAnsi="Times New Roman" w:cs="Times New Roman"/>
        <w:sz w:val="20"/>
        <w:szCs w:val="20"/>
      </w:rPr>
      <w:t>Kareivių g. 1,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94E33" w:rsidRPr="00294E33">
      <w:rPr>
        <w:rFonts w:ascii="Times New Roman" w:hAnsi="Times New Roman" w:cs="Times New Roman"/>
        <w:sz w:val="20"/>
        <w:szCs w:val="20"/>
      </w:rPr>
      <w:t xml:space="preserve">08351 </w:t>
    </w:r>
    <w:r w:rsidRPr="00294E33">
      <w:rPr>
        <w:rFonts w:ascii="Times New Roman" w:eastAsia="Times New Roman" w:hAnsi="Times New Roman" w:cs="Times New Roman"/>
        <w:sz w:val="20"/>
        <w:szCs w:val="20"/>
      </w:rPr>
      <w:t>Vilnius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Pr="00294E33">
      <w:rPr>
        <w:rFonts w:ascii="Times New Roman" w:eastAsia="Times New Roman" w:hAnsi="Times New Roman" w:cs="Times New Roman"/>
        <w:sz w:val="20"/>
        <w:szCs w:val="20"/>
      </w:rPr>
      <w:t>Faks. (8 5) 213 6213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Pr="00294E33">
      <w:rPr>
        <w:rFonts w:ascii="Times New Roman" w:eastAsia="Times New Roman" w:hAnsi="Times New Roman" w:cs="Times New Roman"/>
        <w:sz w:val="20"/>
        <w:szCs w:val="20"/>
      </w:rPr>
      <w:t>Juridinių asmenų registre</w:t>
    </w:r>
  </w:p>
  <w:p w14:paraId="3926FAC8" w14:textId="07F67C29" w:rsidR="003D2F85" w:rsidRPr="00294E33" w:rsidRDefault="003850EB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hyperlink r:id="rId1" w:history="1">
      <w:r w:rsidR="004A296F" w:rsidRPr="00294E33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</w:rPr>
        <w:t>www.vpt.lrv.lt</w:t>
      </w:r>
    </w:hyperlink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="004A296F" w:rsidRPr="00294E33">
      <w:rPr>
        <w:rFonts w:ascii="Times New Roman" w:eastAsia="Times New Roman" w:hAnsi="Times New Roman" w:cs="Times New Roman"/>
        <w:sz w:val="20"/>
        <w:szCs w:val="20"/>
      </w:rPr>
      <w:tab/>
    </w:r>
    <w:r w:rsidR="007160D7" w:rsidRPr="00294E33">
      <w:rPr>
        <w:rFonts w:ascii="Times New Roman" w:eastAsia="Times New Roman" w:hAnsi="Times New Roman" w:cs="Times New Roman"/>
        <w:sz w:val="20"/>
        <w:szCs w:val="20"/>
      </w:rPr>
      <w:t>El.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7160D7" w:rsidRPr="00294E33">
      <w:rPr>
        <w:rFonts w:ascii="Times New Roman" w:eastAsia="Times New Roman" w:hAnsi="Times New Roman" w:cs="Times New Roman"/>
        <w:sz w:val="20"/>
        <w:szCs w:val="20"/>
      </w:rPr>
      <w:t xml:space="preserve">p. </w:t>
    </w:r>
    <w:hyperlink r:id="rId2" w:history="1">
      <w:r w:rsidR="00206A4D" w:rsidRPr="00294E33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</w:rPr>
        <w:t>info@vpt.lt</w:t>
      </w:r>
    </w:hyperlink>
    <w:r w:rsidR="00206A4D" w:rsidRPr="00294E33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206A4D" w:rsidRPr="00294E33">
      <w:rPr>
        <w:rFonts w:ascii="Times New Roman" w:eastAsia="Times New Roman" w:hAnsi="Times New Roman" w:cs="Times New Roman"/>
        <w:sz w:val="20"/>
        <w:szCs w:val="20"/>
      </w:rPr>
      <w:tab/>
    </w:r>
    <w:r w:rsidR="007160D7" w:rsidRPr="00294E33">
      <w:rPr>
        <w:rFonts w:ascii="Times New Roman" w:eastAsia="Times New Roman" w:hAnsi="Times New Roman" w:cs="Times New Roman"/>
        <w:sz w:val="20"/>
        <w:szCs w:val="20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EAE0" w14:textId="77777777" w:rsidR="003850EB" w:rsidRDefault="003850EB">
      <w:pPr>
        <w:spacing w:after="0" w:line="240" w:lineRule="auto"/>
      </w:pPr>
      <w:r>
        <w:separator/>
      </w:r>
    </w:p>
  </w:footnote>
  <w:footnote w:type="continuationSeparator" w:id="0">
    <w:p w14:paraId="10EFB1DB" w14:textId="77777777" w:rsidR="003850EB" w:rsidRDefault="003850EB">
      <w:pPr>
        <w:spacing w:after="0" w:line="240" w:lineRule="auto"/>
      </w:pPr>
      <w:r>
        <w:continuationSeparator/>
      </w:r>
    </w:p>
  </w:footnote>
  <w:footnote w:id="1">
    <w:p w14:paraId="2564BC85" w14:textId="118E852C" w:rsidR="00852B85" w:rsidRPr="00995E90" w:rsidRDefault="00852B85" w:rsidP="00995E9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0B11D7" w:rsidRPr="00995E90">
        <w:rPr>
          <w:rFonts w:ascii="Times New Roman" w:hAnsi="Times New Roman" w:cs="Times New Roman"/>
        </w:rPr>
        <w:t>Paslaugos įsigytos vykd</w:t>
      </w:r>
      <w:r w:rsidR="000B11D7">
        <w:rPr>
          <w:rFonts w:ascii="Times New Roman" w:hAnsi="Times New Roman" w:cs="Times New Roman"/>
        </w:rPr>
        <w:t>ant pirkimą neskelbiamų derybų būdu</w:t>
      </w:r>
      <w:r w:rsidR="00AE0F42">
        <w:rPr>
          <w:rFonts w:ascii="Times New Roman" w:hAnsi="Times New Roman" w:cs="Times New Roman"/>
        </w:rPr>
        <w:t>,</w:t>
      </w:r>
      <w:r w:rsidR="000B11D7">
        <w:rPr>
          <w:rFonts w:ascii="Times New Roman" w:hAnsi="Times New Roman" w:cs="Times New Roman"/>
        </w:rPr>
        <w:t xml:space="preserve"> </w:t>
      </w:r>
      <w:r w:rsidR="000B11D7" w:rsidRPr="00995E90">
        <w:rPr>
          <w:rFonts w:ascii="Times New Roman" w:hAnsi="Times New Roman" w:cs="Times New Roman"/>
        </w:rPr>
        <w:t xml:space="preserve">gavus </w:t>
      </w:r>
      <w:r w:rsidR="000B11D7">
        <w:rPr>
          <w:rFonts w:ascii="Times New Roman" w:hAnsi="Times New Roman" w:cs="Times New Roman"/>
        </w:rPr>
        <w:t>T</w:t>
      </w:r>
      <w:r w:rsidR="000B11D7" w:rsidRPr="00995E90">
        <w:rPr>
          <w:rFonts w:ascii="Times New Roman" w:hAnsi="Times New Roman" w:cs="Times New Roman"/>
        </w:rPr>
        <w:t>arnybos sutikimą dėl tokio pirkimo būdo pasirinkimo:</w:t>
      </w:r>
      <w:r w:rsidR="00AF3C8D" w:rsidRPr="00995E90">
        <w:rPr>
          <w:rFonts w:ascii="Times New Roman" w:hAnsi="Times New Roman" w:cs="Times New Roman"/>
        </w:rPr>
        <w:t xml:space="preserve"> 2019</w:t>
      </w:r>
      <w:r w:rsidR="000B11D7" w:rsidRPr="00995E90">
        <w:rPr>
          <w:rFonts w:ascii="Times New Roman" w:hAnsi="Times New Roman" w:cs="Times New Roman"/>
        </w:rPr>
        <w:t xml:space="preserve"> m. vasario </w:t>
      </w:r>
      <w:r w:rsidR="00AF3C8D" w:rsidRPr="00995E90">
        <w:rPr>
          <w:rFonts w:ascii="Times New Roman" w:hAnsi="Times New Roman" w:cs="Times New Roman"/>
        </w:rPr>
        <w:t xml:space="preserve">11 </w:t>
      </w:r>
      <w:r w:rsidR="000B11D7" w:rsidRPr="00995E90">
        <w:rPr>
          <w:rFonts w:ascii="Times New Roman" w:hAnsi="Times New Roman" w:cs="Times New Roman"/>
        </w:rPr>
        <w:t xml:space="preserve">d. Tarnybos </w:t>
      </w:r>
      <w:r w:rsidR="00AF3C8D" w:rsidRPr="00995E90">
        <w:rPr>
          <w:rFonts w:ascii="Times New Roman" w:hAnsi="Times New Roman" w:cs="Times New Roman"/>
        </w:rPr>
        <w:t>sprendim</w:t>
      </w:r>
      <w:r w:rsidR="000B11D7" w:rsidRPr="00995E90">
        <w:rPr>
          <w:rFonts w:ascii="Times New Roman" w:hAnsi="Times New Roman" w:cs="Times New Roman"/>
        </w:rPr>
        <w:t>as</w:t>
      </w:r>
      <w:r w:rsidR="00AF3C8D" w:rsidRPr="00995E90">
        <w:rPr>
          <w:rFonts w:ascii="Times New Roman" w:hAnsi="Times New Roman" w:cs="Times New Roman"/>
        </w:rPr>
        <w:t xml:space="preserve"> Nr. 4S-162 „Dėl sutikimo pirkti neskelbiamų derybų būdu“;</w:t>
      </w:r>
    </w:p>
  </w:footnote>
  <w:footnote w:id="2">
    <w:p w14:paraId="509CD2FD" w14:textId="02D3F13F" w:rsidR="001A6C8C" w:rsidRPr="00AF3C8D" w:rsidRDefault="001A6C8C">
      <w:pPr>
        <w:pStyle w:val="FootnoteText"/>
        <w:rPr>
          <w:rFonts w:asciiTheme="majorBidi" w:hAnsiTheme="majorBidi" w:cstheme="majorBidi"/>
          <w:lang w:val="en-US"/>
        </w:rPr>
      </w:pPr>
      <w:r w:rsidRPr="00AF3C8D">
        <w:rPr>
          <w:rStyle w:val="FootnoteReference"/>
          <w:rFonts w:asciiTheme="majorBidi" w:hAnsiTheme="majorBidi" w:cstheme="majorBidi"/>
        </w:rPr>
        <w:footnoteRef/>
      </w:r>
      <w:r w:rsidRPr="00AF3C8D">
        <w:rPr>
          <w:rFonts w:asciiTheme="majorBidi" w:hAnsiTheme="majorBidi" w:cstheme="majorBidi"/>
        </w:rPr>
        <w:t xml:space="preserve"> </w:t>
      </w:r>
      <w:r w:rsidRPr="00AF3C8D">
        <w:rPr>
          <w:rFonts w:asciiTheme="majorBidi" w:eastAsia="Times New Roman" w:hAnsiTheme="majorBidi" w:cstheme="majorBidi"/>
        </w:rPr>
        <w:t xml:space="preserve">Oracle East Central Europe Limited filialo </w:t>
      </w:r>
      <w:r w:rsidRPr="00AF3C8D">
        <w:rPr>
          <w:rFonts w:asciiTheme="majorBidi" w:eastAsia="Times New Roman" w:hAnsiTheme="majorBidi" w:cstheme="majorBidi"/>
          <w:lang w:val="en-US"/>
        </w:rPr>
        <w:t xml:space="preserve">2022 m. vasario 3 d. </w:t>
      </w:r>
      <w:r w:rsidRPr="00AF3C8D">
        <w:rPr>
          <w:rFonts w:asciiTheme="majorBidi" w:eastAsia="Times New Roman" w:hAnsiTheme="majorBidi" w:cstheme="majorBidi"/>
        </w:rPr>
        <w:t xml:space="preserve">raštas Nr. </w:t>
      </w:r>
      <w:r w:rsidRPr="00AF3C8D">
        <w:rPr>
          <w:rFonts w:asciiTheme="majorBidi" w:eastAsia="Times New Roman" w:hAnsiTheme="majorBidi" w:cstheme="majorBidi"/>
          <w:lang w:val="en-US"/>
        </w:rPr>
        <w:t>01300464;</w:t>
      </w:r>
    </w:p>
  </w:footnote>
  <w:footnote w:id="3">
    <w:p w14:paraId="622DFEC2" w14:textId="77777777" w:rsidR="00F00C17" w:rsidRDefault="00F00C17" w:rsidP="00F00C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0E13">
        <w:rPr>
          <w:rFonts w:asciiTheme="majorBidi" w:hAnsiTheme="majorBidi" w:cstheme="majorBidi"/>
        </w:rPr>
        <w:t xml:space="preserve">Komisijos </w:t>
      </w:r>
      <w:r w:rsidRPr="008D0E13">
        <w:rPr>
          <w:rFonts w:asciiTheme="majorBidi" w:hAnsiTheme="majorBidi" w:cstheme="majorBidi"/>
          <w:lang w:val="en-US"/>
        </w:rPr>
        <w:t>2022 m. vasario 24 d. protokolas.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F982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8B229" w14:textId="77777777" w:rsidR="003156C8" w:rsidRDefault="0038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CE2C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B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4651F" w14:textId="77777777" w:rsidR="003156C8" w:rsidRDefault="00385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17F6"/>
    <w:multiLevelType w:val="hybridMultilevel"/>
    <w:tmpl w:val="D1DEBF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CD"/>
    <w:rsid w:val="000124AC"/>
    <w:rsid w:val="00021C76"/>
    <w:rsid w:val="000276CC"/>
    <w:rsid w:val="00041387"/>
    <w:rsid w:val="00043F9C"/>
    <w:rsid w:val="00047B5E"/>
    <w:rsid w:val="00051457"/>
    <w:rsid w:val="00052917"/>
    <w:rsid w:val="000544CA"/>
    <w:rsid w:val="0008416F"/>
    <w:rsid w:val="00092329"/>
    <w:rsid w:val="00092B9F"/>
    <w:rsid w:val="000A1F40"/>
    <w:rsid w:val="000B11D7"/>
    <w:rsid w:val="000D028A"/>
    <w:rsid w:val="000D5ACD"/>
    <w:rsid w:val="000F18C1"/>
    <w:rsid w:val="00100D57"/>
    <w:rsid w:val="001053DF"/>
    <w:rsid w:val="00106971"/>
    <w:rsid w:val="00123DB2"/>
    <w:rsid w:val="0012730B"/>
    <w:rsid w:val="00155410"/>
    <w:rsid w:val="00162375"/>
    <w:rsid w:val="001700A5"/>
    <w:rsid w:val="001707D4"/>
    <w:rsid w:val="001A6C8C"/>
    <w:rsid w:val="001B080E"/>
    <w:rsid w:val="001B4634"/>
    <w:rsid w:val="001B7F66"/>
    <w:rsid w:val="001D29D7"/>
    <w:rsid w:val="001D2A1D"/>
    <w:rsid w:val="001F3ECC"/>
    <w:rsid w:val="001F44D4"/>
    <w:rsid w:val="001F4800"/>
    <w:rsid w:val="00206A4D"/>
    <w:rsid w:val="00232E45"/>
    <w:rsid w:val="0023599C"/>
    <w:rsid w:val="0025288A"/>
    <w:rsid w:val="0027630A"/>
    <w:rsid w:val="00282CD0"/>
    <w:rsid w:val="00294315"/>
    <w:rsid w:val="00294E33"/>
    <w:rsid w:val="002A104E"/>
    <w:rsid w:val="002B4CEA"/>
    <w:rsid w:val="002B5808"/>
    <w:rsid w:val="002B7A80"/>
    <w:rsid w:val="002D0714"/>
    <w:rsid w:val="002E39C2"/>
    <w:rsid w:val="002E4321"/>
    <w:rsid w:val="002E4FBD"/>
    <w:rsid w:val="002F6796"/>
    <w:rsid w:val="0030388F"/>
    <w:rsid w:val="00306B3D"/>
    <w:rsid w:val="00312647"/>
    <w:rsid w:val="00326110"/>
    <w:rsid w:val="00331323"/>
    <w:rsid w:val="00343029"/>
    <w:rsid w:val="003479E4"/>
    <w:rsid w:val="003607C8"/>
    <w:rsid w:val="0036725E"/>
    <w:rsid w:val="003678BB"/>
    <w:rsid w:val="003709F0"/>
    <w:rsid w:val="00370FA5"/>
    <w:rsid w:val="003850EB"/>
    <w:rsid w:val="003A0593"/>
    <w:rsid w:val="003A59E9"/>
    <w:rsid w:val="003A6CC6"/>
    <w:rsid w:val="003B5D62"/>
    <w:rsid w:val="003C091C"/>
    <w:rsid w:val="003D1CFE"/>
    <w:rsid w:val="003E1FC0"/>
    <w:rsid w:val="003F61F0"/>
    <w:rsid w:val="00401A76"/>
    <w:rsid w:val="00403215"/>
    <w:rsid w:val="00406F6F"/>
    <w:rsid w:val="00416D8A"/>
    <w:rsid w:val="00421DFE"/>
    <w:rsid w:val="004403D5"/>
    <w:rsid w:val="00441881"/>
    <w:rsid w:val="004709C5"/>
    <w:rsid w:val="00475977"/>
    <w:rsid w:val="00481863"/>
    <w:rsid w:val="004915C0"/>
    <w:rsid w:val="004979BD"/>
    <w:rsid w:val="004A296F"/>
    <w:rsid w:val="004B22D6"/>
    <w:rsid w:val="004B26A9"/>
    <w:rsid w:val="004B463B"/>
    <w:rsid w:val="004C3EDD"/>
    <w:rsid w:val="004D6B78"/>
    <w:rsid w:val="004E7D70"/>
    <w:rsid w:val="005024D2"/>
    <w:rsid w:val="0050357B"/>
    <w:rsid w:val="00514B04"/>
    <w:rsid w:val="0051692E"/>
    <w:rsid w:val="00521D2D"/>
    <w:rsid w:val="00543A43"/>
    <w:rsid w:val="00544439"/>
    <w:rsid w:val="00544F01"/>
    <w:rsid w:val="005459A7"/>
    <w:rsid w:val="00551E59"/>
    <w:rsid w:val="00567382"/>
    <w:rsid w:val="00567452"/>
    <w:rsid w:val="0058422B"/>
    <w:rsid w:val="00590C04"/>
    <w:rsid w:val="005945B0"/>
    <w:rsid w:val="00595579"/>
    <w:rsid w:val="005A7428"/>
    <w:rsid w:val="005B5982"/>
    <w:rsid w:val="005B7D0D"/>
    <w:rsid w:val="005C18F3"/>
    <w:rsid w:val="005D4474"/>
    <w:rsid w:val="005D56DA"/>
    <w:rsid w:val="005E03E0"/>
    <w:rsid w:val="005E0B84"/>
    <w:rsid w:val="005E4B58"/>
    <w:rsid w:val="005E55C1"/>
    <w:rsid w:val="005F053B"/>
    <w:rsid w:val="005F198F"/>
    <w:rsid w:val="00613C44"/>
    <w:rsid w:val="00617E5C"/>
    <w:rsid w:val="00633083"/>
    <w:rsid w:val="0063352E"/>
    <w:rsid w:val="00634FBF"/>
    <w:rsid w:val="0064101F"/>
    <w:rsid w:val="00643CC9"/>
    <w:rsid w:val="00651D74"/>
    <w:rsid w:val="00665209"/>
    <w:rsid w:val="00670E28"/>
    <w:rsid w:val="00674694"/>
    <w:rsid w:val="00676700"/>
    <w:rsid w:val="00682F21"/>
    <w:rsid w:val="006967D5"/>
    <w:rsid w:val="006A7E09"/>
    <w:rsid w:val="006C7342"/>
    <w:rsid w:val="006F1402"/>
    <w:rsid w:val="006F6F51"/>
    <w:rsid w:val="00713856"/>
    <w:rsid w:val="007160D7"/>
    <w:rsid w:val="00717ADB"/>
    <w:rsid w:val="00721127"/>
    <w:rsid w:val="00731BA6"/>
    <w:rsid w:val="0075214B"/>
    <w:rsid w:val="00752C5B"/>
    <w:rsid w:val="0076572A"/>
    <w:rsid w:val="007666FE"/>
    <w:rsid w:val="00772DD2"/>
    <w:rsid w:val="00776F0F"/>
    <w:rsid w:val="00786A42"/>
    <w:rsid w:val="007A3BB3"/>
    <w:rsid w:val="007C47DA"/>
    <w:rsid w:val="007D346B"/>
    <w:rsid w:val="007D3571"/>
    <w:rsid w:val="007E0654"/>
    <w:rsid w:val="007E577D"/>
    <w:rsid w:val="007E5E44"/>
    <w:rsid w:val="007F1A5D"/>
    <w:rsid w:val="007F2FEB"/>
    <w:rsid w:val="007F758E"/>
    <w:rsid w:val="00825460"/>
    <w:rsid w:val="00835748"/>
    <w:rsid w:val="008442EA"/>
    <w:rsid w:val="00851211"/>
    <w:rsid w:val="00852B85"/>
    <w:rsid w:val="008761BA"/>
    <w:rsid w:val="0088298E"/>
    <w:rsid w:val="008A2F87"/>
    <w:rsid w:val="008B706C"/>
    <w:rsid w:val="008C183D"/>
    <w:rsid w:val="008C347F"/>
    <w:rsid w:val="008D0E13"/>
    <w:rsid w:val="008E1313"/>
    <w:rsid w:val="00904355"/>
    <w:rsid w:val="00910AB1"/>
    <w:rsid w:val="00915E76"/>
    <w:rsid w:val="00922CFD"/>
    <w:rsid w:val="009507CA"/>
    <w:rsid w:val="009602A0"/>
    <w:rsid w:val="00963A83"/>
    <w:rsid w:val="009701F6"/>
    <w:rsid w:val="00971F18"/>
    <w:rsid w:val="00986BBB"/>
    <w:rsid w:val="00995E90"/>
    <w:rsid w:val="009B616E"/>
    <w:rsid w:val="009C1329"/>
    <w:rsid w:val="009D0AA3"/>
    <w:rsid w:val="009E2F7F"/>
    <w:rsid w:val="009F0605"/>
    <w:rsid w:val="009F67A4"/>
    <w:rsid w:val="00A00F8D"/>
    <w:rsid w:val="00A043B5"/>
    <w:rsid w:val="00A076C9"/>
    <w:rsid w:val="00A11BAB"/>
    <w:rsid w:val="00A14971"/>
    <w:rsid w:val="00A173E9"/>
    <w:rsid w:val="00A21BB5"/>
    <w:rsid w:val="00A33F58"/>
    <w:rsid w:val="00A36386"/>
    <w:rsid w:val="00A453C7"/>
    <w:rsid w:val="00A54056"/>
    <w:rsid w:val="00A55610"/>
    <w:rsid w:val="00A61B2C"/>
    <w:rsid w:val="00A64E53"/>
    <w:rsid w:val="00A66409"/>
    <w:rsid w:val="00A66B41"/>
    <w:rsid w:val="00A740D0"/>
    <w:rsid w:val="00A86D54"/>
    <w:rsid w:val="00AA5888"/>
    <w:rsid w:val="00AA5924"/>
    <w:rsid w:val="00AB20ED"/>
    <w:rsid w:val="00AD7C01"/>
    <w:rsid w:val="00AE0F42"/>
    <w:rsid w:val="00AE7111"/>
    <w:rsid w:val="00AE755B"/>
    <w:rsid w:val="00AF3C8D"/>
    <w:rsid w:val="00B07BFD"/>
    <w:rsid w:val="00B32DCD"/>
    <w:rsid w:val="00B37F20"/>
    <w:rsid w:val="00B41537"/>
    <w:rsid w:val="00B44C36"/>
    <w:rsid w:val="00B44CEF"/>
    <w:rsid w:val="00B517C4"/>
    <w:rsid w:val="00B54D76"/>
    <w:rsid w:val="00B7206A"/>
    <w:rsid w:val="00B73768"/>
    <w:rsid w:val="00B7376E"/>
    <w:rsid w:val="00B9139C"/>
    <w:rsid w:val="00BA4D26"/>
    <w:rsid w:val="00BB3519"/>
    <w:rsid w:val="00BB3B5B"/>
    <w:rsid w:val="00BF2C91"/>
    <w:rsid w:val="00C0444D"/>
    <w:rsid w:val="00C20F79"/>
    <w:rsid w:val="00C34B73"/>
    <w:rsid w:val="00C3719B"/>
    <w:rsid w:val="00C37747"/>
    <w:rsid w:val="00C51EEE"/>
    <w:rsid w:val="00C53310"/>
    <w:rsid w:val="00C53774"/>
    <w:rsid w:val="00C70DF6"/>
    <w:rsid w:val="00C8594B"/>
    <w:rsid w:val="00C91E0D"/>
    <w:rsid w:val="00C94B8D"/>
    <w:rsid w:val="00C9785A"/>
    <w:rsid w:val="00CA4462"/>
    <w:rsid w:val="00CA6D22"/>
    <w:rsid w:val="00CB17DA"/>
    <w:rsid w:val="00CB2D7D"/>
    <w:rsid w:val="00CC2F1B"/>
    <w:rsid w:val="00CD18DA"/>
    <w:rsid w:val="00CE48B6"/>
    <w:rsid w:val="00CE73EB"/>
    <w:rsid w:val="00CF0BEF"/>
    <w:rsid w:val="00CF283A"/>
    <w:rsid w:val="00D018CC"/>
    <w:rsid w:val="00D05DEF"/>
    <w:rsid w:val="00D21C9F"/>
    <w:rsid w:val="00D25C53"/>
    <w:rsid w:val="00D479B3"/>
    <w:rsid w:val="00D55B58"/>
    <w:rsid w:val="00D71B55"/>
    <w:rsid w:val="00D753F4"/>
    <w:rsid w:val="00DA06AB"/>
    <w:rsid w:val="00DA1AAF"/>
    <w:rsid w:val="00DB0826"/>
    <w:rsid w:val="00DE3BFB"/>
    <w:rsid w:val="00DE5444"/>
    <w:rsid w:val="00DE5910"/>
    <w:rsid w:val="00DE7265"/>
    <w:rsid w:val="00DF0392"/>
    <w:rsid w:val="00E02065"/>
    <w:rsid w:val="00E12748"/>
    <w:rsid w:val="00E20B9A"/>
    <w:rsid w:val="00E40A49"/>
    <w:rsid w:val="00E462B7"/>
    <w:rsid w:val="00E47A1F"/>
    <w:rsid w:val="00E51887"/>
    <w:rsid w:val="00E519BF"/>
    <w:rsid w:val="00E5415E"/>
    <w:rsid w:val="00E570F6"/>
    <w:rsid w:val="00E63C25"/>
    <w:rsid w:val="00E76391"/>
    <w:rsid w:val="00E84F31"/>
    <w:rsid w:val="00E905FB"/>
    <w:rsid w:val="00EB1E7F"/>
    <w:rsid w:val="00EB2C7C"/>
    <w:rsid w:val="00EC02C1"/>
    <w:rsid w:val="00ED2132"/>
    <w:rsid w:val="00EE2004"/>
    <w:rsid w:val="00EE2394"/>
    <w:rsid w:val="00EE3E5E"/>
    <w:rsid w:val="00EE4809"/>
    <w:rsid w:val="00EF5F6D"/>
    <w:rsid w:val="00EF7D42"/>
    <w:rsid w:val="00F00C17"/>
    <w:rsid w:val="00F13C85"/>
    <w:rsid w:val="00F23D73"/>
    <w:rsid w:val="00F3639B"/>
    <w:rsid w:val="00F41275"/>
    <w:rsid w:val="00F45561"/>
    <w:rsid w:val="00F4624E"/>
    <w:rsid w:val="00F74EB7"/>
    <w:rsid w:val="00F754C8"/>
    <w:rsid w:val="00F75E16"/>
    <w:rsid w:val="00F877ED"/>
    <w:rsid w:val="00F90C5C"/>
    <w:rsid w:val="00F94F9D"/>
    <w:rsid w:val="00FA412D"/>
    <w:rsid w:val="00FB0A28"/>
    <w:rsid w:val="00FB1E53"/>
    <w:rsid w:val="00FC404C"/>
    <w:rsid w:val="00FD7BB2"/>
    <w:rsid w:val="00FD7D1E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BC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CD"/>
  </w:style>
  <w:style w:type="paragraph" w:styleId="Footer">
    <w:name w:val="footer"/>
    <w:basedOn w:val="Normal"/>
    <w:link w:val="Foot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CD"/>
  </w:style>
  <w:style w:type="character" w:styleId="PageNumber">
    <w:name w:val="page number"/>
    <w:basedOn w:val="DefaultParagraphFont"/>
    <w:rsid w:val="000D5ACD"/>
  </w:style>
  <w:style w:type="character" w:styleId="Hyperlink">
    <w:name w:val="Hyperlink"/>
    <w:basedOn w:val="DefaultParagraphFont"/>
    <w:uiPriority w:val="99"/>
    <w:unhideWhenUsed/>
    <w:rsid w:val="000D5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28"/>
    <w:rPr>
      <w:color w:val="808080"/>
      <w:shd w:val="clear" w:color="auto" w:fill="E6E6E6"/>
    </w:rPr>
  </w:style>
  <w:style w:type="character" w:customStyle="1" w:styleId="normal12ptchar">
    <w:name w:val="normal12ptchar"/>
    <w:basedOn w:val="DefaultParagraphFont"/>
    <w:rsid w:val="005459A7"/>
  </w:style>
  <w:style w:type="paragraph" w:styleId="FootnoteText">
    <w:name w:val="footnote text"/>
    <w:basedOn w:val="Normal"/>
    <w:link w:val="FootnoteTextChar"/>
    <w:uiPriority w:val="99"/>
    <w:semiHidden/>
    <w:unhideWhenUsed/>
    <w:rsid w:val="00E47A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A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7A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D2D"/>
    <w:pPr>
      <w:ind w:left="720"/>
      <w:contextualSpacing/>
    </w:pPr>
  </w:style>
  <w:style w:type="table" w:styleId="TableGrid">
    <w:name w:val="Table Grid"/>
    <w:basedOn w:val="TableNormal"/>
    <w:uiPriority w:val="39"/>
    <w:rsid w:val="00B7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63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6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D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vile.beniusiene@ignitis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pc@igniti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2143-FA7B-42CB-9F23-B85F722B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2022-03-02T11:53:00Z</dcterms:created>
  <dcterms:modified xsi:type="dcterms:W3CDTF">2022-03-02T12:11:00Z</dcterms:modified>
</cp:coreProperties>
</file>