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CB68" w14:textId="77777777" w:rsidR="00D57C0D" w:rsidRDefault="00161D7C" w:rsidP="00161D7C">
      <w:pPr>
        <w:spacing w:after="0"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11E80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04280986" r:id="rId9"/>
        </w:object>
      </w:r>
    </w:p>
    <w:p w14:paraId="18F32961" w14:textId="77777777" w:rsidR="00D57C0D" w:rsidRPr="008A38CD" w:rsidRDefault="00D57C0D" w:rsidP="00161D7C">
      <w:pPr>
        <w:spacing w:after="0" w:line="240" w:lineRule="auto"/>
        <w:rPr>
          <w:rFonts w:ascii="Times New Roman" w:hAnsi="Times New Roman" w:cs="Times New Roman"/>
          <w:sz w:val="24"/>
          <w:szCs w:val="24"/>
        </w:rPr>
      </w:pPr>
    </w:p>
    <w:p w14:paraId="4387247D" w14:textId="77777777" w:rsidR="00D57C0D" w:rsidRPr="008A38CD" w:rsidRDefault="00D57C0D" w:rsidP="00161D7C">
      <w:pPr>
        <w:spacing w:after="0" w:line="240" w:lineRule="auto"/>
        <w:rPr>
          <w:rFonts w:ascii="Times New Roman" w:eastAsia="Times New Roman" w:hAnsi="Times New Roman" w:cs="Times New Roman"/>
          <w:sz w:val="24"/>
          <w:szCs w:val="24"/>
        </w:rPr>
      </w:pPr>
    </w:p>
    <w:p w14:paraId="328F965E" w14:textId="77777777" w:rsidR="00D57C0D" w:rsidRPr="008A38CD" w:rsidRDefault="00D57C0D" w:rsidP="00161D7C">
      <w:pPr>
        <w:keepNext/>
        <w:spacing w:after="0" w:line="240" w:lineRule="auto"/>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49886E83" w14:textId="77777777" w:rsidR="00D57C0D" w:rsidRPr="008A38CD" w:rsidRDefault="00D57C0D" w:rsidP="00161D7C">
      <w:pPr>
        <w:keepNext/>
        <w:spacing w:after="0" w:line="240" w:lineRule="auto"/>
        <w:jc w:val="center"/>
        <w:outlineLvl w:val="0"/>
        <w:rPr>
          <w:rFonts w:ascii="Times New Roman" w:eastAsia="Times New Roman" w:hAnsi="Times New Roman" w:cs="Times New Roman"/>
          <w:b/>
          <w:bCs/>
          <w:sz w:val="24"/>
          <w:szCs w:val="24"/>
        </w:rPr>
      </w:pPr>
    </w:p>
    <w:p w14:paraId="120473AE" w14:textId="77777777" w:rsidR="00D57C0D" w:rsidRPr="008A38CD" w:rsidRDefault="00D57C0D" w:rsidP="00161D7C">
      <w:pPr>
        <w:keepNext/>
        <w:spacing w:after="0" w:line="240" w:lineRule="auto"/>
        <w:jc w:val="center"/>
        <w:outlineLvl w:val="0"/>
        <w:rPr>
          <w:rFonts w:ascii="Times New Roman" w:eastAsia="Times New Roman" w:hAnsi="Times New Roman" w:cs="Times New Roman"/>
          <w:b/>
          <w:bCs/>
          <w:sz w:val="24"/>
          <w:szCs w:val="24"/>
        </w:rPr>
      </w:pPr>
    </w:p>
    <w:p w14:paraId="4FD696C1" w14:textId="77777777" w:rsidR="00D57C0D" w:rsidRPr="008A38CD" w:rsidRDefault="00D57C0D" w:rsidP="00161D7C">
      <w:pPr>
        <w:keepNext/>
        <w:spacing w:after="0" w:line="240" w:lineRule="auto"/>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3771A43B" w14:textId="77777777" w:rsidTr="005751A1">
        <w:trPr>
          <w:cantSplit/>
          <w:trHeight w:val="1215"/>
          <w:tblHeader/>
          <w:jc w:val="center"/>
        </w:trPr>
        <w:tc>
          <w:tcPr>
            <w:tcW w:w="5421" w:type="dxa"/>
          </w:tcPr>
          <w:p w14:paraId="76623AF5" w14:textId="5CABE873" w:rsidR="00D57C0D" w:rsidRDefault="00B40453" w:rsidP="00161D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kultūros tarybai</w:t>
            </w:r>
          </w:p>
          <w:p w14:paraId="317CC8D5" w14:textId="745ADB7B" w:rsidR="00595888" w:rsidRDefault="00B40453" w:rsidP="00161D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Naugarduko g. 10</w:t>
            </w:r>
          </w:p>
          <w:p w14:paraId="1B3168BA" w14:textId="7B87B437" w:rsidR="00595888" w:rsidRDefault="00B40453" w:rsidP="00161D7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01309</w:t>
            </w:r>
            <w:r w:rsidR="005958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Vilnius</w:t>
            </w:r>
          </w:p>
          <w:p w14:paraId="6CDFB651" w14:textId="77777777" w:rsidR="004C4705" w:rsidRDefault="004C4705" w:rsidP="00161D7C">
            <w:pPr>
              <w:spacing w:after="0" w:line="240" w:lineRule="auto"/>
              <w:rPr>
                <w:rFonts w:ascii="Times New Roman" w:eastAsia="Times New Roman" w:hAnsi="Times New Roman" w:cs="Times New Roman"/>
                <w:sz w:val="24"/>
                <w:szCs w:val="24"/>
              </w:rPr>
            </w:pPr>
          </w:p>
          <w:p w14:paraId="5ABD5187" w14:textId="7ABAD73A" w:rsidR="00D57C0D" w:rsidRDefault="00D57C0D" w:rsidP="00161D7C">
            <w:pPr>
              <w:spacing w:after="0" w:line="240" w:lineRule="auto"/>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4C4705" w:rsidRPr="004C4705">
              <w:rPr>
                <w:rFonts w:ascii="Times New Roman" w:hAnsi="Times New Roman" w:cs="Times New Roman"/>
                <w:sz w:val="24"/>
                <w:szCs w:val="24"/>
                <w:shd w:val="clear" w:color="auto" w:fill="FFFFFF"/>
              </w:rPr>
              <w:t>info@ltkt.lt</w:t>
            </w:r>
          </w:p>
          <w:p w14:paraId="2BED8747" w14:textId="77777777" w:rsidR="00D57C0D" w:rsidRPr="000440D4" w:rsidRDefault="00D57C0D" w:rsidP="00161D7C">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526B8376" w14:textId="6292C3B2"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B40453">
              <w:rPr>
                <w:rFonts w:ascii="Times New Roman" w:eastAsia="Times New Roman" w:hAnsi="Times New Roman" w:cs="Times New Roman"/>
                <w:sz w:val="24"/>
                <w:szCs w:val="24"/>
              </w:rPr>
              <w:t>22</w:t>
            </w:r>
            <w:r w:rsidRPr="008A38CD">
              <w:rPr>
                <w:rFonts w:ascii="Times New Roman" w:eastAsia="Times New Roman" w:hAnsi="Times New Roman" w:cs="Times New Roman"/>
                <w:sz w:val="24"/>
                <w:szCs w:val="24"/>
              </w:rPr>
              <w:t>-</w:t>
            </w:r>
            <w:r w:rsidR="00B40453">
              <w:rPr>
                <w:rFonts w:ascii="Times New Roman" w:eastAsia="Times New Roman" w:hAnsi="Times New Roman" w:cs="Times New Roman"/>
                <w:sz w:val="24"/>
                <w:szCs w:val="24"/>
              </w:rPr>
              <w:t>01</w:t>
            </w:r>
            <w:r w:rsidRPr="008A38CD">
              <w:rPr>
                <w:rFonts w:ascii="Times New Roman" w:eastAsia="Times New Roman" w:hAnsi="Times New Roman" w:cs="Times New Roman"/>
                <w:sz w:val="24"/>
                <w:szCs w:val="24"/>
              </w:rPr>
              <w:t>-</w:t>
            </w:r>
          </w:p>
          <w:p w14:paraId="019F2973" w14:textId="127A224F"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B40453">
              <w:rPr>
                <w:rFonts w:ascii="Times New Roman" w:eastAsia="Times New Roman" w:hAnsi="Times New Roman" w:cs="Times New Roman"/>
                <w:sz w:val="24"/>
                <w:szCs w:val="24"/>
              </w:rPr>
              <w:t>22</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B4045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363BBB">
              <w:rPr>
                <w:rFonts w:ascii="Times New Roman" w:eastAsia="Times New Roman" w:hAnsi="Times New Roman" w:cs="Times New Roman"/>
                <w:sz w:val="24"/>
                <w:szCs w:val="24"/>
              </w:rPr>
              <w:t>1</w:t>
            </w:r>
            <w:r w:rsidR="00B40453">
              <w:rPr>
                <w:rFonts w:ascii="Times New Roman" w:eastAsia="Times New Roman" w:hAnsi="Times New Roman" w:cs="Times New Roman"/>
                <w:sz w:val="24"/>
                <w:szCs w:val="24"/>
              </w:rPr>
              <w:t>1</w:t>
            </w:r>
          </w:p>
          <w:p w14:paraId="5205E39D" w14:textId="20199406"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p>
        </w:tc>
        <w:tc>
          <w:tcPr>
            <w:tcW w:w="540" w:type="dxa"/>
          </w:tcPr>
          <w:p w14:paraId="46F9D8C6" w14:textId="77777777"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9FE07F5" w14:textId="77777777"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1842EA7" w14:textId="7282F58E" w:rsidR="00D57C0D" w:rsidRPr="008A38CD" w:rsidRDefault="00D57C0D" w:rsidP="00161D7C">
            <w:pPr>
              <w:tabs>
                <w:tab w:val="left" w:pos="900"/>
              </w:tabs>
              <w:spacing w:after="0" w:line="240" w:lineRule="auto"/>
              <w:rPr>
                <w:rFonts w:ascii="Times New Roman" w:eastAsia="Times New Roman" w:hAnsi="Times New Roman" w:cs="Times New Roman"/>
                <w:sz w:val="24"/>
                <w:szCs w:val="24"/>
              </w:rPr>
            </w:pPr>
          </w:p>
        </w:tc>
        <w:tc>
          <w:tcPr>
            <w:tcW w:w="2363" w:type="dxa"/>
          </w:tcPr>
          <w:p w14:paraId="66FE7ED4" w14:textId="77777777" w:rsidR="00D57C0D" w:rsidRPr="008A38CD" w:rsidRDefault="00D57C0D" w:rsidP="00161D7C">
            <w:pPr>
              <w:tabs>
                <w:tab w:val="right" w:pos="1764"/>
              </w:tabs>
              <w:spacing w:after="0" w:line="240" w:lineRule="auto"/>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4C5473C4" w14:textId="743BCC3F" w:rsidR="00D57C0D" w:rsidRDefault="00B40453" w:rsidP="00161D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S-9(4.6)</w:t>
            </w:r>
          </w:p>
          <w:p w14:paraId="51AEBC10" w14:textId="77777777" w:rsidR="00D57C0D" w:rsidRPr="008A38CD" w:rsidRDefault="00D57C0D" w:rsidP="00161D7C">
            <w:pPr>
              <w:spacing w:after="0" w:line="240" w:lineRule="auto"/>
              <w:jc w:val="both"/>
              <w:rPr>
                <w:rFonts w:ascii="Times New Roman" w:eastAsia="Times New Roman" w:hAnsi="Times New Roman" w:cs="Times New Roman"/>
                <w:sz w:val="24"/>
                <w:szCs w:val="24"/>
              </w:rPr>
            </w:pPr>
          </w:p>
        </w:tc>
      </w:tr>
    </w:tbl>
    <w:p w14:paraId="712C6E00" w14:textId="77777777" w:rsidR="002B18CD" w:rsidRDefault="002B18CD" w:rsidP="00161D7C">
      <w:pPr>
        <w:tabs>
          <w:tab w:val="left" w:pos="993"/>
        </w:tabs>
        <w:spacing w:after="0" w:line="240" w:lineRule="auto"/>
        <w:rPr>
          <w:rFonts w:ascii="Times New Roman" w:eastAsia="Times New Roman" w:hAnsi="Times New Roman" w:cs="Times New Roman"/>
          <w:b/>
          <w:sz w:val="24"/>
          <w:szCs w:val="24"/>
        </w:rPr>
      </w:pPr>
    </w:p>
    <w:p w14:paraId="135F8EAF" w14:textId="77777777" w:rsidR="002B18CD" w:rsidRDefault="002B18CD" w:rsidP="00161D7C">
      <w:pPr>
        <w:tabs>
          <w:tab w:val="left" w:pos="993"/>
        </w:tabs>
        <w:spacing w:after="0" w:line="240" w:lineRule="auto"/>
        <w:rPr>
          <w:rFonts w:ascii="Times New Roman" w:eastAsia="Times New Roman" w:hAnsi="Times New Roman" w:cs="Times New Roman"/>
          <w:b/>
          <w:sz w:val="24"/>
          <w:szCs w:val="24"/>
        </w:rPr>
      </w:pPr>
    </w:p>
    <w:p w14:paraId="70E62A21" w14:textId="5084D801" w:rsidR="00D57C0D" w:rsidRDefault="00D57C0D" w:rsidP="00161D7C">
      <w:pPr>
        <w:tabs>
          <w:tab w:val="left" w:pos="993"/>
        </w:tabs>
        <w:spacing w:after="0" w:line="240" w:lineRule="auto"/>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8EB305E" w14:textId="77777777" w:rsidR="00D57C0D" w:rsidRDefault="00D57C0D" w:rsidP="00161D7C">
      <w:pPr>
        <w:tabs>
          <w:tab w:val="left" w:pos="1134"/>
        </w:tabs>
        <w:spacing w:after="0" w:line="240" w:lineRule="auto"/>
        <w:jc w:val="center"/>
        <w:rPr>
          <w:rFonts w:ascii="Times New Roman" w:hAnsi="Times New Roman" w:cs="Times New Roman"/>
          <w:sz w:val="24"/>
          <w:szCs w:val="24"/>
        </w:rPr>
      </w:pPr>
    </w:p>
    <w:p w14:paraId="01AB7413" w14:textId="77777777" w:rsidR="00D57C0D" w:rsidRDefault="00D57C0D" w:rsidP="00161D7C">
      <w:pPr>
        <w:tabs>
          <w:tab w:val="left" w:pos="1134"/>
        </w:tabs>
        <w:spacing w:after="0" w:line="240" w:lineRule="auto"/>
        <w:jc w:val="center"/>
        <w:rPr>
          <w:rFonts w:ascii="Times New Roman" w:hAnsi="Times New Roman" w:cs="Times New Roman"/>
          <w:sz w:val="24"/>
          <w:szCs w:val="24"/>
        </w:rPr>
      </w:pPr>
    </w:p>
    <w:p w14:paraId="29909BED" w14:textId="1CE3DDA3" w:rsidR="00363BBB" w:rsidRPr="0053118A" w:rsidRDefault="00363BBB" w:rsidP="00161D7C">
      <w:pPr>
        <w:widowControl w:val="0"/>
        <w:spacing w:after="0" w:line="240" w:lineRule="auto"/>
        <w:ind w:firstLine="709"/>
        <w:jc w:val="both"/>
        <w:rPr>
          <w:rFonts w:ascii="Times New Roman" w:eastAsia="Times New Roman" w:hAnsi="Times New Roman" w:cs="Times New Roman"/>
          <w:sz w:val="24"/>
          <w:szCs w:val="24"/>
        </w:rPr>
      </w:pPr>
      <w:r w:rsidRPr="0053118A">
        <w:rPr>
          <w:rFonts w:ascii="Times New Roman" w:hAnsi="Times New Roman" w:cs="Times New Roman"/>
          <w:sz w:val="24"/>
          <w:szCs w:val="24"/>
        </w:rPr>
        <w:t xml:space="preserve">Viešųjų pirkimų tarnyba (toliau – Tarnyba), vadovaudamasi Lietuvos Respublikos viešųjų pirkimų įstatymo (toliau – Įstatymas) </w:t>
      </w:r>
      <w:r w:rsidRPr="0053118A">
        <w:rPr>
          <w:rFonts w:ascii="Times New Roman" w:eastAsia="Times New Roman" w:hAnsi="Times New Roman" w:cs="Times New Roman"/>
          <w:sz w:val="24"/>
          <w:szCs w:val="24"/>
        </w:rPr>
        <w:t>95 straipsnio 2 dalies 6 punkto nuostatomis</w:t>
      </w:r>
      <w:r w:rsidRPr="0053118A">
        <w:rPr>
          <w:rFonts w:ascii="Times New Roman" w:hAnsi="Times New Roman" w:cs="Times New Roman"/>
          <w:sz w:val="24"/>
          <w:szCs w:val="24"/>
        </w:rPr>
        <w:t xml:space="preserve">, išnagrinėjo </w:t>
      </w:r>
      <w:r w:rsidR="004C4705" w:rsidRPr="0053118A">
        <w:rPr>
          <w:rFonts w:ascii="Times New Roman" w:hAnsi="Times New Roman" w:cs="Times New Roman"/>
          <w:sz w:val="24"/>
          <w:szCs w:val="24"/>
        </w:rPr>
        <w:t>Lietuvos kultūros tarybos</w:t>
      </w:r>
      <w:r w:rsidRPr="0053118A">
        <w:rPr>
          <w:rFonts w:ascii="Times New Roman" w:hAnsi="Times New Roman" w:cs="Times New Roman"/>
          <w:sz w:val="24"/>
          <w:szCs w:val="24"/>
        </w:rPr>
        <w:t xml:space="preserve"> (</w:t>
      </w:r>
      <w:r w:rsidRPr="0053118A">
        <w:rPr>
          <w:rFonts w:ascii="Times New Roman" w:eastAsia="Times New Roman" w:hAnsi="Times New Roman" w:cs="Times New Roman"/>
          <w:sz w:val="24"/>
          <w:szCs w:val="24"/>
        </w:rPr>
        <w:t>toliau – Perkančioji organizacija)</w:t>
      </w:r>
      <w:r w:rsidRPr="0053118A">
        <w:rPr>
          <w:rFonts w:ascii="Times New Roman" w:hAnsi="Times New Roman" w:cs="Times New Roman"/>
          <w:sz w:val="24"/>
          <w:szCs w:val="24"/>
        </w:rPr>
        <w:t xml:space="preserve"> prašymą sutikti </w:t>
      </w:r>
      <w:r w:rsidR="004C4705" w:rsidRPr="0053118A">
        <w:rPr>
          <w:rFonts w:ascii="Times New Roman" w:hAnsi="Times New Roman" w:cs="Times New Roman"/>
          <w:i/>
          <w:iCs/>
          <w:sz w:val="24"/>
          <w:szCs w:val="24"/>
        </w:rPr>
        <w:t>Ekspertinio vertinimo</w:t>
      </w:r>
      <w:r w:rsidR="004C4705" w:rsidRPr="0053118A">
        <w:rPr>
          <w:rFonts w:ascii="Times New Roman" w:hAnsi="Times New Roman" w:cs="Times New Roman"/>
          <w:sz w:val="24"/>
          <w:szCs w:val="24"/>
        </w:rPr>
        <w:t xml:space="preserve"> </w:t>
      </w:r>
      <w:r w:rsidRPr="0053118A">
        <w:rPr>
          <w:rFonts w:ascii="Times New Roman" w:hAnsi="Times New Roman" w:cs="Times New Roman"/>
          <w:i/>
          <w:sz w:val="24"/>
          <w:szCs w:val="24"/>
        </w:rPr>
        <w:t xml:space="preserve"> paslaugų pirkimą </w:t>
      </w:r>
      <w:r w:rsidRPr="0053118A">
        <w:rPr>
          <w:rFonts w:ascii="Times New Roman" w:eastAsia="Times New Roman" w:hAnsi="Times New Roman" w:cs="Times New Roman"/>
          <w:sz w:val="24"/>
          <w:szCs w:val="24"/>
        </w:rPr>
        <w:t xml:space="preserve">vykdyti neskelbiamų derybų būdu, vadovaujantis Įstatymo 71 straipsnio </w:t>
      </w:r>
      <w:r w:rsidRPr="0053118A">
        <w:rPr>
          <w:rFonts w:ascii="Times New Roman" w:hAnsi="Times New Roman" w:cs="Times New Roman"/>
          <w:sz w:val="24"/>
          <w:szCs w:val="24"/>
        </w:rPr>
        <w:t>1 dalies 2 punkto (b) papunkčio nuostatomis.</w:t>
      </w:r>
    </w:p>
    <w:p w14:paraId="1DE6918C" w14:textId="144FD948" w:rsidR="004C4705" w:rsidRPr="0053118A" w:rsidRDefault="00574A54" w:rsidP="00161D7C">
      <w:pPr>
        <w:widowControl w:val="0"/>
        <w:spacing w:after="0" w:line="240" w:lineRule="auto"/>
        <w:ind w:firstLine="709"/>
        <w:jc w:val="both"/>
        <w:rPr>
          <w:rFonts w:ascii="Times New Roman" w:hAnsi="Times New Roman" w:cs="Times New Roman"/>
          <w:sz w:val="24"/>
          <w:szCs w:val="24"/>
        </w:rPr>
      </w:pPr>
      <w:r w:rsidRPr="0053118A">
        <w:rPr>
          <w:rFonts w:ascii="Times New Roman" w:eastAsia="Times New Roman" w:hAnsi="Times New Roman" w:cs="Times New Roman"/>
          <w:sz w:val="24"/>
          <w:szCs w:val="24"/>
        </w:rPr>
        <w:t>Prašyme</w:t>
      </w:r>
      <w:r w:rsidR="00363BBB" w:rsidRPr="0053118A">
        <w:rPr>
          <w:rFonts w:ascii="Times New Roman" w:eastAsia="Times New Roman" w:hAnsi="Times New Roman" w:cs="Times New Roman"/>
          <w:sz w:val="24"/>
          <w:szCs w:val="24"/>
        </w:rPr>
        <w:t xml:space="preserve"> nurodo</w:t>
      </w:r>
      <w:r w:rsidRPr="0053118A">
        <w:rPr>
          <w:rFonts w:ascii="Times New Roman" w:eastAsia="Times New Roman" w:hAnsi="Times New Roman" w:cs="Times New Roman"/>
          <w:sz w:val="24"/>
          <w:szCs w:val="24"/>
        </w:rPr>
        <w:t>ma</w:t>
      </w:r>
      <w:r w:rsidR="00363BBB" w:rsidRPr="0053118A">
        <w:rPr>
          <w:rFonts w:ascii="Times New Roman" w:eastAsia="Times New Roman" w:hAnsi="Times New Roman" w:cs="Times New Roman"/>
          <w:sz w:val="24"/>
          <w:szCs w:val="24"/>
        </w:rPr>
        <w:t xml:space="preserve">, kad </w:t>
      </w:r>
      <w:r w:rsidR="004C4705" w:rsidRPr="0053118A">
        <w:rPr>
          <w:rFonts w:ascii="Times New Roman" w:hAnsi="Times New Roman" w:cs="Times New Roman"/>
          <w:sz w:val="24"/>
          <w:szCs w:val="24"/>
        </w:rPr>
        <w:t xml:space="preserve">Perkančioji organizacija, įgyvendindama Lietuvos </w:t>
      </w:r>
      <w:r w:rsidRPr="0053118A">
        <w:rPr>
          <w:rFonts w:ascii="Times New Roman" w:hAnsi="Times New Roman" w:cs="Times New Roman"/>
          <w:sz w:val="24"/>
          <w:szCs w:val="24"/>
        </w:rPr>
        <w:t xml:space="preserve">Respublikos </w:t>
      </w:r>
      <w:r w:rsidR="004C4705" w:rsidRPr="0053118A">
        <w:rPr>
          <w:rFonts w:ascii="Times New Roman" w:hAnsi="Times New Roman" w:cs="Times New Roman"/>
          <w:sz w:val="24"/>
          <w:szCs w:val="24"/>
        </w:rPr>
        <w:t>kultūros tarybos įstatymo (toliau – Kultūros tarybos įstatymas)</w:t>
      </w:r>
      <w:r w:rsidRPr="0053118A">
        <w:rPr>
          <w:rFonts w:ascii="Times New Roman" w:hAnsi="Times New Roman" w:cs="Times New Roman"/>
          <w:sz w:val="24"/>
          <w:szCs w:val="24"/>
        </w:rPr>
        <w:t xml:space="preserve"> 10 straipsnio 1 dalies</w:t>
      </w:r>
      <w:r w:rsidRPr="0053118A">
        <w:rPr>
          <w:rStyle w:val="Puslapioinaosnuoroda"/>
          <w:rFonts w:ascii="Times New Roman" w:hAnsi="Times New Roman" w:cs="Times New Roman"/>
          <w:sz w:val="24"/>
          <w:szCs w:val="24"/>
        </w:rPr>
        <w:footnoteReference w:id="1"/>
      </w:r>
      <w:r w:rsidR="004C4705" w:rsidRPr="0053118A">
        <w:rPr>
          <w:rFonts w:ascii="Times New Roman" w:hAnsi="Times New Roman" w:cs="Times New Roman"/>
          <w:sz w:val="24"/>
          <w:szCs w:val="24"/>
        </w:rPr>
        <w:t xml:space="preserve"> nuostatą, Lietuvos </w:t>
      </w:r>
      <w:r w:rsidR="004C4705" w:rsidRPr="0053118A">
        <w:rPr>
          <w:rFonts w:ascii="Times New Roman" w:hAnsi="Times New Roman" w:cs="Times New Roman"/>
          <w:sz w:val="24"/>
          <w:szCs w:val="24"/>
        </w:rPr>
        <w:t>kultūros tarybos nutarimu</w:t>
      </w:r>
      <w:r w:rsidRPr="0053118A">
        <w:rPr>
          <w:rStyle w:val="Puslapioinaosnuoroda"/>
          <w:rFonts w:ascii="Times New Roman" w:hAnsi="Times New Roman" w:cs="Times New Roman"/>
          <w:sz w:val="24"/>
          <w:szCs w:val="24"/>
        </w:rPr>
        <w:footnoteReference w:id="2"/>
      </w:r>
      <w:r w:rsidR="004C4705" w:rsidRPr="0053118A">
        <w:rPr>
          <w:rFonts w:ascii="Times New Roman" w:hAnsi="Times New Roman" w:cs="Times New Roman"/>
          <w:sz w:val="24"/>
          <w:szCs w:val="24"/>
        </w:rPr>
        <w:t xml:space="preserve"> patvirtino Ekspertų atrankos aprašą (toliau – Atrankos aprašas), kuris nustato reikalavimus asmenims, pretenduojantiems teikti ekspertinio vertinimo paslaugas </w:t>
      </w:r>
      <w:r w:rsidRPr="0053118A">
        <w:rPr>
          <w:rFonts w:ascii="Times New Roman" w:hAnsi="Times New Roman" w:cs="Times New Roman"/>
          <w:sz w:val="24"/>
          <w:szCs w:val="24"/>
        </w:rPr>
        <w:t>Perkančiajai organizacijai</w:t>
      </w:r>
      <w:r w:rsidR="004C4705" w:rsidRPr="0053118A">
        <w:rPr>
          <w:rFonts w:ascii="Times New Roman" w:hAnsi="Times New Roman" w:cs="Times New Roman"/>
          <w:sz w:val="24"/>
          <w:szCs w:val="24"/>
        </w:rPr>
        <w:t xml:space="preserve">, ir </w:t>
      </w:r>
      <w:r w:rsidR="001E4FDB">
        <w:rPr>
          <w:rFonts w:ascii="Times New Roman" w:hAnsi="Times New Roman" w:cs="Times New Roman"/>
          <w:sz w:val="24"/>
          <w:szCs w:val="24"/>
        </w:rPr>
        <w:t xml:space="preserve">pačių </w:t>
      </w:r>
      <w:r w:rsidRPr="0053118A">
        <w:rPr>
          <w:rFonts w:ascii="Times New Roman" w:hAnsi="Times New Roman" w:cs="Times New Roman"/>
          <w:sz w:val="24"/>
          <w:szCs w:val="24"/>
        </w:rPr>
        <w:t>ekspertų</w:t>
      </w:r>
      <w:r w:rsidR="004C4705" w:rsidRPr="0053118A">
        <w:rPr>
          <w:rFonts w:ascii="Times New Roman" w:hAnsi="Times New Roman" w:cs="Times New Roman"/>
          <w:sz w:val="24"/>
          <w:szCs w:val="24"/>
        </w:rPr>
        <w:t xml:space="preserve"> atrankos tvarką.</w:t>
      </w:r>
    </w:p>
    <w:p w14:paraId="488FF4F2" w14:textId="1971C9CD" w:rsidR="000317FE" w:rsidRPr="0053118A" w:rsidRDefault="00574A54" w:rsidP="00161D7C">
      <w:pPr>
        <w:widowControl w:val="0"/>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t xml:space="preserve">Perkančioji organizacija nurodo, kad </w:t>
      </w:r>
      <w:r w:rsidR="00770E99" w:rsidRPr="0053118A">
        <w:rPr>
          <w:rFonts w:ascii="Times New Roman" w:hAnsi="Times New Roman" w:cs="Times New Roman"/>
          <w:sz w:val="24"/>
          <w:szCs w:val="24"/>
        </w:rPr>
        <w:t xml:space="preserve">įgyvendinant Kultūros tarybos įstatymo 10 straipsnio 1 dalies reikalavimus ir </w:t>
      </w:r>
      <w:r w:rsidRPr="0053118A">
        <w:rPr>
          <w:rFonts w:ascii="Times New Roman" w:hAnsi="Times New Roman" w:cs="Times New Roman"/>
          <w:sz w:val="24"/>
          <w:szCs w:val="24"/>
        </w:rPr>
        <w:t xml:space="preserve">vadovaujantis Atrankos aprašo nuostatomis viešo konkurso būdu </w:t>
      </w:r>
      <w:r w:rsidR="000317FE" w:rsidRPr="0053118A">
        <w:rPr>
          <w:rFonts w:ascii="Times New Roman" w:hAnsi="Times New Roman" w:cs="Times New Roman"/>
          <w:sz w:val="24"/>
          <w:szCs w:val="24"/>
        </w:rPr>
        <w:t xml:space="preserve">bus atrinkta apie 220 įvairių kompetencijų ekspertų, kurie bus </w:t>
      </w:r>
      <w:r w:rsidRPr="0053118A">
        <w:rPr>
          <w:rFonts w:ascii="Times New Roman" w:hAnsi="Times New Roman" w:cs="Times New Roman"/>
          <w:sz w:val="24"/>
          <w:szCs w:val="24"/>
        </w:rPr>
        <w:t xml:space="preserve">įtraukiami į Perkančiosios organizacijos ekspertų duomenų bazę (toliau – TEDB), o jų vardai, pavardės ir priskirtos kompetencijos </w:t>
      </w:r>
      <w:r w:rsidR="000317FE" w:rsidRPr="0053118A">
        <w:rPr>
          <w:rFonts w:ascii="Times New Roman" w:hAnsi="Times New Roman" w:cs="Times New Roman"/>
          <w:sz w:val="24"/>
          <w:szCs w:val="24"/>
        </w:rPr>
        <w:t>bus</w:t>
      </w:r>
      <w:r w:rsidRPr="0053118A">
        <w:rPr>
          <w:rFonts w:ascii="Times New Roman" w:hAnsi="Times New Roman" w:cs="Times New Roman"/>
          <w:sz w:val="24"/>
          <w:szCs w:val="24"/>
        </w:rPr>
        <w:t xml:space="preserve"> viešai skelbiami Perkančiosios organizacijos internetinėje svetainėje. </w:t>
      </w:r>
      <w:r w:rsidR="000317FE" w:rsidRPr="0053118A">
        <w:rPr>
          <w:rFonts w:ascii="Times New Roman" w:hAnsi="Times New Roman" w:cs="Times New Roman"/>
          <w:sz w:val="24"/>
          <w:szCs w:val="24"/>
        </w:rPr>
        <w:t>Perkančioji organizacija pažymi, kad atskirai kompetencijų sričiai bus atrenkami keli tos pačios kompetencijos ekspertai</w:t>
      </w:r>
      <w:r w:rsidR="0055153E" w:rsidRPr="0053118A">
        <w:rPr>
          <w:rFonts w:ascii="Times New Roman" w:hAnsi="Times New Roman" w:cs="Times New Roman"/>
          <w:sz w:val="24"/>
          <w:szCs w:val="24"/>
        </w:rPr>
        <w:t>,</w:t>
      </w:r>
      <w:r w:rsidR="000317FE" w:rsidRPr="0053118A">
        <w:rPr>
          <w:rFonts w:ascii="Times New Roman" w:hAnsi="Times New Roman" w:cs="Times New Roman"/>
          <w:sz w:val="24"/>
          <w:szCs w:val="24"/>
        </w:rPr>
        <w:t xml:space="preserve"> jie bus įtraukiami į darbo grupes kiekvienam kvietimui pagal Perkančiosios organizacijos administruojamomis lėšomis finansuojamas sritis, programas, jų veiklas ar projektų grupes Ekspertų darbo grupių sudarymo tvarkos aprašo</w:t>
      </w:r>
      <w:r w:rsidR="0055153E" w:rsidRPr="0053118A">
        <w:rPr>
          <w:rStyle w:val="Puslapioinaosnuoroda"/>
          <w:rFonts w:ascii="Times New Roman" w:hAnsi="Times New Roman" w:cs="Times New Roman"/>
          <w:sz w:val="24"/>
          <w:szCs w:val="24"/>
        </w:rPr>
        <w:footnoteReference w:id="3"/>
      </w:r>
      <w:r w:rsidR="0055153E" w:rsidRPr="0053118A">
        <w:rPr>
          <w:rFonts w:ascii="Times New Roman" w:hAnsi="Times New Roman" w:cs="Times New Roman"/>
          <w:sz w:val="24"/>
          <w:szCs w:val="24"/>
        </w:rPr>
        <w:t xml:space="preserve"> </w:t>
      </w:r>
      <w:r w:rsidR="000317FE" w:rsidRPr="0053118A">
        <w:rPr>
          <w:rFonts w:ascii="Times New Roman" w:hAnsi="Times New Roman" w:cs="Times New Roman"/>
          <w:sz w:val="24"/>
          <w:szCs w:val="24"/>
        </w:rPr>
        <w:t>nustatyta tvarka.</w:t>
      </w:r>
    </w:p>
    <w:p w14:paraId="3F2995A6" w14:textId="36CA3764" w:rsidR="0055153E" w:rsidRPr="0053118A" w:rsidRDefault="0055153E" w:rsidP="00161D7C">
      <w:pPr>
        <w:widowControl w:val="0"/>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t xml:space="preserve">Perkančioji organizacija taip pat nurodo, kad numatomų įsigyti ekspertų </w:t>
      </w:r>
      <w:r w:rsidR="00C02349" w:rsidRPr="0053118A">
        <w:rPr>
          <w:rFonts w:ascii="Times New Roman" w:hAnsi="Times New Roman" w:cs="Times New Roman"/>
          <w:sz w:val="24"/>
          <w:szCs w:val="24"/>
        </w:rPr>
        <w:t xml:space="preserve">paslaugų </w:t>
      </w:r>
      <w:r w:rsidRPr="0053118A">
        <w:rPr>
          <w:rFonts w:ascii="Times New Roman" w:hAnsi="Times New Roman" w:cs="Times New Roman"/>
          <w:sz w:val="24"/>
          <w:szCs w:val="24"/>
        </w:rPr>
        <w:t xml:space="preserve">apmokėjimo tvarka ir mokamas atlygis nustatomi vadovaujantis </w:t>
      </w:r>
      <w:r w:rsidR="005F7DBA">
        <w:rPr>
          <w:rFonts w:ascii="Times New Roman" w:hAnsi="Times New Roman" w:cs="Times New Roman"/>
          <w:sz w:val="24"/>
          <w:szCs w:val="24"/>
        </w:rPr>
        <w:t>įvairių į</w:t>
      </w:r>
      <w:r w:rsidR="00C02349" w:rsidRPr="0053118A">
        <w:rPr>
          <w:rFonts w:ascii="Times New Roman" w:hAnsi="Times New Roman" w:cs="Times New Roman"/>
          <w:color w:val="000000"/>
          <w:spacing w:val="-2"/>
          <w:sz w:val="24"/>
          <w:szCs w:val="24"/>
        </w:rPr>
        <w:t>statymų pagrindais sudarytų komisijų pirmininkų, jų pavaduotojų ir narių atlygio mokėjimo tvarkos aprašu</w:t>
      </w:r>
      <w:r w:rsidR="00C02349" w:rsidRPr="0053118A">
        <w:rPr>
          <w:rStyle w:val="Puslapioinaosnuoroda"/>
          <w:rFonts w:ascii="Times New Roman" w:hAnsi="Times New Roman" w:cs="Times New Roman"/>
          <w:color w:val="000000"/>
          <w:spacing w:val="-2"/>
          <w:sz w:val="24"/>
          <w:szCs w:val="24"/>
        </w:rPr>
        <w:footnoteReference w:id="4"/>
      </w:r>
      <w:r w:rsidR="005F7DBA">
        <w:rPr>
          <w:rFonts w:ascii="Times New Roman" w:hAnsi="Times New Roman" w:cs="Times New Roman"/>
          <w:sz w:val="24"/>
          <w:szCs w:val="24"/>
        </w:rPr>
        <w:t>.</w:t>
      </w:r>
    </w:p>
    <w:p w14:paraId="3E699AFE" w14:textId="57069DDD" w:rsidR="000317FE" w:rsidRPr="0053118A" w:rsidRDefault="005227B7" w:rsidP="00161D7C">
      <w:pPr>
        <w:widowControl w:val="0"/>
        <w:spacing w:after="0" w:line="240" w:lineRule="auto"/>
        <w:ind w:firstLine="709"/>
        <w:jc w:val="both"/>
        <w:rPr>
          <w:rFonts w:ascii="Times New Roman" w:eastAsia="Times New Roman" w:hAnsi="Times New Roman" w:cs="Times New Roman"/>
          <w:sz w:val="24"/>
          <w:szCs w:val="24"/>
        </w:rPr>
      </w:pPr>
      <w:r w:rsidRPr="0053118A">
        <w:rPr>
          <w:rFonts w:ascii="Times New Roman" w:hAnsi="Times New Roman" w:cs="Times New Roman"/>
          <w:sz w:val="24"/>
          <w:szCs w:val="24"/>
        </w:rPr>
        <w:t xml:space="preserve">Perkančioji organizacija tvirtina, kad </w:t>
      </w:r>
      <w:r w:rsidR="00C02349" w:rsidRPr="0053118A">
        <w:rPr>
          <w:rFonts w:ascii="Times New Roman" w:hAnsi="Times New Roman" w:cs="Times New Roman"/>
          <w:sz w:val="24"/>
          <w:szCs w:val="24"/>
        </w:rPr>
        <w:t xml:space="preserve">esant patvirtintai ekspertų atrankos procedūrai, vykdomai viešo konkurso būdu, kaip tai numato </w:t>
      </w:r>
      <w:r w:rsidR="00C1613C" w:rsidRPr="0053118A">
        <w:rPr>
          <w:rFonts w:ascii="Times New Roman" w:hAnsi="Times New Roman" w:cs="Times New Roman"/>
          <w:sz w:val="24"/>
          <w:szCs w:val="24"/>
        </w:rPr>
        <w:t>K</w:t>
      </w:r>
      <w:r w:rsidR="00C02349" w:rsidRPr="0053118A">
        <w:rPr>
          <w:rFonts w:ascii="Times New Roman" w:hAnsi="Times New Roman" w:cs="Times New Roman"/>
          <w:sz w:val="24"/>
          <w:szCs w:val="24"/>
        </w:rPr>
        <w:t>ultūros tarybos įstatymas</w:t>
      </w:r>
      <w:r w:rsidRPr="0053118A">
        <w:rPr>
          <w:rFonts w:ascii="Times New Roman" w:hAnsi="Times New Roman" w:cs="Times New Roman"/>
          <w:sz w:val="24"/>
          <w:szCs w:val="24"/>
        </w:rPr>
        <w:t xml:space="preserve"> ir atsižvelgiant į tai, kad </w:t>
      </w:r>
      <w:r w:rsidR="00C02349" w:rsidRPr="0053118A">
        <w:rPr>
          <w:rFonts w:ascii="Times New Roman" w:hAnsi="Times New Roman" w:cs="Times New Roman"/>
          <w:sz w:val="24"/>
          <w:szCs w:val="24"/>
        </w:rPr>
        <w:lastRenderedPageBreak/>
        <w:t xml:space="preserve">poįstatyminiu </w:t>
      </w:r>
      <w:r w:rsidRPr="0053118A">
        <w:rPr>
          <w:rFonts w:ascii="Times New Roman" w:hAnsi="Times New Roman" w:cs="Times New Roman"/>
          <w:sz w:val="24"/>
          <w:szCs w:val="24"/>
        </w:rPr>
        <w:t xml:space="preserve">teisės </w:t>
      </w:r>
      <w:r w:rsidR="00C02349" w:rsidRPr="0053118A">
        <w:rPr>
          <w:rFonts w:ascii="Times New Roman" w:hAnsi="Times New Roman" w:cs="Times New Roman"/>
          <w:sz w:val="24"/>
          <w:szCs w:val="24"/>
        </w:rPr>
        <w:t xml:space="preserve">aktu </w:t>
      </w:r>
      <w:r w:rsidRPr="0053118A">
        <w:rPr>
          <w:rFonts w:ascii="Times New Roman" w:hAnsi="Times New Roman" w:cs="Times New Roman"/>
          <w:sz w:val="24"/>
          <w:szCs w:val="24"/>
        </w:rPr>
        <w:t xml:space="preserve">yra nustatyti </w:t>
      </w:r>
      <w:r w:rsidR="00C02349" w:rsidRPr="0053118A">
        <w:rPr>
          <w:rFonts w:ascii="Times New Roman" w:hAnsi="Times New Roman" w:cs="Times New Roman"/>
          <w:sz w:val="24"/>
          <w:szCs w:val="24"/>
        </w:rPr>
        <w:t>konkre</w:t>
      </w:r>
      <w:r w:rsidRPr="0053118A">
        <w:rPr>
          <w:rFonts w:ascii="Times New Roman" w:hAnsi="Times New Roman" w:cs="Times New Roman"/>
          <w:sz w:val="24"/>
          <w:szCs w:val="24"/>
        </w:rPr>
        <w:t>čių</w:t>
      </w:r>
      <w:r w:rsidR="00C02349" w:rsidRPr="0053118A">
        <w:rPr>
          <w:rFonts w:ascii="Times New Roman" w:hAnsi="Times New Roman" w:cs="Times New Roman"/>
          <w:sz w:val="24"/>
          <w:szCs w:val="24"/>
        </w:rPr>
        <w:t xml:space="preserve"> ekspertų atlyginimo dydžia</w:t>
      </w:r>
      <w:r w:rsidRPr="0053118A">
        <w:rPr>
          <w:rFonts w:ascii="Times New Roman" w:hAnsi="Times New Roman" w:cs="Times New Roman"/>
          <w:sz w:val="24"/>
          <w:szCs w:val="24"/>
        </w:rPr>
        <w:t>i</w:t>
      </w:r>
      <w:r w:rsidR="00C02349" w:rsidRPr="0053118A">
        <w:rPr>
          <w:rFonts w:ascii="Times New Roman" w:hAnsi="Times New Roman" w:cs="Times New Roman"/>
          <w:sz w:val="24"/>
          <w:szCs w:val="24"/>
        </w:rPr>
        <w:t>, viešojo pirkimo vykdymas kit</w:t>
      </w:r>
      <w:r w:rsidR="00C1613C" w:rsidRPr="0053118A">
        <w:rPr>
          <w:rFonts w:ascii="Times New Roman" w:hAnsi="Times New Roman" w:cs="Times New Roman"/>
          <w:sz w:val="24"/>
          <w:szCs w:val="24"/>
        </w:rPr>
        <w:t>u</w:t>
      </w:r>
      <w:r w:rsidR="00C02349" w:rsidRPr="0053118A">
        <w:rPr>
          <w:rFonts w:ascii="Times New Roman" w:hAnsi="Times New Roman" w:cs="Times New Roman"/>
          <w:sz w:val="24"/>
          <w:szCs w:val="24"/>
        </w:rPr>
        <w:t xml:space="preserve"> </w:t>
      </w:r>
      <w:r w:rsidRPr="0053118A">
        <w:rPr>
          <w:rFonts w:ascii="Times New Roman" w:hAnsi="Times New Roman" w:cs="Times New Roman"/>
          <w:sz w:val="24"/>
          <w:szCs w:val="24"/>
        </w:rPr>
        <w:t xml:space="preserve">būdu </w:t>
      </w:r>
      <w:r w:rsidR="00C02349" w:rsidRPr="0053118A">
        <w:rPr>
          <w:rFonts w:ascii="Times New Roman" w:hAnsi="Times New Roman" w:cs="Times New Roman"/>
          <w:sz w:val="24"/>
          <w:szCs w:val="24"/>
        </w:rPr>
        <w:t xml:space="preserve">nei </w:t>
      </w:r>
      <w:r w:rsidR="00C1613C" w:rsidRPr="0053118A">
        <w:rPr>
          <w:rFonts w:ascii="Times New Roman" w:hAnsi="Times New Roman" w:cs="Times New Roman"/>
          <w:sz w:val="24"/>
          <w:szCs w:val="24"/>
        </w:rPr>
        <w:t xml:space="preserve">neskelbiamos derybos </w:t>
      </w:r>
      <w:r w:rsidR="00C02349" w:rsidRPr="0053118A">
        <w:rPr>
          <w:rFonts w:ascii="Times New Roman" w:hAnsi="Times New Roman" w:cs="Times New Roman"/>
          <w:sz w:val="24"/>
          <w:szCs w:val="24"/>
        </w:rPr>
        <w:t>būtų laikytinas pirkimo procedūrų atlikimo imitavimu</w:t>
      </w:r>
      <w:r w:rsidR="00C1613C" w:rsidRPr="0053118A">
        <w:rPr>
          <w:rFonts w:ascii="Times New Roman" w:hAnsi="Times New Roman" w:cs="Times New Roman"/>
          <w:sz w:val="24"/>
          <w:szCs w:val="24"/>
        </w:rPr>
        <w:t xml:space="preserve">. </w:t>
      </w:r>
      <w:r w:rsidRPr="0053118A">
        <w:rPr>
          <w:rFonts w:ascii="Times New Roman" w:hAnsi="Times New Roman" w:cs="Times New Roman"/>
          <w:sz w:val="24"/>
          <w:szCs w:val="24"/>
        </w:rPr>
        <w:t>E</w:t>
      </w:r>
      <w:r w:rsidR="00C1613C" w:rsidRPr="0053118A">
        <w:rPr>
          <w:rFonts w:ascii="Times New Roman" w:hAnsi="Times New Roman" w:cs="Times New Roman"/>
          <w:sz w:val="24"/>
          <w:szCs w:val="24"/>
        </w:rPr>
        <w:t xml:space="preserve">kspertai būtų skatinami varžytis ne siūlydami mažesnį paslaugų įkainį, nes įkainis yra įtvirtintas, tačiau varžytųsi pagal pasiūlymo pateikimo greitį, t. y. laimėjusiu būtų laikomas toks ekspertas, kuris už tokį patį įkainį suteiktų Perkančiajai organizacijai jos įstatymu priskirtų funkcijų vykdymui </w:t>
      </w:r>
      <w:r w:rsidR="00C1613C" w:rsidRPr="0053118A">
        <w:rPr>
          <w:rFonts w:ascii="Times New Roman" w:hAnsi="Times New Roman" w:cs="Times New Roman"/>
          <w:sz w:val="24"/>
          <w:szCs w:val="24"/>
        </w:rPr>
        <w:t xml:space="preserve">reikalingas paslaugas, tačiau pirmesnis pateiktų pasiūlymą. </w:t>
      </w:r>
    </w:p>
    <w:p w14:paraId="66E67115" w14:textId="10C5D1CD" w:rsidR="00A779CC" w:rsidRPr="0053118A" w:rsidRDefault="00A779CC" w:rsidP="00161D7C">
      <w:pPr>
        <w:widowControl w:val="0"/>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t xml:space="preserve">Prašyme </w:t>
      </w:r>
      <w:r w:rsidR="005F7DBA">
        <w:rPr>
          <w:rFonts w:ascii="Times New Roman" w:hAnsi="Times New Roman" w:cs="Times New Roman"/>
          <w:sz w:val="24"/>
          <w:szCs w:val="24"/>
        </w:rPr>
        <w:t>taip pat nurodoma</w:t>
      </w:r>
      <w:r w:rsidRPr="0053118A">
        <w:rPr>
          <w:rFonts w:ascii="Times New Roman" w:hAnsi="Times New Roman" w:cs="Times New Roman"/>
          <w:sz w:val="24"/>
          <w:szCs w:val="24"/>
        </w:rPr>
        <w:t>, kad tiekėjų konkurencija vykdant viešąjį pirkimą neskelbiamų derybų būdu nebūtų apribota, nes ji iš esmės yra užtikrinama vykdant ekspertų atrankos procedūras viešo konkurso būdu pagal Atrankos aprašo reikalavimus, kuriame nustatyta, kad atrenkamų ekspertų kadencijos yra ribotos</w:t>
      </w:r>
      <w:r w:rsidRPr="0053118A">
        <w:rPr>
          <w:rStyle w:val="Puslapioinaosnuoroda"/>
          <w:rFonts w:ascii="Times New Roman" w:hAnsi="Times New Roman" w:cs="Times New Roman"/>
          <w:sz w:val="24"/>
          <w:szCs w:val="24"/>
        </w:rPr>
        <w:footnoteReference w:id="5"/>
      </w:r>
      <w:r w:rsidRPr="0053118A">
        <w:rPr>
          <w:rFonts w:ascii="Times New Roman" w:hAnsi="Times New Roman" w:cs="Times New Roman"/>
          <w:sz w:val="24"/>
          <w:szCs w:val="24"/>
        </w:rPr>
        <w:t xml:space="preserve">. Taip pat Perkančioji organizacija nurodo, kad </w:t>
      </w:r>
      <w:r w:rsidR="005F7DBA">
        <w:rPr>
          <w:rFonts w:ascii="Times New Roman" w:hAnsi="Times New Roman" w:cs="Times New Roman"/>
          <w:sz w:val="24"/>
          <w:szCs w:val="24"/>
        </w:rPr>
        <w:t>Į</w:t>
      </w:r>
      <w:r w:rsidRPr="0053118A">
        <w:rPr>
          <w:rFonts w:ascii="Times New Roman" w:hAnsi="Times New Roman" w:cs="Times New Roman"/>
          <w:sz w:val="24"/>
          <w:szCs w:val="24"/>
        </w:rPr>
        <w:t>statymo 71 straipsnio 6 dalies 6 punktas suteikia teisę perkančiosioms organizacijoms įsigyti ekspertų paslaugas būtent neskelbiamų derybų būdu, todėl, Perkančiosios organizacijos nuomone, Tarnybos leidimas vykdyti viešąjį pirkimą neskelbiamų derybų būdu, nepažeistų Įstatymo reikalavimų, tuo pačiu užtikrintų Perkančiosios organizacijos funkcijų, numatytų Kultūros</w:t>
      </w:r>
      <w:r w:rsidR="00474F04" w:rsidRPr="0053118A">
        <w:rPr>
          <w:rFonts w:ascii="Times New Roman" w:hAnsi="Times New Roman" w:cs="Times New Roman"/>
          <w:sz w:val="24"/>
          <w:szCs w:val="24"/>
        </w:rPr>
        <w:t xml:space="preserve"> tarybos</w:t>
      </w:r>
      <w:r w:rsidRPr="0053118A">
        <w:rPr>
          <w:rFonts w:ascii="Times New Roman" w:hAnsi="Times New Roman" w:cs="Times New Roman"/>
          <w:sz w:val="24"/>
          <w:szCs w:val="24"/>
        </w:rPr>
        <w:t xml:space="preserve"> įstatyme efektyvų įgyvendinimą. </w:t>
      </w:r>
    </w:p>
    <w:p w14:paraId="55B4BB62" w14:textId="12FB427E" w:rsidR="000317FE" w:rsidRPr="0053118A" w:rsidRDefault="00474F04" w:rsidP="00161D7C">
      <w:pPr>
        <w:widowControl w:val="0"/>
        <w:spacing w:after="0" w:line="240" w:lineRule="auto"/>
        <w:ind w:firstLine="709"/>
        <w:jc w:val="both"/>
        <w:rPr>
          <w:rFonts w:ascii="Times New Roman" w:eastAsia="Times New Roman" w:hAnsi="Times New Roman" w:cs="Times New Roman"/>
          <w:sz w:val="24"/>
          <w:szCs w:val="24"/>
        </w:rPr>
      </w:pPr>
      <w:r w:rsidRPr="0053118A">
        <w:rPr>
          <w:rFonts w:ascii="Times New Roman" w:hAnsi="Times New Roman" w:cs="Times New Roman"/>
          <w:sz w:val="24"/>
          <w:szCs w:val="24"/>
        </w:rPr>
        <w:t xml:space="preserve">Atsižvelgdama į tai, kad </w:t>
      </w:r>
      <w:r w:rsidR="00A779CC" w:rsidRPr="0053118A">
        <w:rPr>
          <w:rFonts w:ascii="Times New Roman" w:hAnsi="Times New Roman" w:cs="Times New Roman"/>
          <w:sz w:val="24"/>
          <w:szCs w:val="24"/>
        </w:rPr>
        <w:t>prieš viešojo pirkimo procedūras įvykdoma ekspertų išankstinė atranka laikytina techninėmis priežastimis, kurios sąlygoja Perkančiosios organizacijos siūlomo viešojo pirkimo būdo pasirinkimą siekiant įsigyti Perkančiosios organizacijos poreikius atitinkančias paslaugas</w:t>
      </w:r>
      <w:r w:rsidRPr="0053118A">
        <w:rPr>
          <w:rFonts w:ascii="Times New Roman" w:hAnsi="Times New Roman" w:cs="Times New Roman"/>
          <w:sz w:val="24"/>
          <w:szCs w:val="24"/>
        </w:rPr>
        <w:t xml:space="preserve">, </w:t>
      </w:r>
      <w:r w:rsidR="00A779CC" w:rsidRPr="0053118A">
        <w:rPr>
          <w:rFonts w:ascii="Times New Roman" w:hAnsi="Times New Roman" w:cs="Times New Roman"/>
          <w:sz w:val="24"/>
          <w:szCs w:val="24"/>
        </w:rPr>
        <w:t xml:space="preserve">į numatomų įsigyti paslaugų, kurioms teikti yra reikalingos konkretaus asmens turimos žinios, patirtis, kompetencija suteikti šias paslaugas, išskirtinumą, taip pat į galimų potencialių tiekėjų subjektiškumą, į tai, kad šiuo atveju bus perkamos ne įprastinės, o specifinės ekspertinės paslaugos, kurios teikiamos specifinei Perkančiajai organizacijai jai </w:t>
      </w:r>
      <w:r w:rsidRPr="0053118A">
        <w:rPr>
          <w:rFonts w:ascii="Times New Roman" w:hAnsi="Times New Roman" w:cs="Times New Roman"/>
          <w:sz w:val="24"/>
          <w:szCs w:val="24"/>
        </w:rPr>
        <w:t>Kultūros tarybos įstatymu</w:t>
      </w:r>
      <w:r w:rsidR="00A779CC" w:rsidRPr="0053118A">
        <w:rPr>
          <w:rFonts w:ascii="Times New Roman" w:hAnsi="Times New Roman" w:cs="Times New Roman"/>
          <w:sz w:val="24"/>
          <w:szCs w:val="24"/>
        </w:rPr>
        <w:t xml:space="preserve"> priskirtai veiklai ir funkcijoms vykdyti, Perkančioji organizacija, atsižvelgdama į aukščiau išdėstytus argumentus bei, vadovaudamasi Įstatymo 72 straipsnio 1 dalimi, priėmė sprendimą </w:t>
      </w:r>
      <w:r w:rsidRPr="0053118A">
        <w:rPr>
          <w:rFonts w:ascii="Times New Roman" w:hAnsi="Times New Roman" w:cs="Times New Roman"/>
          <w:sz w:val="24"/>
          <w:szCs w:val="24"/>
        </w:rPr>
        <w:t xml:space="preserve">Pirkimą </w:t>
      </w:r>
      <w:r w:rsidR="00B86490">
        <w:rPr>
          <w:rFonts w:ascii="Times New Roman" w:hAnsi="Times New Roman" w:cs="Times New Roman"/>
          <w:sz w:val="24"/>
          <w:szCs w:val="24"/>
        </w:rPr>
        <w:t>vykdyti</w:t>
      </w:r>
      <w:r w:rsidR="00B86490" w:rsidRPr="0053118A">
        <w:rPr>
          <w:rFonts w:ascii="Times New Roman" w:hAnsi="Times New Roman" w:cs="Times New Roman"/>
          <w:sz w:val="24"/>
          <w:szCs w:val="24"/>
        </w:rPr>
        <w:t xml:space="preserve"> </w:t>
      </w:r>
      <w:r w:rsidRPr="0053118A">
        <w:rPr>
          <w:rFonts w:ascii="Times New Roman" w:hAnsi="Times New Roman" w:cs="Times New Roman"/>
          <w:sz w:val="24"/>
          <w:szCs w:val="24"/>
        </w:rPr>
        <w:t>neskelbiamų derybų būdu</w:t>
      </w:r>
      <w:r w:rsidR="00767BCE">
        <w:rPr>
          <w:rFonts w:ascii="Times New Roman" w:hAnsi="Times New Roman" w:cs="Times New Roman"/>
          <w:sz w:val="24"/>
          <w:szCs w:val="24"/>
        </w:rPr>
        <w:t xml:space="preserve"> </w:t>
      </w:r>
      <w:r w:rsidRPr="0053118A">
        <w:rPr>
          <w:rFonts w:ascii="Times New Roman" w:hAnsi="Times New Roman" w:cs="Times New Roman"/>
          <w:sz w:val="24"/>
          <w:szCs w:val="24"/>
        </w:rPr>
        <w:t>Įstatymo 71 straipsnio 1 dalies 2 punkto (b) papunktyje nustatytu pagrindu ir kreiptis į Tarnybą sutikimo dėl tokio Pirkimo būdo pasirinkimo.</w:t>
      </w:r>
    </w:p>
    <w:p w14:paraId="6B85DD0D" w14:textId="412BEE31" w:rsidR="00474F04" w:rsidRPr="0053118A" w:rsidRDefault="00474F04" w:rsidP="00161D7C">
      <w:pPr>
        <w:widowControl w:val="0"/>
        <w:spacing w:after="0" w:line="240" w:lineRule="auto"/>
        <w:ind w:firstLine="709"/>
        <w:jc w:val="both"/>
        <w:rPr>
          <w:rFonts w:ascii="Times New Roman" w:eastAsia="Times New Roman" w:hAnsi="Times New Roman" w:cs="Times New Roman"/>
          <w:sz w:val="24"/>
          <w:szCs w:val="24"/>
        </w:rPr>
      </w:pPr>
      <w:r w:rsidRPr="0053118A">
        <w:rPr>
          <w:rFonts w:ascii="Times New Roman" w:hAnsi="Times New Roman" w:cs="Times New Roman"/>
          <w:sz w:val="24"/>
          <w:szCs w:val="24"/>
        </w:rPr>
        <w:t xml:space="preserve">Planuojamo vykdyti </w:t>
      </w:r>
      <w:r w:rsidR="004C69BE" w:rsidRPr="0053118A">
        <w:rPr>
          <w:rFonts w:ascii="Times New Roman" w:hAnsi="Times New Roman" w:cs="Times New Roman"/>
          <w:sz w:val="24"/>
          <w:szCs w:val="24"/>
        </w:rPr>
        <w:t>P</w:t>
      </w:r>
      <w:r w:rsidRPr="0053118A">
        <w:rPr>
          <w:rFonts w:ascii="Times New Roman" w:hAnsi="Times New Roman" w:cs="Times New Roman"/>
          <w:sz w:val="24"/>
          <w:szCs w:val="24"/>
        </w:rPr>
        <w:t>irkimo vertė – 600.000,00 Eur be PVM</w:t>
      </w:r>
      <w:r w:rsidR="004C69BE" w:rsidRPr="0053118A">
        <w:rPr>
          <w:rFonts w:ascii="Times New Roman" w:hAnsi="Times New Roman" w:cs="Times New Roman"/>
          <w:sz w:val="24"/>
          <w:szCs w:val="24"/>
        </w:rPr>
        <w:t>.</w:t>
      </w:r>
    </w:p>
    <w:p w14:paraId="06E40ECF" w14:textId="77777777" w:rsidR="008F1924" w:rsidRPr="0053118A" w:rsidRDefault="008F1924" w:rsidP="00161D7C">
      <w:pPr>
        <w:tabs>
          <w:tab w:val="left" w:pos="851"/>
        </w:tabs>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t>Įstatymo 71 straipsnio nuostatomis įgyvendinamos Europos Parlamento ir Tarybos 2014 m. vasario 26 d. direktyvos 2014/24/ES dėl vi</w:t>
      </w:r>
      <w:r w:rsidRPr="0053118A">
        <w:rPr>
          <w:rFonts w:ascii="Times New Roman" w:hAnsi="Times New Roman" w:cs="Times New Roman"/>
          <w:color w:val="000000"/>
          <w:sz w:val="24"/>
          <w:szCs w:val="24"/>
        </w:rPr>
        <w:t>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Pr="0053118A">
        <w:rPr>
          <w:rStyle w:val="Puslapioinaosnuoroda"/>
          <w:rFonts w:ascii="Times New Roman" w:hAnsi="Times New Roman" w:cs="Times New Roman"/>
          <w:color w:val="000000"/>
          <w:sz w:val="24"/>
          <w:szCs w:val="24"/>
        </w:rPr>
        <w:footnoteReference w:id="6"/>
      </w:r>
      <w:r w:rsidRPr="0053118A">
        <w:rPr>
          <w:rFonts w:ascii="Times New Roman" w:hAnsi="Times New Roman" w:cs="Times New Roman"/>
          <w:color w:val="000000"/>
          <w:sz w:val="24"/>
          <w:szCs w:val="24"/>
        </w:rPr>
        <w:t xml:space="preserve">. </w:t>
      </w:r>
    </w:p>
    <w:p w14:paraId="7618BE1D" w14:textId="2CE8D273" w:rsidR="008F1924" w:rsidRPr="0053118A" w:rsidRDefault="008F1924" w:rsidP="00161D7C">
      <w:pPr>
        <w:widowControl w:val="0"/>
        <w:spacing w:after="0" w:line="240" w:lineRule="auto"/>
        <w:ind w:firstLine="709"/>
        <w:jc w:val="both"/>
        <w:rPr>
          <w:rFonts w:ascii="Times New Roman" w:eastAsia="Calibri" w:hAnsi="Times New Roman" w:cs="Times New Roman"/>
          <w:sz w:val="24"/>
          <w:szCs w:val="24"/>
        </w:rPr>
      </w:pPr>
      <w:r w:rsidRPr="0053118A">
        <w:rPr>
          <w:rFonts w:ascii="Times New Roman" w:eastAsia="Calibri" w:hAnsi="Times New Roman" w:cs="Times New Roman"/>
          <w:sz w:val="24"/>
          <w:szCs w:val="24"/>
        </w:rPr>
        <w:t xml:space="preserve">Įstatymo 71 straipsnio 1 dalies 2 punkto (b) papunktyje nustatyta, kad </w:t>
      </w:r>
      <w:r w:rsidRPr="0053118A">
        <w:rPr>
          <w:rFonts w:ascii="Times New Roman" w:eastAsia="Calibri" w:hAnsi="Times New Roman" w:cs="Times New Roman"/>
          <w:i/>
          <w:sz w:val="24"/>
          <w:szCs w:val="24"/>
        </w:rPr>
        <w:t>Prekės, paslaugos ar darbai neskelbiamų derybų būdu gali būti perkami</w:t>
      </w:r>
      <w:r w:rsidR="00767BCE">
        <w:rPr>
          <w:rFonts w:ascii="Times New Roman" w:eastAsia="Calibri" w:hAnsi="Times New Roman" w:cs="Times New Roman"/>
          <w:i/>
          <w:sz w:val="24"/>
          <w:szCs w:val="24"/>
        </w:rPr>
        <w:t>,</w:t>
      </w:r>
      <w:r w:rsidRPr="0053118A">
        <w:rPr>
          <w:rFonts w:ascii="Times New Roman" w:eastAsia="Calibri" w:hAnsi="Times New Roman" w:cs="Times New Roman"/>
          <w:i/>
          <w:sz w:val="24"/>
          <w:szCs w:val="24"/>
        </w:rPr>
        <w:t xml:space="preserve"> „&lt;...&gt; jeigu prekes patiekti, paslaugas teikti ar darbus atlikti gali tik konkretus tiekėjas dėl vienos iš šių priežasčių &lt;...&gt; b) konkurencijos nėra dėl techninių priežasčių“</w:t>
      </w:r>
      <w:r w:rsidRPr="0053118A">
        <w:rPr>
          <w:rFonts w:ascii="Times New Roman" w:eastAsia="Calibri" w:hAnsi="Times New Roman" w:cs="Times New Roman"/>
          <w:sz w:val="24"/>
          <w:szCs w:val="24"/>
        </w:rPr>
        <w:t>, o 71 straipsnio 2 dalyje nustatyta, kad „</w:t>
      </w:r>
      <w:r w:rsidRPr="0053118A">
        <w:rPr>
          <w:rFonts w:ascii="Times New Roman" w:eastAsia="Calibri" w:hAnsi="Times New Roman" w:cs="Times New Roman"/>
          <w:i/>
          <w:iCs/>
          <w:sz w:val="24"/>
          <w:szCs w:val="24"/>
        </w:rPr>
        <w:t xml:space="preserve">Šio straipsnio 1 dalies 2 punkto b ir c papunkčiai gali būti taikomi tik tuo atveju, kai nėra pagrįstos alternatyvos ar pakaitalo ir konkurencijos nebuvimas nėra sukurtas perkančiosios organizacijos, jai dirbtinai sugriežtinus pirkimo reikalavimus“. </w:t>
      </w:r>
    </w:p>
    <w:p w14:paraId="2E42511A" w14:textId="77777777" w:rsidR="008F1924" w:rsidRPr="0053118A" w:rsidRDefault="008F1924" w:rsidP="00161D7C">
      <w:pPr>
        <w:widowControl w:val="0"/>
        <w:spacing w:after="0" w:line="240" w:lineRule="auto"/>
        <w:ind w:firstLine="709"/>
        <w:jc w:val="both"/>
        <w:rPr>
          <w:rFonts w:ascii="Times New Roman" w:hAnsi="Times New Roman" w:cs="Times New Roman"/>
          <w:i/>
          <w:iCs/>
          <w:color w:val="000000"/>
          <w:sz w:val="24"/>
          <w:szCs w:val="24"/>
          <w:shd w:val="clear" w:color="auto" w:fill="FFFFFF"/>
        </w:rPr>
      </w:pPr>
      <w:r w:rsidRPr="0053118A">
        <w:rPr>
          <w:rFonts w:ascii="Times New Roman" w:hAnsi="Times New Roman" w:cs="Times New Roman"/>
          <w:sz w:val="24"/>
          <w:szCs w:val="24"/>
        </w:rPr>
        <w:t xml:space="preserve">Atkreiptinas dėmesys, kad neskelbiamų derybų būdu pirkimo vykdymas yra Įstatymo išimtis, todėl sąlygos, leidžiančios atlikti tokį pirkimą, turi būti aiškinamos itin siaurai, grindžiant jas akivaizdžiais įrodymais. 2014 m. vasario 26 d. Europos Parlamento Direktyvos 2014/24/ES dėl viešųjų pirkimų, kuria panaikinama Direktyva 2004/18/EB nustatyta, kad </w:t>
      </w:r>
      <w:r w:rsidRPr="0053118A">
        <w:rPr>
          <w:rFonts w:ascii="Times New Roman" w:hAnsi="Times New Roman" w:cs="Times New Roman"/>
          <w:i/>
          <w:iCs/>
          <w:sz w:val="24"/>
          <w:szCs w:val="24"/>
        </w:rPr>
        <w:t xml:space="preserve">„&lt;...&gt; (50) </w:t>
      </w:r>
      <w:r w:rsidRPr="0053118A">
        <w:rPr>
          <w:rFonts w:ascii="Times New Roman" w:hAnsi="Times New Roman" w:cs="Times New Roman"/>
          <w:i/>
          <w:iCs/>
          <w:color w:val="000000"/>
          <w:sz w:val="24"/>
          <w:szCs w:val="24"/>
          <w:shd w:val="clear" w:color="auto" w:fill="FFFFFF"/>
        </w:rPr>
        <w:t xml:space="preserve">atsižvelgiant į žalingus padarinius konkurencijai, derybos be išankstinio skelbimo apie pirkimą turėtų būti </w:t>
      </w:r>
      <w:r w:rsidRPr="0053118A">
        <w:rPr>
          <w:rFonts w:ascii="Times New Roman" w:hAnsi="Times New Roman" w:cs="Times New Roman"/>
          <w:i/>
          <w:iCs/>
          <w:color w:val="000000"/>
          <w:sz w:val="24"/>
          <w:szCs w:val="24"/>
          <w:shd w:val="clear" w:color="auto" w:fill="FFFFFF"/>
        </w:rPr>
        <w:lastRenderedPageBreak/>
        <w:t xml:space="preserve">naudojamos tik išimtinėmis aplinkybėmis. Ši išimtis turėtų būti taikoma tik tais atvejais, kai paskelbimas neįmanomas &lt;...&gt; jeigu nuo pat pradžių aišku, kad paskelbimas nesukels didesnės konkurencijos ar neužtikrins geresnių pirkimo rezultatų, ypač jeigu vertinant objektyviai yra tik vienas ekonominės veiklos vykdytojas, galintis įvykdyti sutartį. &lt;...&gt; Kai išskirtinumo padėtis yra susidariusi dėl techninių priežasčių, jos turėtų būti tiksliai apibrėžtos ir kiekvienu atskiru atveju pagrįstos. Minėtosios priežastys galėtų būti &lt;...&gt; faktas, kad </w:t>
      </w:r>
      <w:bookmarkStart w:id="0" w:name="_Hlk69995448"/>
      <w:r w:rsidRPr="0053118A">
        <w:rPr>
          <w:rFonts w:ascii="Times New Roman" w:hAnsi="Times New Roman" w:cs="Times New Roman"/>
          <w:i/>
          <w:iCs/>
          <w:color w:val="000000"/>
          <w:sz w:val="24"/>
          <w:szCs w:val="24"/>
          <w:shd w:val="clear" w:color="auto" w:fill="FFFFFF"/>
        </w:rPr>
        <w:t xml:space="preserve">kitam </w:t>
      </w:r>
      <w:bookmarkStart w:id="1" w:name="_Hlk84421165"/>
      <w:r w:rsidRPr="0053118A">
        <w:rPr>
          <w:rFonts w:ascii="Times New Roman" w:hAnsi="Times New Roman" w:cs="Times New Roman"/>
          <w:i/>
          <w:iCs/>
          <w:color w:val="000000"/>
          <w:sz w:val="24"/>
          <w:szCs w:val="24"/>
          <w:shd w:val="clear" w:color="auto" w:fill="FFFFFF"/>
        </w:rPr>
        <w:t>ekonominės veiklos vykdytojui techniniu atžvilgiu beveik neįmanoma įvykdyti užduoties</w:t>
      </w:r>
      <w:bookmarkEnd w:id="1"/>
      <w:r w:rsidRPr="0053118A">
        <w:rPr>
          <w:rFonts w:ascii="Times New Roman" w:hAnsi="Times New Roman" w:cs="Times New Roman"/>
          <w:i/>
          <w:iCs/>
          <w:color w:val="000000"/>
          <w:sz w:val="24"/>
          <w:szCs w:val="24"/>
          <w:shd w:val="clear" w:color="auto" w:fill="FFFFFF"/>
        </w:rPr>
        <w:t>,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0"/>
      <w:r w:rsidRPr="0053118A">
        <w:rPr>
          <w:rFonts w:ascii="Times New Roman" w:hAnsi="Times New Roman" w:cs="Times New Roman"/>
          <w:i/>
          <w:iCs/>
          <w:color w:val="000000"/>
          <w:sz w:val="24"/>
          <w:szCs w:val="24"/>
          <w:shd w:val="clear" w:color="auto" w:fill="FFFFFF"/>
        </w:rPr>
        <w:t>ą &lt;...&gt;“.</w:t>
      </w:r>
    </w:p>
    <w:p w14:paraId="412E21F2" w14:textId="77777777" w:rsidR="008F1924" w:rsidRPr="0053118A" w:rsidRDefault="008F1924" w:rsidP="00161D7C">
      <w:pPr>
        <w:widowControl w:val="0"/>
        <w:spacing w:after="0" w:line="240" w:lineRule="auto"/>
        <w:ind w:firstLine="709"/>
        <w:jc w:val="both"/>
        <w:rPr>
          <w:rFonts w:ascii="Times New Roman" w:eastAsia="Times New Roman" w:hAnsi="Times New Roman" w:cs="Times New Roman"/>
          <w:sz w:val="24"/>
          <w:szCs w:val="24"/>
        </w:rPr>
      </w:pPr>
      <w:r w:rsidRPr="0053118A">
        <w:rPr>
          <w:rFonts w:ascii="Times New Roman" w:hAnsi="Times New Roman" w:cs="Times New Roman"/>
          <w:sz w:val="24"/>
          <w:szCs w:val="24"/>
        </w:rPr>
        <w:t xml:space="preserve">Analogiškos pozicijos laikosi ir ESTT, kuris pažymi, kad neskelbiamos derybos prašyme nurodytu pagrindu gali būti vykdomos tik tuo atveju, jei egzistuoja ne tik techninės priežastys, bet kartu turi būti tik vienintelis potencialus tiekėjas, o </w:t>
      </w:r>
      <w:r w:rsidRPr="0053118A">
        <w:rPr>
          <w:rFonts w:ascii="Times New Roman" w:hAnsi="Times New Roman" w:cs="Times New Roman"/>
          <w:iCs/>
          <w:sz w:val="24"/>
          <w:szCs w:val="24"/>
        </w:rPr>
        <w:t>techninės priežastys, dėl kurių pirkimo objektą gali pateikti vienintelis tiekėjas,</w:t>
      </w:r>
      <w:r w:rsidRPr="0053118A">
        <w:rPr>
          <w:rFonts w:ascii="Times New Roman" w:hAnsi="Times New Roman" w:cs="Times New Roman"/>
          <w:sz w:val="24"/>
          <w:szCs w:val="24"/>
        </w:rPr>
        <w:t xml:space="preserve"> turi įrodyti, kad joks kitas tiekėjas objektyviai negali pateikti perkančiajai organizacijai reikalingo pirkimo objekto</w:t>
      </w:r>
      <w:r w:rsidRPr="0053118A">
        <w:rPr>
          <w:rStyle w:val="Puslapioinaosnuoroda"/>
          <w:rFonts w:ascii="Times New Roman" w:hAnsi="Times New Roman" w:cs="Times New Roman"/>
          <w:sz w:val="24"/>
          <w:szCs w:val="24"/>
        </w:rPr>
        <w:footnoteReference w:id="7"/>
      </w:r>
      <w:r w:rsidRPr="0053118A">
        <w:rPr>
          <w:rFonts w:ascii="Times New Roman" w:hAnsi="Times New Roman" w:cs="Times New Roman"/>
          <w:sz w:val="24"/>
          <w:szCs w:val="24"/>
        </w:rPr>
        <w:t>.</w:t>
      </w:r>
    </w:p>
    <w:p w14:paraId="21D9100A" w14:textId="380179C4" w:rsidR="008F1924" w:rsidRPr="0053118A" w:rsidRDefault="008F1924" w:rsidP="00161D7C">
      <w:pPr>
        <w:spacing w:after="0" w:line="240" w:lineRule="auto"/>
        <w:ind w:firstLine="709"/>
        <w:jc w:val="both"/>
        <w:rPr>
          <w:rFonts w:ascii="Times New Roman" w:hAnsi="Times New Roman" w:cs="Times New Roman"/>
          <w:sz w:val="24"/>
          <w:szCs w:val="24"/>
          <w:lang w:eastAsia="lt-LT"/>
        </w:rPr>
      </w:pPr>
      <w:r w:rsidRPr="0053118A">
        <w:rPr>
          <w:rFonts w:ascii="Times New Roman" w:hAnsi="Times New Roman" w:cs="Times New Roman"/>
          <w:sz w:val="24"/>
          <w:szCs w:val="24"/>
        </w:rPr>
        <w:t xml:space="preserve">Nagrinėjamu atveju techninių priežasčių egzistavimą Perkančioji organizacija grindžia tuo, kad </w:t>
      </w:r>
      <w:r w:rsidR="00E9091B">
        <w:rPr>
          <w:rFonts w:ascii="Times New Roman" w:hAnsi="Times New Roman" w:cs="Times New Roman"/>
          <w:sz w:val="24"/>
          <w:szCs w:val="24"/>
        </w:rPr>
        <w:t>ekspertinio vertinimo</w:t>
      </w:r>
      <w:r w:rsidRPr="0053118A">
        <w:rPr>
          <w:rFonts w:ascii="Times New Roman" w:hAnsi="Times New Roman" w:cs="Times New Roman"/>
          <w:sz w:val="24"/>
          <w:szCs w:val="24"/>
        </w:rPr>
        <w:t xml:space="preserve"> paslaugas galima įsigyti</w:t>
      </w:r>
      <w:r w:rsidR="00ED345E" w:rsidRPr="0053118A">
        <w:rPr>
          <w:rFonts w:ascii="Times New Roman" w:hAnsi="Times New Roman" w:cs="Times New Roman"/>
          <w:sz w:val="24"/>
          <w:szCs w:val="24"/>
        </w:rPr>
        <w:t xml:space="preserve"> tik</w:t>
      </w:r>
      <w:r w:rsidRPr="0053118A">
        <w:rPr>
          <w:rFonts w:ascii="Times New Roman" w:hAnsi="Times New Roman" w:cs="Times New Roman"/>
          <w:sz w:val="24"/>
          <w:szCs w:val="24"/>
        </w:rPr>
        <w:t xml:space="preserve"> iš Perkančiosios organizacijos</w:t>
      </w:r>
      <w:r w:rsidR="0027347A">
        <w:rPr>
          <w:rFonts w:ascii="Times New Roman" w:hAnsi="Times New Roman" w:cs="Times New Roman"/>
          <w:sz w:val="24"/>
          <w:szCs w:val="24"/>
        </w:rPr>
        <w:t xml:space="preserve">, pagal </w:t>
      </w:r>
      <w:r w:rsidR="0027347A" w:rsidRPr="0053118A">
        <w:rPr>
          <w:rFonts w:ascii="Times New Roman" w:hAnsi="Times New Roman" w:cs="Times New Roman"/>
          <w:sz w:val="24"/>
          <w:szCs w:val="24"/>
        </w:rPr>
        <w:t>Atrankos apraše nustatytą kvalifikacinę atranką</w:t>
      </w:r>
      <w:r w:rsidR="0027347A">
        <w:rPr>
          <w:rFonts w:ascii="Times New Roman" w:hAnsi="Times New Roman" w:cs="Times New Roman"/>
          <w:sz w:val="24"/>
          <w:szCs w:val="24"/>
        </w:rPr>
        <w:t xml:space="preserve">, </w:t>
      </w:r>
      <w:r w:rsidR="00A948C1">
        <w:rPr>
          <w:rFonts w:ascii="Times New Roman" w:hAnsi="Times New Roman" w:cs="Times New Roman"/>
          <w:sz w:val="24"/>
          <w:szCs w:val="24"/>
        </w:rPr>
        <w:t xml:space="preserve">atrinktų ir į </w:t>
      </w:r>
      <w:r w:rsidR="00E9091B">
        <w:rPr>
          <w:rFonts w:ascii="Times New Roman" w:hAnsi="Times New Roman" w:cs="Times New Roman"/>
          <w:sz w:val="24"/>
          <w:szCs w:val="24"/>
        </w:rPr>
        <w:t>P</w:t>
      </w:r>
      <w:r w:rsidR="00A948C1">
        <w:rPr>
          <w:rFonts w:ascii="Times New Roman" w:hAnsi="Times New Roman" w:cs="Times New Roman"/>
          <w:sz w:val="24"/>
          <w:szCs w:val="24"/>
        </w:rPr>
        <w:t>erkančiosios organizacijos sudarytą sąrašą įtrauktų</w:t>
      </w:r>
      <w:r w:rsidR="0027347A">
        <w:rPr>
          <w:rFonts w:ascii="Times New Roman" w:hAnsi="Times New Roman" w:cs="Times New Roman"/>
          <w:sz w:val="24"/>
          <w:szCs w:val="24"/>
        </w:rPr>
        <w:t>,</w:t>
      </w:r>
      <w:r w:rsidR="00A948C1">
        <w:rPr>
          <w:rFonts w:ascii="Times New Roman" w:hAnsi="Times New Roman" w:cs="Times New Roman"/>
          <w:sz w:val="24"/>
          <w:szCs w:val="24"/>
        </w:rPr>
        <w:t xml:space="preserve"> ekspertų</w:t>
      </w:r>
      <w:r w:rsidR="00ED345E" w:rsidRPr="0053118A">
        <w:rPr>
          <w:rFonts w:ascii="Times New Roman" w:hAnsi="Times New Roman" w:cs="Times New Roman"/>
          <w:sz w:val="24"/>
          <w:szCs w:val="24"/>
        </w:rPr>
        <w:t xml:space="preserve">. Taip pat sprendimas vykdyti Pirkimą neskelbiamų derybų būdu grindžiamas tuo, kad ekspertai negali konkuruoti dėl siūlomo paslaugų įkainio (kainos), kadangi atlygis už teikiamas ekspertinio vertinimo paslaugas nustatytas Lietuvos Respublikos kultūros ministro įsakymu </w:t>
      </w:r>
      <w:r w:rsidR="0010413F" w:rsidRPr="0053118A">
        <w:rPr>
          <w:rFonts w:ascii="Times New Roman" w:hAnsi="Times New Roman" w:cs="Times New Roman"/>
          <w:sz w:val="24"/>
          <w:szCs w:val="24"/>
        </w:rPr>
        <w:t>patvirtintame apraše.</w:t>
      </w:r>
    </w:p>
    <w:p w14:paraId="63CED340" w14:textId="608644E6" w:rsidR="004116DF" w:rsidRPr="00F646EE" w:rsidRDefault="0010413F" w:rsidP="00161D7C">
      <w:pPr>
        <w:spacing w:after="0" w:line="240" w:lineRule="auto"/>
        <w:ind w:firstLine="709"/>
        <w:jc w:val="both"/>
        <w:rPr>
          <w:rFonts w:ascii="Times New Roman" w:eastAsia="Calibri" w:hAnsi="Times New Roman" w:cs="Times New Roman"/>
          <w:sz w:val="24"/>
          <w:szCs w:val="24"/>
        </w:rPr>
      </w:pPr>
      <w:r w:rsidRPr="00535B5F">
        <w:rPr>
          <w:rFonts w:ascii="Times New Roman" w:hAnsi="Times New Roman" w:cs="Times New Roman"/>
          <w:sz w:val="24"/>
          <w:szCs w:val="24"/>
        </w:rPr>
        <w:t xml:space="preserve">Tarnyba pažymi, kad </w:t>
      </w:r>
      <w:r w:rsidR="00535B5F" w:rsidRPr="00535B5F">
        <w:rPr>
          <w:rStyle w:val="wysiwyg-font-size-medium"/>
          <w:rFonts w:ascii="Times New Roman" w:hAnsi="Times New Roman" w:cs="Times New Roman"/>
          <w:color w:val="000000"/>
          <w:spacing w:val="2"/>
          <w:sz w:val="24"/>
          <w:szCs w:val="24"/>
          <w:shd w:val="clear" w:color="auto" w:fill="FFFFFF"/>
        </w:rPr>
        <w:t>neskelbiamos derybos, taikant </w:t>
      </w:r>
      <w:r w:rsidR="00535B5F" w:rsidRPr="00535B5F">
        <w:rPr>
          <w:rFonts w:ascii="Times New Roman" w:hAnsi="Times New Roman" w:cs="Times New Roman"/>
          <w:sz w:val="24"/>
          <w:szCs w:val="24"/>
        </w:rPr>
        <w:t xml:space="preserve">Įstatymo </w:t>
      </w:r>
      <w:r w:rsidR="00535B5F" w:rsidRPr="00535B5F">
        <w:rPr>
          <w:rStyle w:val="wysiwyg-font-size-medium"/>
          <w:rFonts w:ascii="Times New Roman" w:hAnsi="Times New Roman" w:cs="Times New Roman"/>
          <w:color w:val="000000"/>
          <w:spacing w:val="2"/>
          <w:sz w:val="24"/>
          <w:szCs w:val="24"/>
          <w:shd w:val="clear" w:color="auto" w:fill="FFFFFF"/>
        </w:rPr>
        <w:t>71 straipsnio 1 dalies 2 punktą gali būti vykdomos tokiu būdu, kad dėl objektyvių priežasčių kreipiamasi tik į vieną konkretų tiekėją. Pagal </w:t>
      </w:r>
      <w:r w:rsidR="00535B5F" w:rsidRPr="00535B5F">
        <w:rPr>
          <w:rFonts w:ascii="Times New Roman" w:hAnsi="Times New Roman" w:cs="Times New Roman"/>
          <w:sz w:val="24"/>
          <w:szCs w:val="24"/>
        </w:rPr>
        <w:t xml:space="preserve">Įstatymo </w:t>
      </w:r>
      <w:r w:rsidR="00535B5F" w:rsidRPr="00535B5F">
        <w:rPr>
          <w:rStyle w:val="wysiwyg-font-size-medium"/>
          <w:rFonts w:ascii="Times New Roman" w:hAnsi="Times New Roman" w:cs="Times New Roman"/>
          <w:color w:val="000000"/>
          <w:spacing w:val="2"/>
          <w:sz w:val="24"/>
          <w:szCs w:val="24"/>
          <w:shd w:val="clear" w:color="auto" w:fill="FFFFFF"/>
        </w:rPr>
        <w:t>71 straipsnio 1 dalies 2 punkto a-c papunkčiuose nustatytas sąlygas į konkretų tiekėją galima kreiptis tik tais atvejais, kai nėra (ar negali būti) kitų rinkos dalyvių, kurie perkančiajai organizacijai galėtų parduoti pirkimo objektą arba pirkimo objektas yra neatsiejamas nuo jį sukuriančio subjekto.</w:t>
      </w:r>
      <w:r w:rsidR="00535B5F">
        <w:rPr>
          <w:rStyle w:val="wysiwyg-font-size-medium"/>
          <w:rFonts w:ascii="Times New Roman" w:hAnsi="Times New Roman" w:cs="Times New Roman"/>
          <w:color w:val="000000"/>
          <w:spacing w:val="2"/>
          <w:sz w:val="24"/>
          <w:szCs w:val="24"/>
          <w:shd w:val="clear" w:color="auto" w:fill="FFFFFF"/>
        </w:rPr>
        <w:t xml:space="preserve"> V</w:t>
      </w:r>
      <w:r w:rsidR="0053118A" w:rsidRPr="0053118A">
        <w:rPr>
          <w:rStyle w:val="wysiwyg-font-size-medium"/>
          <w:rFonts w:ascii="Times New Roman" w:hAnsi="Times New Roman" w:cs="Times New Roman"/>
          <w:color w:val="000000"/>
          <w:spacing w:val="2"/>
          <w:sz w:val="24"/>
          <w:szCs w:val="24"/>
          <w:shd w:val="clear" w:color="auto" w:fill="FFFFFF"/>
        </w:rPr>
        <w:t xml:space="preserve">ien jau ta aplinkybė, kad </w:t>
      </w:r>
      <w:r w:rsidR="00B86490">
        <w:rPr>
          <w:rStyle w:val="wysiwyg-font-size-medium"/>
          <w:rFonts w:ascii="Times New Roman" w:hAnsi="Times New Roman" w:cs="Times New Roman"/>
          <w:color w:val="000000"/>
          <w:spacing w:val="2"/>
          <w:sz w:val="24"/>
          <w:szCs w:val="24"/>
          <w:shd w:val="clear" w:color="auto" w:fill="FFFFFF"/>
        </w:rPr>
        <w:t xml:space="preserve">nagrinėjamu atveju </w:t>
      </w:r>
      <w:r w:rsidR="0053118A" w:rsidRPr="0053118A">
        <w:rPr>
          <w:rStyle w:val="wysiwyg-font-size-medium"/>
          <w:rFonts w:ascii="Times New Roman" w:hAnsi="Times New Roman" w:cs="Times New Roman"/>
          <w:color w:val="000000"/>
          <w:spacing w:val="2"/>
          <w:sz w:val="24"/>
          <w:szCs w:val="24"/>
          <w:shd w:val="clear" w:color="auto" w:fill="FFFFFF"/>
        </w:rPr>
        <w:t xml:space="preserve">į Perkančiosios organizacijos </w:t>
      </w:r>
      <w:r w:rsidR="00B86490">
        <w:rPr>
          <w:rStyle w:val="wysiwyg-font-size-medium"/>
          <w:rFonts w:ascii="Times New Roman" w:hAnsi="Times New Roman" w:cs="Times New Roman"/>
          <w:color w:val="000000"/>
          <w:spacing w:val="2"/>
          <w:sz w:val="24"/>
          <w:szCs w:val="24"/>
          <w:shd w:val="clear" w:color="auto" w:fill="FFFFFF"/>
        </w:rPr>
        <w:t xml:space="preserve">sudaromą </w:t>
      </w:r>
      <w:r w:rsidR="0053118A" w:rsidRPr="0053118A">
        <w:rPr>
          <w:rStyle w:val="wysiwyg-font-size-medium"/>
          <w:rFonts w:ascii="Times New Roman" w:hAnsi="Times New Roman" w:cs="Times New Roman"/>
          <w:color w:val="000000"/>
          <w:spacing w:val="2"/>
          <w:sz w:val="24"/>
          <w:szCs w:val="24"/>
          <w:shd w:val="clear" w:color="auto" w:fill="FFFFFF"/>
        </w:rPr>
        <w:t xml:space="preserve">ekspertų sąrašą </w:t>
      </w:r>
      <w:r w:rsidR="0027347A">
        <w:rPr>
          <w:rStyle w:val="wysiwyg-font-size-medium"/>
          <w:rFonts w:ascii="Times New Roman" w:hAnsi="Times New Roman" w:cs="Times New Roman"/>
          <w:color w:val="000000"/>
          <w:spacing w:val="2"/>
          <w:sz w:val="24"/>
          <w:szCs w:val="24"/>
          <w:shd w:val="clear" w:color="auto" w:fill="FFFFFF"/>
        </w:rPr>
        <w:t>bus</w:t>
      </w:r>
      <w:r w:rsidR="0053118A" w:rsidRPr="0053118A">
        <w:rPr>
          <w:rStyle w:val="wysiwyg-font-size-medium"/>
          <w:rFonts w:ascii="Times New Roman" w:hAnsi="Times New Roman" w:cs="Times New Roman"/>
          <w:color w:val="000000"/>
          <w:spacing w:val="2"/>
          <w:sz w:val="24"/>
          <w:szCs w:val="24"/>
          <w:shd w:val="clear" w:color="auto" w:fill="FFFFFF"/>
        </w:rPr>
        <w:t xml:space="preserve"> įtrauktas daugiau negu vienas konkrečios srities ekspertas,</w:t>
      </w:r>
      <w:r w:rsidR="004116DF">
        <w:rPr>
          <w:rStyle w:val="wysiwyg-font-size-medium"/>
          <w:rFonts w:ascii="Times New Roman" w:hAnsi="Times New Roman" w:cs="Times New Roman"/>
          <w:color w:val="000000"/>
          <w:spacing w:val="2"/>
          <w:sz w:val="24"/>
          <w:szCs w:val="24"/>
          <w:shd w:val="clear" w:color="auto" w:fill="FFFFFF"/>
        </w:rPr>
        <w:t xml:space="preserve"> ir į</w:t>
      </w:r>
      <w:r w:rsidR="00B86490">
        <w:rPr>
          <w:rStyle w:val="wysiwyg-font-size-medium"/>
          <w:rFonts w:ascii="Times New Roman" w:hAnsi="Times New Roman" w:cs="Times New Roman"/>
          <w:color w:val="000000"/>
          <w:spacing w:val="2"/>
          <w:sz w:val="24"/>
          <w:szCs w:val="24"/>
          <w:shd w:val="clear" w:color="auto" w:fill="FFFFFF"/>
        </w:rPr>
        <w:t>vertinus</w:t>
      </w:r>
      <w:r w:rsidR="004116DF">
        <w:rPr>
          <w:rStyle w:val="wysiwyg-font-size-medium"/>
          <w:rFonts w:ascii="Times New Roman" w:hAnsi="Times New Roman" w:cs="Times New Roman"/>
          <w:color w:val="000000"/>
          <w:spacing w:val="2"/>
          <w:sz w:val="24"/>
          <w:szCs w:val="24"/>
          <w:shd w:val="clear" w:color="auto" w:fill="FFFFFF"/>
        </w:rPr>
        <w:t xml:space="preserve"> tai, kad su atskirais ekspertais, kadencijos laikotarpiui, bus sudaromos atskiros sutart</w:t>
      </w:r>
      <w:r w:rsidR="00B86490">
        <w:rPr>
          <w:rStyle w:val="wysiwyg-font-size-medium"/>
          <w:rFonts w:ascii="Times New Roman" w:hAnsi="Times New Roman" w:cs="Times New Roman"/>
          <w:color w:val="000000"/>
          <w:spacing w:val="2"/>
          <w:sz w:val="24"/>
          <w:szCs w:val="24"/>
          <w:shd w:val="clear" w:color="auto" w:fill="FFFFFF"/>
        </w:rPr>
        <w:t>y</w:t>
      </w:r>
      <w:r w:rsidR="004116DF">
        <w:rPr>
          <w:rStyle w:val="wysiwyg-font-size-medium"/>
          <w:rFonts w:ascii="Times New Roman" w:hAnsi="Times New Roman" w:cs="Times New Roman"/>
          <w:color w:val="000000"/>
          <w:spacing w:val="2"/>
          <w:sz w:val="24"/>
          <w:szCs w:val="24"/>
          <w:shd w:val="clear" w:color="auto" w:fill="FFFFFF"/>
        </w:rPr>
        <w:t xml:space="preserve">s, </w:t>
      </w:r>
      <w:r w:rsidR="0053118A" w:rsidRPr="0053118A">
        <w:rPr>
          <w:rStyle w:val="wysiwyg-font-size-medium"/>
          <w:rFonts w:ascii="Times New Roman" w:hAnsi="Times New Roman" w:cs="Times New Roman"/>
          <w:color w:val="000000"/>
          <w:spacing w:val="2"/>
          <w:sz w:val="24"/>
          <w:szCs w:val="24"/>
          <w:shd w:val="clear" w:color="auto" w:fill="FFFFFF"/>
        </w:rPr>
        <w:t>paneigia Įstatymo 71 straipsnio 1 dalies 2 punkt</w:t>
      </w:r>
      <w:r w:rsidR="004116DF">
        <w:rPr>
          <w:rStyle w:val="wysiwyg-font-size-medium"/>
          <w:rFonts w:ascii="Times New Roman" w:hAnsi="Times New Roman" w:cs="Times New Roman"/>
          <w:color w:val="000000"/>
          <w:spacing w:val="2"/>
          <w:sz w:val="24"/>
          <w:szCs w:val="24"/>
          <w:shd w:val="clear" w:color="auto" w:fill="FFFFFF"/>
        </w:rPr>
        <w:t>e</w:t>
      </w:r>
      <w:r w:rsidR="0053118A" w:rsidRPr="0053118A">
        <w:rPr>
          <w:rStyle w:val="wysiwyg-font-size-medium"/>
          <w:rFonts w:ascii="Times New Roman" w:hAnsi="Times New Roman" w:cs="Times New Roman"/>
          <w:color w:val="000000"/>
          <w:spacing w:val="2"/>
          <w:sz w:val="24"/>
          <w:szCs w:val="24"/>
          <w:shd w:val="clear" w:color="auto" w:fill="FFFFFF"/>
        </w:rPr>
        <w:t xml:space="preserve"> </w:t>
      </w:r>
      <w:r w:rsidR="0053118A" w:rsidRPr="00F646EE">
        <w:rPr>
          <w:rStyle w:val="wysiwyg-font-size-medium"/>
          <w:rFonts w:ascii="Times New Roman" w:hAnsi="Times New Roman" w:cs="Times New Roman"/>
          <w:color w:val="000000"/>
          <w:spacing w:val="2"/>
          <w:sz w:val="24"/>
          <w:szCs w:val="24"/>
          <w:shd w:val="clear" w:color="auto" w:fill="FFFFFF"/>
        </w:rPr>
        <w:t xml:space="preserve">nurodytą neskelbiamų derybų </w:t>
      </w:r>
      <w:r w:rsidR="00B86490">
        <w:rPr>
          <w:rStyle w:val="wysiwyg-font-size-medium"/>
          <w:rFonts w:ascii="Times New Roman" w:hAnsi="Times New Roman" w:cs="Times New Roman"/>
          <w:color w:val="000000"/>
          <w:spacing w:val="2"/>
          <w:sz w:val="24"/>
          <w:szCs w:val="24"/>
          <w:shd w:val="clear" w:color="auto" w:fill="FFFFFF"/>
        </w:rPr>
        <w:t xml:space="preserve">vykdymo </w:t>
      </w:r>
      <w:r w:rsidR="0053118A" w:rsidRPr="00F646EE">
        <w:rPr>
          <w:rStyle w:val="wysiwyg-font-size-medium"/>
          <w:rFonts w:ascii="Times New Roman" w:hAnsi="Times New Roman" w:cs="Times New Roman"/>
          <w:color w:val="000000"/>
          <w:spacing w:val="2"/>
          <w:sz w:val="24"/>
          <w:szCs w:val="24"/>
          <w:shd w:val="clear" w:color="auto" w:fill="FFFFFF"/>
        </w:rPr>
        <w:t xml:space="preserve">sąlygą, kad paslaugas gali suteikti </w:t>
      </w:r>
      <w:r w:rsidR="00B86490" w:rsidRPr="00161D7C">
        <w:rPr>
          <w:rStyle w:val="wysiwyg-font-size-medium"/>
          <w:rFonts w:ascii="Times New Roman" w:hAnsi="Times New Roman" w:cs="Times New Roman"/>
          <w:b/>
          <w:bCs/>
          <w:color w:val="000000"/>
          <w:spacing w:val="2"/>
          <w:sz w:val="24"/>
          <w:szCs w:val="24"/>
          <w:shd w:val="clear" w:color="auto" w:fill="FFFFFF"/>
        </w:rPr>
        <w:t>tik</w:t>
      </w:r>
      <w:r w:rsidR="0053118A" w:rsidRPr="00F646EE">
        <w:rPr>
          <w:rStyle w:val="wysiwyg-font-size-medium"/>
          <w:rFonts w:ascii="Times New Roman" w:hAnsi="Times New Roman" w:cs="Times New Roman"/>
          <w:color w:val="000000"/>
          <w:spacing w:val="2"/>
          <w:sz w:val="24"/>
          <w:szCs w:val="24"/>
          <w:shd w:val="clear" w:color="auto" w:fill="FFFFFF"/>
        </w:rPr>
        <w:t xml:space="preserve"> konkretus tiekėjas. Atitinkamai </w:t>
      </w:r>
      <w:r w:rsidRPr="00F646EE">
        <w:rPr>
          <w:rFonts w:ascii="Times New Roman" w:eastAsia="Calibri" w:hAnsi="Times New Roman" w:cs="Times New Roman"/>
          <w:sz w:val="24"/>
          <w:szCs w:val="24"/>
        </w:rPr>
        <w:t xml:space="preserve">Perkančiosios organizacijos nurodyti argumentai ir kartu su prašymu pateiktos nuorodos į viešai paskelbtus dokumentus neįrodo ir nepagrindžia, kad </w:t>
      </w:r>
      <w:r w:rsidRPr="00F646EE">
        <w:rPr>
          <w:rFonts w:ascii="Times New Roman" w:hAnsi="Times New Roman" w:cs="Times New Roman"/>
          <w:iCs/>
          <w:sz w:val="24"/>
          <w:szCs w:val="24"/>
        </w:rPr>
        <w:t xml:space="preserve">Pirkimu siekiamas įsigyti ekspertinio vertinimo paslaugas </w:t>
      </w:r>
      <w:r w:rsidRPr="00F646EE">
        <w:rPr>
          <w:rFonts w:ascii="Times New Roman" w:eastAsia="Calibri" w:hAnsi="Times New Roman" w:cs="Times New Roman"/>
          <w:sz w:val="24"/>
          <w:szCs w:val="24"/>
        </w:rPr>
        <w:t>gali t</w:t>
      </w:r>
      <w:r w:rsidR="00EE3AD3">
        <w:rPr>
          <w:rFonts w:ascii="Times New Roman" w:eastAsia="Calibri" w:hAnsi="Times New Roman" w:cs="Times New Roman"/>
          <w:sz w:val="24"/>
          <w:szCs w:val="24"/>
        </w:rPr>
        <w:t>ei</w:t>
      </w:r>
      <w:r w:rsidRPr="00F646EE">
        <w:rPr>
          <w:rFonts w:ascii="Times New Roman" w:eastAsia="Calibri" w:hAnsi="Times New Roman" w:cs="Times New Roman"/>
          <w:sz w:val="24"/>
          <w:szCs w:val="24"/>
        </w:rPr>
        <w:t>kti tik konkretus tiekėjas</w:t>
      </w:r>
      <w:r w:rsidR="00B12386" w:rsidRPr="00F646EE">
        <w:rPr>
          <w:rFonts w:ascii="Times New Roman" w:eastAsia="Calibri" w:hAnsi="Times New Roman" w:cs="Times New Roman"/>
          <w:sz w:val="24"/>
          <w:szCs w:val="24"/>
        </w:rPr>
        <w:t xml:space="preserve">. </w:t>
      </w:r>
    </w:p>
    <w:p w14:paraId="57646723" w14:textId="1254A6F6" w:rsidR="004116DF" w:rsidRPr="00F646EE" w:rsidRDefault="0053118A" w:rsidP="00161D7C">
      <w:pPr>
        <w:spacing w:after="0" w:line="240" w:lineRule="auto"/>
        <w:ind w:firstLine="709"/>
        <w:jc w:val="both"/>
        <w:rPr>
          <w:rFonts w:ascii="Times New Roman" w:eastAsia="Calibri" w:hAnsi="Times New Roman" w:cs="Times New Roman"/>
          <w:sz w:val="24"/>
          <w:szCs w:val="24"/>
        </w:rPr>
      </w:pPr>
      <w:r w:rsidRPr="00F646EE">
        <w:rPr>
          <w:rFonts w:ascii="Times New Roman" w:eastAsia="Calibri" w:hAnsi="Times New Roman" w:cs="Times New Roman"/>
          <w:sz w:val="24"/>
          <w:szCs w:val="24"/>
        </w:rPr>
        <w:t xml:space="preserve">Perkančioji organizacija nepateikė Tarnybai jokių įrodymų, kad konkurencija šiuo atveju nėra galima </w:t>
      </w:r>
      <w:r w:rsidR="00EE3AD3">
        <w:rPr>
          <w:rFonts w:ascii="Times New Roman" w:eastAsia="Calibri" w:hAnsi="Times New Roman" w:cs="Times New Roman"/>
          <w:sz w:val="24"/>
          <w:szCs w:val="24"/>
        </w:rPr>
        <w:t xml:space="preserve">ir </w:t>
      </w:r>
      <w:r w:rsidRPr="00F646EE">
        <w:rPr>
          <w:rFonts w:ascii="Times New Roman" w:eastAsia="Calibri" w:hAnsi="Times New Roman" w:cs="Times New Roman"/>
          <w:sz w:val="24"/>
          <w:szCs w:val="24"/>
        </w:rPr>
        <w:t>dėl techninių priežasčių</w:t>
      </w:r>
      <w:r w:rsidR="00EE3AD3">
        <w:rPr>
          <w:rFonts w:ascii="Times New Roman" w:eastAsia="Calibri" w:hAnsi="Times New Roman" w:cs="Times New Roman"/>
          <w:sz w:val="24"/>
          <w:szCs w:val="24"/>
        </w:rPr>
        <w:t>, t. y. prašyme nėra nurodytos techninės priežastys</w:t>
      </w:r>
      <w:r w:rsidR="004116DF" w:rsidRPr="00F646EE">
        <w:rPr>
          <w:rFonts w:ascii="Times New Roman" w:eastAsia="Calibri" w:hAnsi="Times New Roman" w:cs="Times New Roman"/>
          <w:sz w:val="24"/>
          <w:szCs w:val="24"/>
        </w:rPr>
        <w:t xml:space="preserve">. Aplinkybės, kad ekspertams taikoma kvalifikacinė atranka, ko </w:t>
      </w:r>
      <w:proofErr w:type="spellStart"/>
      <w:r w:rsidR="004116DF" w:rsidRPr="00F646EE">
        <w:rPr>
          <w:rFonts w:ascii="Times New Roman" w:eastAsia="Calibri" w:hAnsi="Times New Roman" w:cs="Times New Roman"/>
          <w:sz w:val="24"/>
          <w:szCs w:val="24"/>
        </w:rPr>
        <w:t>pasekoje</w:t>
      </w:r>
      <w:proofErr w:type="spellEnd"/>
      <w:r w:rsidR="004116DF" w:rsidRPr="00F646EE">
        <w:rPr>
          <w:rFonts w:ascii="Times New Roman" w:eastAsia="Calibri" w:hAnsi="Times New Roman" w:cs="Times New Roman"/>
          <w:sz w:val="24"/>
          <w:szCs w:val="24"/>
        </w:rPr>
        <w:t xml:space="preserve"> jie yra įtraukiami į Perkančiosios organizacijos administruojamą duomenų bazę, negali būti laikom</w:t>
      </w:r>
      <w:r w:rsidR="00F646EE" w:rsidRPr="00F646EE">
        <w:rPr>
          <w:rFonts w:ascii="Times New Roman" w:eastAsia="Calibri" w:hAnsi="Times New Roman" w:cs="Times New Roman"/>
          <w:sz w:val="24"/>
          <w:szCs w:val="24"/>
        </w:rPr>
        <w:t>os</w:t>
      </w:r>
      <w:r w:rsidR="004116DF" w:rsidRPr="00F646EE">
        <w:rPr>
          <w:rFonts w:ascii="Times New Roman" w:eastAsia="Calibri" w:hAnsi="Times New Roman" w:cs="Times New Roman"/>
          <w:sz w:val="24"/>
          <w:szCs w:val="24"/>
        </w:rPr>
        <w:t xml:space="preserve"> techninėmis priežastimis, </w:t>
      </w:r>
      <w:r w:rsidR="00EE3AD3">
        <w:rPr>
          <w:rFonts w:ascii="Times New Roman" w:eastAsia="Calibri" w:hAnsi="Times New Roman" w:cs="Times New Roman"/>
          <w:sz w:val="24"/>
          <w:szCs w:val="24"/>
        </w:rPr>
        <w:t>dėl kurių rinkoje neegzistuoja tokias paslaugas siūlančių bei teikiančių ekspertų konkurencija.</w:t>
      </w:r>
      <w:r w:rsidR="00F646EE" w:rsidRPr="00F646EE">
        <w:rPr>
          <w:rFonts w:ascii="Times New Roman" w:eastAsia="Calibri" w:hAnsi="Times New Roman" w:cs="Times New Roman"/>
          <w:sz w:val="24"/>
          <w:szCs w:val="24"/>
        </w:rPr>
        <w:t xml:space="preserve"> </w:t>
      </w:r>
      <w:r w:rsidR="004116DF" w:rsidRPr="00F646EE">
        <w:rPr>
          <w:rFonts w:ascii="Times New Roman" w:eastAsia="Times New Roman" w:hAnsi="Times New Roman" w:cs="Times New Roman"/>
          <w:spacing w:val="2"/>
          <w:sz w:val="24"/>
          <w:szCs w:val="24"/>
          <w:lang w:eastAsia="lt-LT"/>
        </w:rPr>
        <w:t>Techninėmis priežastimis galėtų būti pripažintas faktas, kad kitam ekonominės veiklos vykdytojui techniniu atžvilgiu beveik neįmanoma įvykdyti užduoties arba būtinybė, kad būtų naudojamasi tam tikromis priemonėmis, metodais, kuriuos turi tik vienas ekonominės veiklos vykdytojas. Techninės priežastys taip pat gali būti susijusios su specialiais sąveikos reikalavimais, kurie turi būti įvykdyti siekiant užtikrinti perkamų darbų, prekių ar paslaugų funkcinį tinkamumą. Tačiau sąveika turi būti suprantama siaurai ir tik įsigijimas iš vieno konkretaus tiekėjo patenkintų perkančiosios organizacijos poreikius</w:t>
      </w:r>
      <w:r w:rsidR="00F646EE" w:rsidRPr="00F646EE">
        <w:rPr>
          <w:rFonts w:ascii="Times New Roman" w:eastAsia="Times New Roman" w:hAnsi="Times New Roman" w:cs="Times New Roman"/>
          <w:spacing w:val="2"/>
          <w:sz w:val="24"/>
          <w:szCs w:val="24"/>
          <w:lang w:eastAsia="lt-LT"/>
        </w:rPr>
        <w:t>.</w:t>
      </w:r>
    </w:p>
    <w:p w14:paraId="79DED26A" w14:textId="30704E21" w:rsidR="0053118A" w:rsidRPr="0053118A" w:rsidRDefault="0053118A" w:rsidP="00161D7C">
      <w:pPr>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lastRenderedPageBreak/>
        <w:t xml:space="preserve">Įvertinusi aukščiau nurodytą ir vadovaudamasi Įstatymo 95 straipsnio 2 dalies 6 punkto nuostatomis, Tarnyba </w:t>
      </w:r>
      <w:r w:rsidRPr="0053118A">
        <w:rPr>
          <w:rFonts w:ascii="Times New Roman" w:hAnsi="Times New Roman" w:cs="Times New Roman"/>
          <w:b/>
          <w:sz w:val="24"/>
          <w:szCs w:val="24"/>
        </w:rPr>
        <w:t>neturi pagrindo sutikti</w:t>
      </w:r>
      <w:r w:rsidRPr="0053118A">
        <w:rPr>
          <w:rFonts w:ascii="Times New Roman" w:hAnsi="Times New Roman" w:cs="Times New Roman"/>
          <w:sz w:val="24"/>
          <w:szCs w:val="24"/>
        </w:rPr>
        <w:t xml:space="preserve">, kad </w:t>
      </w:r>
      <w:r>
        <w:rPr>
          <w:rFonts w:ascii="Times New Roman" w:hAnsi="Times New Roman" w:cs="Times New Roman"/>
          <w:sz w:val="24"/>
          <w:szCs w:val="24"/>
        </w:rPr>
        <w:t xml:space="preserve">Lietuvos kultūros taryba </w:t>
      </w:r>
      <w:r w:rsidRPr="0053118A">
        <w:rPr>
          <w:rFonts w:ascii="Times New Roman" w:hAnsi="Times New Roman" w:cs="Times New Roman"/>
          <w:sz w:val="24"/>
          <w:szCs w:val="24"/>
        </w:rPr>
        <w:t>Pirkimą</w:t>
      </w:r>
      <w:r w:rsidRPr="0053118A">
        <w:rPr>
          <w:rFonts w:ascii="Times New Roman" w:hAnsi="Times New Roman" w:cs="Times New Roman"/>
          <w:i/>
          <w:sz w:val="24"/>
          <w:szCs w:val="24"/>
        </w:rPr>
        <w:t xml:space="preserve"> </w:t>
      </w:r>
      <w:r w:rsidRPr="0053118A">
        <w:rPr>
          <w:rFonts w:ascii="Times New Roman" w:hAnsi="Times New Roman" w:cs="Times New Roman"/>
          <w:sz w:val="24"/>
          <w:szCs w:val="24"/>
        </w:rPr>
        <w:t>vykdytų neskelbiamų derybų būdu, vadovaujantis Įstatymo 71 straipsnio 1 dalies 2 punkto (b) papunkčio nuostatomis.</w:t>
      </w:r>
    </w:p>
    <w:p w14:paraId="743B3480" w14:textId="77777777" w:rsidR="0053118A" w:rsidRPr="0053118A" w:rsidRDefault="0053118A" w:rsidP="00161D7C">
      <w:pPr>
        <w:spacing w:after="0" w:line="240" w:lineRule="auto"/>
        <w:ind w:firstLine="709"/>
        <w:jc w:val="both"/>
        <w:rPr>
          <w:rFonts w:ascii="Times New Roman" w:hAnsi="Times New Roman" w:cs="Times New Roman"/>
          <w:sz w:val="24"/>
          <w:szCs w:val="24"/>
        </w:rPr>
      </w:pPr>
      <w:r w:rsidRPr="0053118A">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2" w:name="_Hlk69577266"/>
      <w:r w:rsidRPr="0053118A">
        <w:rPr>
          <w:rFonts w:ascii="Times New Roman" w:hAnsi="Times New Roman" w:cs="Times New Roman"/>
          <w:sz w:val="24"/>
          <w:szCs w:val="24"/>
        </w:rPr>
        <w:t xml:space="preserve">Lietuvos Respublikos administracinių bylų teisenos įstatymu </w:t>
      </w:r>
      <w:bookmarkEnd w:id="2"/>
      <w:r w:rsidRPr="0053118A">
        <w:rPr>
          <w:rFonts w:ascii="Times New Roman" w:hAnsi="Times New Roman" w:cs="Times New Roman"/>
          <w:sz w:val="24"/>
          <w:szCs w:val="24"/>
        </w:rPr>
        <w:t xml:space="preserve">ir Lietuvos Respublikos ikiteisminio administracinių ginčų nagrinėjimo tvarkos įstatymu, skundai paduodami </w:t>
      </w:r>
      <w:bookmarkStart w:id="3" w:name="_Hlk69577353"/>
      <w:r w:rsidRPr="0053118A">
        <w:rPr>
          <w:rFonts w:ascii="Times New Roman" w:hAnsi="Times New Roman" w:cs="Times New Roman"/>
          <w:sz w:val="24"/>
          <w:szCs w:val="24"/>
        </w:rPr>
        <w:t>Lietuvos administracinių ginčų komisijai (Vilniaus g. 27, 01402 Vilnius) ar Vilniaus apygardos administraciniam teismui</w:t>
      </w:r>
      <w:bookmarkEnd w:id="3"/>
      <w:r w:rsidRPr="0053118A">
        <w:rPr>
          <w:rFonts w:ascii="Times New Roman" w:hAnsi="Times New Roman" w:cs="Times New Roman"/>
          <w:sz w:val="24"/>
          <w:szCs w:val="24"/>
        </w:rPr>
        <w:t xml:space="preserve"> (Žygimantų g. 2, 01102 Vilnius).</w:t>
      </w:r>
    </w:p>
    <w:p w14:paraId="7EB4EA58" w14:textId="77777777" w:rsidR="0053118A" w:rsidRDefault="0053118A" w:rsidP="00161D7C">
      <w:pPr>
        <w:spacing w:after="0" w:line="240" w:lineRule="auto"/>
        <w:ind w:firstLine="851"/>
        <w:jc w:val="both"/>
        <w:rPr>
          <w:sz w:val="24"/>
          <w:szCs w:val="24"/>
        </w:rPr>
      </w:pPr>
    </w:p>
    <w:p w14:paraId="0043F430" w14:textId="77777777" w:rsidR="00BF7A77" w:rsidRDefault="00BF7A77" w:rsidP="00161D7C">
      <w:pPr>
        <w:tabs>
          <w:tab w:val="left" w:pos="1134"/>
        </w:tabs>
        <w:spacing w:after="0" w:line="240" w:lineRule="auto"/>
        <w:jc w:val="both"/>
        <w:rPr>
          <w:rFonts w:ascii="Times New Roman" w:eastAsia="Calibri" w:hAnsi="Times New Roman" w:cs="Times New Roman"/>
          <w:sz w:val="24"/>
          <w:szCs w:val="24"/>
        </w:rPr>
      </w:pPr>
    </w:p>
    <w:p w14:paraId="49FB756E" w14:textId="77777777" w:rsidR="000B534A" w:rsidRPr="00E462B7" w:rsidRDefault="000B534A" w:rsidP="00161D7C">
      <w:pPr>
        <w:widowControl w:val="0"/>
        <w:spacing w:after="0" w:line="240" w:lineRule="auto"/>
        <w:ind w:right="102" w:firstLine="709"/>
        <w:jc w:val="both"/>
        <w:rPr>
          <w:rFonts w:ascii="Times New Roman" w:eastAsia="Times New Roman" w:hAnsi="Times New Roman" w:cs="Times New Roman"/>
          <w:spacing w:val="-1"/>
          <w:sz w:val="24"/>
          <w:szCs w:val="24"/>
        </w:rPr>
      </w:pPr>
    </w:p>
    <w:p w14:paraId="4ED4EC4E" w14:textId="77777777" w:rsidR="002E349E" w:rsidRDefault="002E349E" w:rsidP="00161D7C">
      <w:pPr>
        <w:spacing w:after="0" w:line="240" w:lineRule="auto"/>
        <w:ind w:firstLine="851"/>
        <w:jc w:val="both"/>
        <w:rPr>
          <w:rFonts w:ascii="Times New Roman" w:eastAsia="Times New Roman" w:hAnsi="Times New Roman" w:cs="Times New Roman"/>
          <w:sz w:val="24"/>
          <w:szCs w:val="24"/>
        </w:rPr>
      </w:pPr>
    </w:p>
    <w:p w14:paraId="597A516A" w14:textId="6DC220D6" w:rsidR="006F539E" w:rsidRDefault="00D57C0D" w:rsidP="00161D7C">
      <w:pPr>
        <w:tabs>
          <w:tab w:val="left" w:pos="1134"/>
        </w:tabs>
        <w:spacing w:after="0" w:line="240" w:lineRule="auto"/>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sidR="0053118A">
        <w:rPr>
          <w:rFonts w:ascii="Times New Roman" w:eastAsia="Times New Roman" w:hAnsi="Times New Roman" w:cs="Times New Roman"/>
          <w:sz w:val="24"/>
          <w:szCs w:val="24"/>
        </w:rPr>
        <w:t>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3118A">
        <w:rPr>
          <w:rFonts w:ascii="Times New Roman" w:eastAsia="Times New Roman" w:hAnsi="Times New Roman" w:cs="Times New Roman"/>
          <w:sz w:val="24"/>
          <w:szCs w:val="24"/>
        </w:rPr>
        <w:t>Darius Vedrickas</w:t>
      </w:r>
    </w:p>
    <w:p w14:paraId="44922A9F" w14:textId="77777777" w:rsidR="006F539E" w:rsidRDefault="006F539E" w:rsidP="00161D7C">
      <w:pPr>
        <w:spacing w:after="0" w:line="240" w:lineRule="auto"/>
        <w:ind w:right="142"/>
        <w:jc w:val="both"/>
        <w:rPr>
          <w:rFonts w:ascii="Times New Roman" w:eastAsia="Times New Roman" w:hAnsi="Times New Roman" w:cs="Times New Roman"/>
        </w:rPr>
      </w:pPr>
    </w:p>
    <w:p w14:paraId="3679EACE" w14:textId="77777777" w:rsidR="006F539E" w:rsidRDefault="006F539E" w:rsidP="00161D7C">
      <w:pPr>
        <w:spacing w:after="0" w:line="240" w:lineRule="auto"/>
        <w:ind w:right="142"/>
        <w:jc w:val="both"/>
        <w:rPr>
          <w:rFonts w:ascii="Times New Roman" w:eastAsia="Times New Roman" w:hAnsi="Times New Roman" w:cs="Times New Roman"/>
        </w:rPr>
      </w:pPr>
    </w:p>
    <w:p w14:paraId="7E31C0E4" w14:textId="77777777" w:rsidR="006F539E" w:rsidRDefault="006F539E" w:rsidP="00161D7C">
      <w:pPr>
        <w:spacing w:after="0" w:line="240" w:lineRule="auto"/>
        <w:ind w:right="142"/>
        <w:jc w:val="both"/>
        <w:rPr>
          <w:rFonts w:ascii="Times New Roman" w:eastAsia="Times New Roman" w:hAnsi="Times New Roman" w:cs="Times New Roman"/>
        </w:rPr>
      </w:pPr>
    </w:p>
    <w:p w14:paraId="55C1E5C9" w14:textId="5C7ADCEF" w:rsidR="002E349E" w:rsidRDefault="002E349E" w:rsidP="00161D7C">
      <w:pPr>
        <w:spacing w:after="0" w:line="240" w:lineRule="auto"/>
        <w:ind w:right="142"/>
        <w:jc w:val="both"/>
        <w:rPr>
          <w:rFonts w:ascii="Times New Roman" w:eastAsia="Times New Roman" w:hAnsi="Times New Roman" w:cs="Times New Roman"/>
        </w:rPr>
      </w:pPr>
    </w:p>
    <w:p w14:paraId="707AB17C" w14:textId="3AE1ADCF" w:rsidR="00F646EE" w:rsidRDefault="00F646EE" w:rsidP="00161D7C">
      <w:pPr>
        <w:spacing w:after="0" w:line="240" w:lineRule="auto"/>
        <w:ind w:right="142"/>
        <w:jc w:val="both"/>
        <w:rPr>
          <w:rFonts w:ascii="Times New Roman" w:eastAsia="Times New Roman" w:hAnsi="Times New Roman" w:cs="Times New Roman"/>
        </w:rPr>
      </w:pPr>
    </w:p>
    <w:p w14:paraId="7ED5A9E0" w14:textId="65E2E1BF" w:rsidR="00F646EE" w:rsidRDefault="00F646EE" w:rsidP="00161D7C">
      <w:pPr>
        <w:spacing w:after="0" w:line="240" w:lineRule="auto"/>
        <w:ind w:right="142"/>
        <w:jc w:val="both"/>
        <w:rPr>
          <w:rFonts w:ascii="Times New Roman" w:eastAsia="Times New Roman" w:hAnsi="Times New Roman" w:cs="Times New Roman"/>
        </w:rPr>
      </w:pPr>
    </w:p>
    <w:p w14:paraId="4BFB4177" w14:textId="010B4D59" w:rsidR="00F646EE" w:rsidRDefault="00F646EE" w:rsidP="00161D7C">
      <w:pPr>
        <w:spacing w:after="0" w:line="240" w:lineRule="auto"/>
        <w:ind w:right="142"/>
        <w:jc w:val="both"/>
        <w:rPr>
          <w:rFonts w:ascii="Times New Roman" w:eastAsia="Times New Roman" w:hAnsi="Times New Roman" w:cs="Times New Roman"/>
        </w:rPr>
      </w:pPr>
    </w:p>
    <w:p w14:paraId="29A2FE04" w14:textId="6CF79926" w:rsidR="00F646EE" w:rsidRDefault="00F646EE" w:rsidP="00161D7C">
      <w:pPr>
        <w:spacing w:after="0" w:line="240" w:lineRule="auto"/>
        <w:ind w:right="142"/>
        <w:jc w:val="both"/>
        <w:rPr>
          <w:rFonts w:ascii="Times New Roman" w:eastAsia="Times New Roman" w:hAnsi="Times New Roman" w:cs="Times New Roman"/>
        </w:rPr>
      </w:pPr>
    </w:p>
    <w:p w14:paraId="71BB26E6" w14:textId="33D030EE" w:rsidR="00F646EE" w:rsidRDefault="00F646EE" w:rsidP="00161D7C">
      <w:pPr>
        <w:spacing w:after="0" w:line="240" w:lineRule="auto"/>
        <w:ind w:right="142"/>
        <w:jc w:val="both"/>
        <w:rPr>
          <w:rFonts w:ascii="Times New Roman" w:eastAsia="Times New Roman" w:hAnsi="Times New Roman" w:cs="Times New Roman"/>
        </w:rPr>
      </w:pPr>
    </w:p>
    <w:p w14:paraId="54F1D92D" w14:textId="5D256E76" w:rsidR="00F646EE" w:rsidRDefault="00F646EE" w:rsidP="00161D7C">
      <w:pPr>
        <w:spacing w:after="0" w:line="240" w:lineRule="auto"/>
        <w:ind w:right="142"/>
        <w:jc w:val="both"/>
        <w:rPr>
          <w:rFonts w:ascii="Times New Roman" w:eastAsia="Times New Roman" w:hAnsi="Times New Roman" w:cs="Times New Roman"/>
        </w:rPr>
      </w:pPr>
    </w:p>
    <w:p w14:paraId="000B79EA" w14:textId="5350BFB4" w:rsidR="00F646EE" w:rsidRDefault="00F646EE" w:rsidP="00161D7C">
      <w:pPr>
        <w:spacing w:after="0" w:line="240" w:lineRule="auto"/>
        <w:ind w:right="142"/>
        <w:jc w:val="both"/>
        <w:rPr>
          <w:rFonts w:ascii="Times New Roman" w:eastAsia="Times New Roman" w:hAnsi="Times New Roman" w:cs="Times New Roman"/>
        </w:rPr>
      </w:pPr>
    </w:p>
    <w:p w14:paraId="5BD730FC" w14:textId="697F1DCB" w:rsidR="00F646EE" w:rsidRDefault="00F646EE" w:rsidP="00161D7C">
      <w:pPr>
        <w:spacing w:after="0" w:line="240" w:lineRule="auto"/>
        <w:ind w:right="142"/>
        <w:jc w:val="both"/>
        <w:rPr>
          <w:rFonts w:ascii="Times New Roman" w:eastAsia="Times New Roman" w:hAnsi="Times New Roman" w:cs="Times New Roman"/>
        </w:rPr>
      </w:pPr>
    </w:p>
    <w:p w14:paraId="01954A2C" w14:textId="5495EBF4" w:rsidR="00F646EE" w:rsidRDefault="00F646EE" w:rsidP="00161D7C">
      <w:pPr>
        <w:spacing w:after="0" w:line="240" w:lineRule="auto"/>
        <w:ind w:right="142"/>
        <w:jc w:val="both"/>
        <w:rPr>
          <w:rFonts w:ascii="Times New Roman" w:eastAsia="Times New Roman" w:hAnsi="Times New Roman" w:cs="Times New Roman"/>
        </w:rPr>
      </w:pPr>
    </w:p>
    <w:p w14:paraId="1689DF83" w14:textId="42505F55" w:rsidR="00161D7C" w:rsidRDefault="00161D7C" w:rsidP="00161D7C">
      <w:pPr>
        <w:spacing w:after="0" w:line="240" w:lineRule="auto"/>
        <w:ind w:right="142"/>
        <w:jc w:val="both"/>
        <w:rPr>
          <w:rFonts w:ascii="Times New Roman" w:eastAsia="Times New Roman" w:hAnsi="Times New Roman" w:cs="Times New Roman"/>
        </w:rPr>
      </w:pPr>
    </w:p>
    <w:p w14:paraId="7966C1AF" w14:textId="762158DF" w:rsidR="00F646EE" w:rsidRDefault="00F646EE" w:rsidP="00161D7C">
      <w:pPr>
        <w:spacing w:after="0" w:line="240" w:lineRule="auto"/>
        <w:ind w:right="142"/>
        <w:jc w:val="both"/>
        <w:rPr>
          <w:rFonts w:ascii="Times New Roman" w:eastAsia="Times New Roman" w:hAnsi="Times New Roman" w:cs="Times New Roman"/>
        </w:rPr>
      </w:pPr>
    </w:p>
    <w:p w14:paraId="785B5E6A" w14:textId="64420F01" w:rsidR="00F646EE" w:rsidRDefault="00F646EE" w:rsidP="00161D7C">
      <w:pPr>
        <w:spacing w:after="0" w:line="240" w:lineRule="auto"/>
        <w:ind w:right="142"/>
        <w:jc w:val="both"/>
        <w:rPr>
          <w:rFonts w:ascii="Times New Roman" w:eastAsia="Times New Roman" w:hAnsi="Times New Roman" w:cs="Times New Roman"/>
        </w:rPr>
      </w:pPr>
    </w:p>
    <w:p w14:paraId="55467500" w14:textId="0B036076" w:rsidR="00F646EE" w:rsidRDefault="00F646EE" w:rsidP="00161D7C">
      <w:pPr>
        <w:spacing w:after="0" w:line="240" w:lineRule="auto"/>
        <w:ind w:right="142"/>
        <w:jc w:val="both"/>
        <w:rPr>
          <w:rFonts w:ascii="Times New Roman" w:eastAsia="Times New Roman" w:hAnsi="Times New Roman" w:cs="Times New Roman"/>
        </w:rPr>
      </w:pPr>
    </w:p>
    <w:p w14:paraId="1B985215" w14:textId="3D91A07C" w:rsidR="00F646EE" w:rsidRDefault="00F646EE" w:rsidP="00161D7C">
      <w:pPr>
        <w:spacing w:after="0" w:line="240" w:lineRule="auto"/>
        <w:ind w:right="142"/>
        <w:jc w:val="both"/>
        <w:rPr>
          <w:rFonts w:ascii="Times New Roman" w:eastAsia="Times New Roman" w:hAnsi="Times New Roman" w:cs="Times New Roman"/>
        </w:rPr>
      </w:pPr>
    </w:p>
    <w:p w14:paraId="16C67902" w14:textId="5CEB40E3" w:rsidR="00F646EE" w:rsidRDefault="00F646EE" w:rsidP="00161D7C">
      <w:pPr>
        <w:spacing w:after="0" w:line="240" w:lineRule="auto"/>
        <w:ind w:right="142"/>
        <w:jc w:val="both"/>
        <w:rPr>
          <w:rFonts w:ascii="Times New Roman" w:eastAsia="Times New Roman" w:hAnsi="Times New Roman" w:cs="Times New Roman"/>
        </w:rPr>
      </w:pPr>
    </w:p>
    <w:p w14:paraId="48252B57" w14:textId="54FC9181" w:rsidR="00161D7C" w:rsidRDefault="00161D7C" w:rsidP="00161D7C">
      <w:pPr>
        <w:spacing w:after="0" w:line="240" w:lineRule="auto"/>
        <w:ind w:right="142"/>
        <w:jc w:val="both"/>
        <w:rPr>
          <w:rFonts w:ascii="Times New Roman" w:eastAsia="Times New Roman" w:hAnsi="Times New Roman" w:cs="Times New Roman"/>
        </w:rPr>
      </w:pPr>
    </w:p>
    <w:p w14:paraId="7866E717" w14:textId="1EBC4668" w:rsidR="00161D7C" w:rsidRDefault="00161D7C" w:rsidP="00161D7C">
      <w:pPr>
        <w:spacing w:after="0" w:line="240" w:lineRule="auto"/>
        <w:ind w:right="142"/>
        <w:jc w:val="both"/>
        <w:rPr>
          <w:rFonts w:ascii="Times New Roman" w:eastAsia="Times New Roman" w:hAnsi="Times New Roman" w:cs="Times New Roman"/>
        </w:rPr>
      </w:pPr>
    </w:p>
    <w:p w14:paraId="37E5D0BC" w14:textId="068584AE" w:rsidR="00161D7C" w:rsidRDefault="00161D7C" w:rsidP="00161D7C">
      <w:pPr>
        <w:spacing w:after="0" w:line="240" w:lineRule="auto"/>
        <w:ind w:right="142"/>
        <w:jc w:val="both"/>
        <w:rPr>
          <w:rFonts w:ascii="Times New Roman" w:eastAsia="Times New Roman" w:hAnsi="Times New Roman" w:cs="Times New Roman"/>
        </w:rPr>
      </w:pPr>
    </w:p>
    <w:p w14:paraId="4B3FCC85" w14:textId="6995E4D4" w:rsidR="00161D7C" w:rsidRDefault="00161D7C" w:rsidP="00161D7C">
      <w:pPr>
        <w:spacing w:after="0" w:line="240" w:lineRule="auto"/>
        <w:ind w:right="142"/>
        <w:jc w:val="both"/>
        <w:rPr>
          <w:rFonts w:ascii="Times New Roman" w:eastAsia="Times New Roman" w:hAnsi="Times New Roman" w:cs="Times New Roman"/>
        </w:rPr>
      </w:pPr>
    </w:p>
    <w:p w14:paraId="3678830A" w14:textId="4847F14C" w:rsidR="00161D7C" w:rsidRDefault="00161D7C" w:rsidP="00161D7C">
      <w:pPr>
        <w:spacing w:after="0" w:line="240" w:lineRule="auto"/>
        <w:ind w:right="142"/>
        <w:jc w:val="both"/>
        <w:rPr>
          <w:rFonts w:ascii="Times New Roman" w:eastAsia="Times New Roman" w:hAnsi="Times New Roman" w:cs="Times New Roman"/>
        </w:rPr>
      </w:pPr>
    </w:p>
    <w:p w14:paraId="0B00C236" w14:textId="37273DAD" w:rsidR="00161D7C" w:rsidRDefault="00161D7C" w:rsidP="00161D7C">
      <w:pPr>
        <w:spacing w:after="0" w:line="240" w:lineRule="auto"/>
        <w:ind w:right="142"/>
        <w:jc w:val="both"/>
        <w:rPr>
          <w:rFonts w:ascii="Times New Roman" w:eastAsia="Times New Roman" w:hAnsi="Times New Roman" w:cs="Times New Roman"/>
        </w:rPr>
      </w:pPr>
    </w:p>
    <w:p w14:paraId="7775E831" w14:textId="0159918C" w:rsidR="00161D7C" w:rsidRDefault="00161D7C" w:rsidP="00161D7C">
      <w:pPr>
        <w:spacing w:after="0" w:line="240" w:lineRule="auto"/>
        <w:ind w:right="142"/>
        <w:jc w:val="both"/>
        <w:rPr>
          <w:rFonts w:ascii="Times New Roman" w:eastAsia="Times New Roman" w:hAnsi="Times New Roman" w:cs="Times New Roman"/>
        </w:rPr>
      </w:pPr>
    </w:p>
    <w:p w14:paraId="64315125" w14:textId="5302D581" w:rsidR="00161D7C" w:rsidRDefault="00161D7C" w:rsidP="00161D7C">
      <w:pPr>
        <w:spacing w:after="0" w:line="240" w:lineRule="auto"/>
        <w:ind w:right="142"/>
        <w:jc w:val="both"/>
        <w:rPr>
          <w:rFonts w:ascii="Times New Roman" w:eastAsia="Times New Roman" w:hAnsi="Times New Roman" w:cs="Times New Roman"/>
        </w:rPr>
      </w:pPr>
    </w:p>
    <w:p w14:paraId="2EC58BBC" w14:textId="6B8E64EA" w:rsidR="00161D7C" w:rsidRDefault="00161D7C" w:rsidP="00161D7C">
      <w:pPr>
        <w:spacing w:after="0" w:line="240" w:lineRule="auto"/>
        <w:ind w:right="142"/>
        <w:jc w:val="both"/>
        <w:rPr>
          <w:rFonts w:ascii="Times New Roman" w:eastAsia="Times New Roman" w:hAnsi="Times New Roman" w:cs="Times New Roman"/>
        </w:rPr>
      </w:pPr>
    </w:p>
    <w:p w14:paraId="50C258FF" w14:textId="4ADD0F5E" w:rsidR="00161D7C" w:rsidRDefault="00161D7C" w:rsidP="00161D7C">
      <w:pPr>
        <w:spacing w:after="0" w:line="240" w:lineRule="auto"/>
        <w:ind w:right="142"/>
        <w:jc w:val="both"/>
        <w:rPr>
          <w:rFonts w:ascii="Times New Roman" w:eastAsia="Times New Roman" w:hAnsi="Times New Roman" w:cs="Times New Roman"/>
        </w:rPr>
      </w:pPr>
    </w:p>
    <w:p w14:paraId="1DA37619" w14:textId="22F6549B" w:rsidR="00161D7C" w:rsidRDefault="00161D7C" w:rsidP="00161D7C">
      <w:pPr>
        <w:spacing w:after="0" w:line="240" w:lineRule="auto"/>
        <w:ind w:right="142"/>
        <w:jc w:val="both"/>
        <w:rPr>
          <w:rFonts w:ascii="Times New Roman" w:eastAsia="Times New Roman" w:hAnsi="Times New Roman" w:cs="Times New Roman"/>
        </w:rPr>
      </w:pPr>
    </w:p>
    <w:p w14:paraId="5F1888A3" w14:textId="4B3EB63F" w:rsidR="00161D7C" w:rsidRDefault="00161D7C" w:rsidP="00161D7C">
      <w:pPr>
        <w:spacing w:after="0" w:line="240" w:lineRule="auto"/>
        <w:ind w:right="142"/>
        <w:jc w:val="both"/>
        <w:rPr>
          <w:rFonts w:ascii="Times New Roman" w:eastAsia="Times New Roman" w:hAnsi="Times New Roman" w:cs="Times New Roman"/>
        </w:rPr>
      </w:pPr>
    </w:p>
    <w:p w14:paraId="3FE27158" w14:textId="6D230A5E" w:rsidR="00161D7C" w:rsidRDefault="00161D7C" w:rsidP="00161D7C">
      <w:pPr>
        <w:spacing w:after="0" w:line="240" w:lineRule="auto"/>
        <w:ind w:right="142"/>
        <w:jc w:val="both"/>
        <w:rPr>
          <w:rFonts w:ascii="Times New Roman" w:eastAsia="Times New Roman" w:hAnsi="Times New Roman" w:cs="Times New Roman"/>
        </w:rPr>
      </w:pPr>
    </w:p>
    <w:p w14:paraId="7451AA56" w14:textId="7C009E8C" w:rsidR="00161D7C" w:rsidRDefault="00161D7C" w:rsidP="00161D7C">
      <w:pPr>
        <w:spacing w:after="0" w:line="240" w:lineRule="auto"/>
        <w:ind w:right="142"/>
        <w:jc w:val="both"/>
        <w:rPr>
          <w:rFonts w:ascii="Times New Roman" w:eastAsia="Times New Roman" w:hAnsi="Times New Roman" w:cs="Times New Roman"/>
        </w:rPr>
      </w:pPr>
    </w:p>
    <w:p w14:paraId="3ECF640F" w14:textId="353E6F63" w:rsidR="00161D7C" w:rsidRDefault="00161D7C" w:rsidP="00161D7C">
      <w:pPr>
        <w:spacing w:after="0" w:line="240" w:lineRule="auto"/>
        <w:ind w:right="142"/>
        <w:jc w:val="both"/>
        <w:rPr>
          <w:rFonts w:ascii="Times New Roman" w:eastAsia="Times New Roman" w:hAnsi="Times New Roman" w:cs="Times New Roman"/>
        </w:rPr>
      </w:pPr>
    </w:p>
    <w:p w14:paraId="3743FDEF" w14:textId="467192EA" w:rsidR="00161D7C" w:rsidRDefault="00161D7C" w:rsidP="00161D7C">
      <w:pPr>
        <w:spacing w:after="0" w:line="240" w:lineRule="auto"/>
        <w:ind w:right="142"/>
        <w:jc w:val="both"/>
        <w:rPr>
          <w:rFonts w:ascii="Times New Roman" w:eastAsia="Times New Roman" w:hAnsi="Times New Roman" w:cs="Times New Roman"/>
        </w:rPr>
      </w:pPr>
    </w:p>
    <w:p w14:paraId="0E1DF3BA" w14:textId="77777777" w:rsidR="00161D7C" w:rsidRDefault="00161D7C" w:rsidP="00161D7C">
      <w:pPr>
        <w:spacing w:after="0" w:line="240" w:lineRule="auto"/>
        <w:ind w:right="142"/>
        <w:jc w:val="both"/>
        <w:rPr>
          <w:rFonts w:ascii="Times New Roman" w:eastAsia="Times New Roman" w:hAnsi="Times New Roman" w:cs="Times New Roman"/>
        </w:rPr>
      </w:pPr>
    </w:p>
    <w:p w14:paraId="11448C09" w14:textId="0DBCE2D4" w:rsidR="00F646EE" w:rsidRDefault="00F646EE" w:rsidP="00161D7C">
      <w:pPr>
        <w:spacing w:after="0" w:line="240" w:lineRule="auto"/>
        <w:ind w:right="142"/>
        <w:jc w:val="both"/>
        <w:rPr>
          <w:rFonts w:ascii="Times New Roman" w:eastAsia="Times New Roman" w:hAnsi="Times New Roman" w:cs="Times New Roman"/>
        </w:rPr>
      </w:pPr>
    </w:p>
    <w:p w14:paraId="2256A347" w14:textId="70C2A079" w:rsidR="00F646EE" w:rsidRDefault="00F646EE" w:rsidP="00161D7C">
      <w:pPr>
        <w:spacing w:after="0" w:line="240" w:lineRule="auto"/>
        <w:ind w:right="142"/>
        <w:jc w:val="both"/>
        <w:rPr>
          <w:rFonts w:ascii="Times New Roman" w:eastAsia="Times New Roman" w:hAnsi="Times New Roman" w:cs="Times New Roman"/>
        </w:rPr>
      </w:pPr>
    </w:p>
    <w:p w14:paraId="75933F4F" w14:textId="7EF8EBB7" w:rsidR="00F646EE" w:rsidRDefault="00F646EE" w:rsidP="00161D7C">
      <w:pPr>
        <w:spacing w:after="0" w:line="240" w:lineRule="auto"/>
        <w:jc w:val="both"/>
        <w:rPr>
          <w:rFonts w:ascii="Times New Roman" w:eastAsia="Times New Roman" w:hAnsi="Times New Roman" w:cs="Times New Roman"/>
        </w:rPr>
      </w:pPr>
      <w:r>
        <w:rPr>
          <w:rFonts w:ascii="Times New Roman" w:hAnsi="Times New Roman" w:cs="Times New Roman"/>
          <w:sz w:val="24"/>
          <w:szCs w:val="24"/>
        </w:rPr>
        <w:t xml:space="preserve">J. Grudinkė, tel. (8 5) 219 7017, faks. (8 5) 213 6213,  el. p. </w:t>
      </w:r>
      <w:hyperlink r:id="rId10" w:history="1">
        <w:r>
          <w:rPr>
            <w:rStyle w:val="Hipersaitas"/>
            <w:rFonts w:ascii="Times New Roman" w:hAnsi="Times New Roman" w:cs="Times New Roman"/>
            <w:sz w:val="24"/>
            <w:szCs w:val="24"/>
          </w:rPr>
          <w:t>Julija.Grudinke@vpt.lt</w:t>
        </w:r>
      </w:hyperlink>
    </w:p>
    <w:sectPr w:rsidR="00F646EE" w:rsidSect="00E52A9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CA91" w14:textId="77777777" w:rsidR="00F91EEE" w:rsidRDefault="00F91EEE">
      <w:pPr>
        <w:spacing w:after="0" w:line="240" w:lineRule="auto"/>
      </w:pPr>
      <w:r>
        <w:separator/>
      </w:r>
    </w:p>
  </w:endnote>
  <w:endnote w:type="continuationSeparator" w:id="0">
    <w:p w14:paraId="41D4BFD5" w14:textId="77777777" w:rsidR="00F91EEE" w:rsidRDefault="00F9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D04B" w14:textId="77777777" w:rsidR="006C06BD" w:rsidRDefault="00161D7C">
    <w:pPr>
      <w:pStyle w:val="Porat"/>
    </w:pPr>
  </w:p>
  <w:p w14:paraId="7B2CB29F" w14:textId="77777777" w:rsidR="006C06BD" w:rsidRDefault="00161D7C">
    <w:pPr>
      <w:pStyle w:val="Porat"/>
    </w:pPr>
  </w:p>
  <w:p w14:paraId="7CCD74BF" w14:textId="77777777" w:rsidR="006C06BD" w:rsidRDefault="00161D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EE54" w14:textId="3920D1D4"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                                 Tel.  (8 5) 219 7001            Duomenys kaupiami ir saugomi </w:t>
    </w:r>
  </w:p>
  <w:p w14:paraId="2187006F"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532855B9"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14:paraId="4D6D8B46" w14:textId="77777777" w:rsidR="00B375CF" w:rsidRPr="001E27BC" w:rsidRDefault="00161D7C" w:rsidP="00B375CF">
    <w:pPr>
      <w:pStyle w:val="Porat"/>
    </w:pPr>
  </w:p>
  <w:p w14:paraId="7E84D9F0" w14:textId="77777777" w:rsidR="006C06BD" w:rsidRPr="00B375CF" w:rsidRDefault="00161D7C"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F12D" w14:textId="77777777" w:rsidR="00F91EEE" w:rsidRDefault="00F91EEE">
      <w:pPr>
        <w:spacing w:after="0" w:line="240" w:lineRule="auto"/>
      </w:pPr>
      <w:r>
        <w:separator/>
      </w:r>
    </w:p>
  </w:footnote>
  <w:footnote w:type="continuationSeparator" w:id="0">
    <w:p w14:paraId="0C962550" w14:textId="77777777" w:rsidR="00F91EEE" w:rsidRDefault="00F91EEE">
      <w:pPr>
        <w:spacing w:after="0" w:line="240" w:lineRule="auto"/>
      </w:pPr>
      <w:r>
        <w:continuationSeparator/>
      </w:r>
    </w:p>
  </w:footnote>
  <w:footnote w:id="1">
    <w:p w14:paraId="63174244" w14:textId="66F7A8E1" w:rsidR="00574A54" w:rsidRPr="0055153E" w:rsidRDefault="00574A54" w:rsidP="0055153E">
      <w:pPr>
        <w:pStyle w:val="Puslapioinaostekstas"/>
        <w:jc w:val="both"/>
        <w:rPr>
          <w:rFonts w:ascii="Times New Roman" w:hAnsi="Times New Roman" w:cs="Times New Roman"/>
        </w:rPr>
      </w:pPr>
      <w:r w:rsidRPr="0055153E">
        <w:rPr>
          <w:rStyle w:val="Puslapioinaosnuoroda"/>
          <w:rFonts w:ascii="Times New Roman" w:hAnsi="Times New Roman" w:cs="Times New Roman"/>
        </w:rPr>
        <w:footnoteRef/>
      </w:r>
      <w:r w:rsidRPr="0055153E">
        <w:rPr>
          <w:rFonts w:ascii="Times New Roman" w:hAnsi="Times New Roman" w:cs="Times New Roman"/>
        </w:rPr>
        <w:t xml:space="preserve"> „Taryba, vadovaudamasi kultūros ir meno sričių bei teritorijų atstovavimo įvairovės principu, viešojo konkurso būdu atrenka ekspertus, kurie teikia Tarybos narių susirinkimo sprendimams priimti būtinas išvadas.“</w:t>
      </w:r>
    </w:p>
  </w:footnote>
  <w:footnote w:id="2">
    <w:p w14:paraId="166920F7" w14:textId="5C51637C" w:rsidR="00574A54" w:rsidRPr="0055153E" w:rsidRDefault="00574A54" w:rsidP="0055153E">
      <w:pPr>
        <w:pStyle w:val="Puslapioinaostekstas"/>
        <w:jc w:val="both"/>
        <w:rPr>
          <w:rFonts w:ascii="Times New Roman" w:hAnsi="Times New Roman" w:cs="Times New Roman"/>
        </w:rPr>
      </w:pPr>
      <w:r w:rsidRPr="0055153E">
        <w:rPr>
          <w:rStyle w:val="Puslapioinaosnuoroda"/>
          <w:rFonts w:ascii="Times New Roman" w:hAnsi="Times New Roman" w:cs="Times New Roman"/>
        </w:rPr>
        <w:footnoteRef/>
      </w:r>
      <w:r w:rsidRPr="0055153E">
        <w:rPr>
          <w:rFonts w:ascii="Times New Roman" w:hAnsi="Times New Roman" w:cs="Times New Roman"/>
        </w:rPr>
        <w:t xml:space="preserve"> </w:t>
      </w:r>
      <w:r w:rsidRPr="0055153E">
        <w:rPr>
          <w:rFonts w:ascii="Times New Roman" w:hAnsi="Times New Roman" w:cs="Times New Roman"/>
        </w:rPr>
        <w:t>2021 m. gruodžio 6 d. Lietuvos kultūros tarybos nutarimas Nr. 4LKT-24(1.3E) „Dėl ekspertų atrankos aprašo patvirtinimo“;</w:t>
      </w:r>
    </w:p>
  </w:footnote>
  <w:footnote w:id="3">
    <w:p w14:paraId="31AE0AFA" w14:textId="4AA29CEF" w:rsidR="0055153E" w:rsidRDefault="0055153E">
      <w:pPr>
        <w:pStyle w:val="Puslapioinaostekstas"/>
      </w:pPr>
      <w:r>
        <w:rPr>
          <w:rStyle w:val="Puslapioinaosnuoroda"/>
        </w:rPr>
        <w:footnoteRef/>
      </w:r>
      <w:r>
        <w:t xml:space="preserve"> </w:t>
      </w:r>
      <w:r w:rsidRPr="005F7DBA">
        <w:rPr>
          <w:rFonts w:ascii="Times New Roman" w:hAnsi="Times New Roman" w:cs="Times New Roman"/>
        </w:rPr>
        <w:t>patvirtintas Lietuvos kultūros tarybos 2021 m. gruodžio 29 d. nutarimu Nr. 4LKT-29(1.3E);</w:t>
      </w:r>
    </w:p>
  </w:footnote>
  <w:footnote w:id="4">
    <w:p w14:paraId="79309FBB" w14:textId="0CB8CEF7" w:rsidR="00C02349" w:rsidRPr="00767BCE" w:rsidRDefault="00C02349" w:rsidP="00A779CC">
      <w:pPr>
        <w:pStyle w:val="Puslapioinaostekstas"/>
        <w:jc w:val="both"/>
        <w:rPr>
          <w:rFonts w:ascii="Times New Roman" w:hAnsi="Times New Roman" w:cs="Times New Roman"/>
        </w:rPr>
      </w:pPr>
      <w:r w:rsidRPr="00767BCE">
        <w:rPr>
          <w:rStyle w:val="Puslapioinaosnuoroda"/>
          <w:rFonts w:ascii="Times New Roman" w:hAnsi="Times New Roman" w:cs="Times New Roman"/>
        </w:rPr>
        <w:footnoteRef/>
      </w:r>
      <w:r w:rsidRPr="00767BCE">
        <w:rPr>
          <w:rFonts w:ascii="Times New Roman" w:hAnsi="Times New Roman" w:cs="Times New Roman"/>
        </w:rPr>
        <w:t xml:space="preserve"> </w:t>
      </w:r>
      <w:r w:rsidRPr="00767BCE">
        <w:rPr>
          <w:rFonts w:ascii="Times New Roman" w:hAnsi="Times New Roman" w:cs="Times New Roman"/>
        </w:rPr>
        <w:t>Patvirtintas Lietuvos Respublikos kultūros ministro 2019 m. liepos 1 d. įsakymu Nr. IĮ-459 „Dėl įstatymų pagrindais sudarytų komisijų pirmininkų, jų pavaduotojų ir narių atlygio mokėjimo tvarkos aprašo patvirtinimo“</w:t>
      </w:r>
      <w:r w:rsidR="00ED345E" w:rsidRPr="00767BCE">
        <w:rPr>
          <w:rFonts w:ascii="Times New Roman" w:hAnsi="Times New Roman" w:cs="Times New Roman"/>
        </w:rPr>
        <w:t>;</w:t>
      </w:r>
    </w:p>
  </w:footnote>
  <w:footnote w:id="5">
    <w:p w14:paraId="3EFE8967" w14:textId="2059CF52" w:rsidR="00A779CC" w:rsidRPr="00767BCE" w:rsidRDefault="00A779CC" w:rsidP="00A779CC">
      <w:pPr>
        <w:pStyle w:val="Puslapioinaostekstas"/>
        <w:jc w:val="both"/>
        <w:rPr>
          <w:rFonts w:ascii="Times New Roman" w:hAnsi="Times New Roman" w:cs="Times New Roman"/>
        </w:rPr>
      </w:pPr>
      <w:r w:rsidRPr="00767BCE">
        <w:rPr>
          <w:rStyle w:val="Puslapioinaosnuoroda"/>
          <w:rFonts w:ascii="Times New Roman" w:hAnsi="Times New Roman" w:cs="Times New Roman"/>
        </w:rPr>
        <w:footnoteRef/>
      </w:r>
      <w:r w:rsidRPr="00767BCE">
        <w:rPr>
          <w:rFonts w:ascii="Times New Roman" w:hAnsi="Times New Roman" w:cs="Times New Roman"/>
        </w:rPr>
        <w:t xml:space="preserve"> </w:t>
      </w:r>
      <w:r w:rsidRPr="00767BCE">
        <w:rPr>
          <w:rFonts w:ascii="Times New Roman" w:hAnsi="Times New Roman" w:cs="Times New Roman"/>
        </w:rPr>
        <w:t>Atrankos aprašo 7.1 papunktis „ekspertinio vertinimo paslaugų negali teikti dvi kadencijas iš eilės Tarybos ekspertais buvę asmenys, jei nuo paskutinės jų kadencijos pabaigos nepraėjo 2 metai, išskyrus ekspertus, kurie paskutinės kadencijos metu Tarybai neteikė ekspertinio vertinimo paslaugų“;</w:t>
      </w:r>
    </w:p>
  </w:footnote>
  <w:footnote w:id="6">
    <w:p w14:paraId="1F492248" w14:textId="77777777" w:rsidR="008F1924" w:rsidRDefault="008F1924" w:rsidP="008F1924">
      <w:pPr>
        <w:pStyle w:val="Puslapioinaostekstas"/>
        <w:jc w:val="both"/>
        <w:rPr>
          <w:rFonts w:ascii="Times New Roman" w:hAnsi="Times New Roman" w:cs="Times New Roman"/>
        </w:rPr>
      </w:pPr>
      <w:r w:rsidRPr="00767BCE">
        <w:rPr>
          <w:rStyle w:val="Puslapioinaosnuoroda"/>
          <w:rFonts w:ascii="Times New Roman" w:hAnsi="Times New Roman" w:cs="Times New Roman"/>
        </w:rPr>
        <w:footnoteRef/>
      </w:r>
      <w:r w:rsidRPr="00767BCE">
        <w:rPr>
          <w:rFonts w:ascii="Times New Roman" w:hAnsi="Times New Roman" w:cs="Times New Roman"/>
        </w:rPr>
        <w:t xml:space="preserve"> </w:t>
      </w:r>
      <w:r w:rsidRPr="00767BCE">
        <w:rPr>
          <w:rFonts w:ascii="Times New Roman" w:hAnsi="Times New Roman" w:cs="Times New Roman"/>
        </w:rPr>
        <w:t>ESTT 2005 m. sausio 13 d. sprendimas Komisija prieš Ispaniją, C-84/03; ESTT 2009 m. birželio 4 d. sprendimas Komisija prieš Graikiją, C-250/07 ir kt.;</w:t>
      </w:r>
    </w:p>
  </w:footnote>
  <w:footnote w:id="7">
    <w:p w14:paraId="53B4E50B" w14:textId="77777777" w:rsidR="008F1924" w:rsidRDefault="008F1924" w:rsidP="008F1924">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ESTT 1994 m. gegužės 3 d. sprendimas byloje C-328/92, ESTT 2005 m. birželio 2 d. sprendimas byloje C-394/02);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4984"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D1F4D" w14:textId="77777777" w:rsidR="006C06BD" w:rsidRDefault="00161D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8432" w14:textId="77777777"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1883">
      <w:rPr>
        <w:rStyle w:val="Puslapionumeris"/>
        <w:noProof/>
      </w:rPr>
      <w:t>3</w:t>
    </w:r>
    <w:r>
      <w:rPr>
        <w:rStyle w:val="Puslapionumeris"/>
      </w:rPr>
      <w:fldChar w:fldCharType="end"/>
    </w:r>
  </w:p>
  <w:p w14:paraId="11AF414B" w14:textId="77777777" w:rsidR="006C06BD" w:rsidRDefault="00161D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20C45"/>
    <w:multiLevelType w:val="hybridMultilevel"/>
    <w:tmpl w:val="6528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015A7F"/>
    <w:multiLevelType w:val="multilevel"/>
    <w:tmpl w:val="1E88B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3664"/>
    <w:rsid w:val="000177FF"/>
    <w:rsid w:val="000317FE"/>
    <w:rsid w:val="000570CD"/>
    <w:rsid w:val="000B534A"/>
    <w:rsid w:val="000B7780"/>
    <w:rsid w:val="000C0F3C"/>
    <w:rsid w:val="000C4329"/>
    <w:rsid w:val="000D08E4"/>
    <w:rsid w:val="000E5100"/>
    <w:rsid w:val="000F7AD1"/>
    <w:rsid w:val="0010413F"/>
    <w:rsid w:val="00113838"/>
    <w:rsid w:val="001171B1"/>
    <w:rsid w:val="00161D7C"/>
    <w:rsid w:val="00172E54"/>
    <w:rsid w:val="001A17A7"/>
    <w:rsid w:val="001E4FDB"/>
    <w:rsid w:val="00213A97"/>
    <w:rsid w:val="00250A99"/>
    <w:rsid w:val="0027347A"/>
    <w:rsid w:val="002931BE"/>
    <w:rsid w:val="00294084"/>
    <w:rsid w:val="002B18CD"/>
    <w:rsid w:val="002D2E16"/>
    <w:rsid w:val="002D54ED"/>
    <w:rsid w:val="002E349E"/>
    <w:rsid w:val="002F0D3C"/>
    <w:rsid w:val="002F414C"/>
    <w:rsid w:val="003515C7"/>
    <w:rsid w:val="0036177B"/>
    <w:rsid w:val="00363BBB"/>
    <w:rsid w:val="00392132"/>
    <w:rsid w:val="003B4A51"/>
    <w:rsid w:val="003E26E3"/>
    <w:rsid w:val="003F1FCA"/>
    <w:rsid w:val="003F338B"/>
    <w:rsid w:val="00401AE0"/>
    <w:rsid w:val="004076C5"/>
    <w:rsid w:val="004116DF"/>
    <w:rsid w:val="00437475"/>
    <w:rsid w:val="0045768D"/>
    <w:rsid w:val="00474F04"/>
    <w:rsid w:val="00490DAA"/>
    <w:rsid w:val="004A6269"/>
    <w:rsid w:val="004C4705"/>
    <w:rsid w:val="004C69BE"/>
    <w:rsid w:val="00512498"/>
    <w:rsid w:val="005138D3"/>
    <w:rsid w:val="005227B7"/>
    <w:rsid w:val="0053118A"/>
    <w:rsid w:val="00535B5F"/>
    <w:rsid w:val="0055153E"/>
    <w:rsid w:val="00555994"/>
    <w:rsid w:val="00574A54"/>
    <w:rsid w:val="00595888"/>
    <w:rsid w:val="0059709E"/>
    <w:rsid w:val="005A25D6"/>
    <w:rsid w:val="005E309A"/>
    <w:rsid w:val="005F7DBA"/>
    <w:rsid w:val="00605A07"/>
    <w:rsid w:val="00631E12"/>
    <w:rsid w:val="0065206B"/>
    <w:rsid w:val="00662E87"/>
    <w:rsid w:val="006C4C6F"/>
    <w:rsid w:val="006D7081"/>
    <w:rsid w:val="006F539E"/>
    <w:rsid w:val="00745A0E"/>
    <w:rsid w:val="0075013C"/>
    <w:rsid w:val="0075352E"/>
    <w:rsid w:val="00767BCE"/>
    <w:rsid w:val="00770E99"/>
    <w:rsid w:val="00775AB9"/>
    <w:rsid w:val="007A4BF9"/>
    <w:rsid w:val="007B495B"/>
    <w:rsid w:val="007F44A4"/>
    <w:rsid w:val="0080060F"/>
    <w:rsid w:val="00823CC6"/>
    <w:rsid w:val="0082665B"/>
    <w:rsid w:val="008346CC"/>
    <w:rsid w:val="00843D68"/>
    <w:rsid w:val="00856AF9"/>
    <w:rsid w:val="0086302F"/>
    <w:rsid w:val="00882855"/>
    <w:rsid w:val="00887E06"/>
    <w:rsid w:val="008A2EB1"/>
    <w:rsid w:val="008F1924"/>
    <w:rsid w:val="008F2E64"/>
    <w:rsid w:val="008F3F68"/>
    <w:rsid w:val="00911C82"/>
    <w:rsid w:val="00936220"/>
    <w:rsid w:val="00970825"/>
    <w:rsid w:val="009827EA"/>
    <w:rsid w:val="009B1EB7"/>
    <w:rsid w:val="00A52758"/>
    <w:rsid w:val="00A779CC"/>
    <w:rsid w:val="00A87240"/>
    <w:rsid w:val="00A948C1"/>
    <w:rsid w:val="00AA0A6E"/>
    <w:rsid w:val="00AC16D2"/>
    <w:rsid w:val="00AC291D"/>
    <w:rsid w:val="00AC2F38"/>
    <w:rsid w:val="00AD1C2B"/>
    <w:rsid w:val="00AD4A4A"/>
    <w:rsid w:val="00B12386"/>
    <w:rsid w:val="00B2320C"/>
    <w:rsid w:val="00B40453"/>
    <w:rsid w:val="00B445DD"/>
    <w:rsid w:val="00B55C06"/>
    <w:rsid w:val="00B722CE"/>
    <w:rsid w:val="00B86490"/>
    <w:rsid w:val="00B92B53"/>
    <w:rsid w:val="00B9448A"/>
    <w:rsid w:val="00BB38D1"/>
    <w:rsid w:val="00BB73CA"/>
    <w:rsid w:val="00BC4E38"/>
    <w:rsid w:val="00BF7A77"/>
    <w:rsid w:val="00C02349"/>
    <w:rsid w:val="00C1613C"/>
    <w:rsid w:val="00C4336F"/>
    <w:rsid w:val="00C513C8"/>
    <w:rsid w:val="00C51F53"/>
    <w:rsid w:val="00C71E45"/>
    <w:rsid w:val="00CA196C"/>
    <w:rsid w:val="00CB4346"/>
    <w:rsid w:val="00CB726A"/>
    <w:rsid w:val="00CC6759"/>
    <w:rsid w:val="00CD2066"/>
    <w:rsid w:val="00CD2838"/>
    <w:rsid w:val="00CE48D3"/>
    <w:rsid w:val="00CE7F2D"/>
    <w:rsid w:val="00D129AB"/>
    <w:rsid w:val="00D56C4D"/>
    <w:rsid w:val="00D57C0D"/>
    <w:rsid w:val="00D653FB"/>
    <w:rsid w:val="00D82B6F"/>
    <w:rsid w:val="00D8792E"/>
    <w:rsid w:val="00D95337"/>
    <w:rsid w:val="00D975EF"/>
    <w:rsid w:val="00DA2926"/>
    <w:rsid w:val="00DC60E3"/>
    <w:rsid w:val="00E11EE0"/>
    <w:rsid w:val="00E47C15"/>
    <w:rsid w:val="00E52A99"/>
    <w:rsid w:val="00E61462"/>
    <w:rsid w:val="00E614ED"/>
    <w:rsid w:val="00E778E0"/>
    <w:rsid w:val="00E9091B"/>
    <w:rsid w:val="00EB30FE"/>
    <w:rsid w:val="00EC3A65"/>
    <w:rsid w:val="00EC5587"/>
    <w:rsid w:val="00ED345E"/>
    <w:rsid w:val="00ED7347"/>
    <w:rsid w:val="00EE36FA"/>
    <w:rsid w:val="00EE3AD3"/>
    <w:rsid w:val="00EF4B66"/>
    <w:rsid w:val="00EF57C5"/>
    <w:rsid w:val="00F01883"/>
    <w:rsid w:val="00F053B4"/>
    <w:rsid w:val="00F22EF0"/>
    <w:rsid w:val="00F501E6"/>
    <w:rsid w:val="00F646EE"/>
    <w:rsid w:val="00F91EEE"/>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32AA77"/>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4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4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49E"/>
  </w:style>
  <w:style w:type="paragraph" w:styleId="Porat">
    <w:name w:val="footer"/>
    <w:basedOn w:val="prastasis"/>
    <w:link w:val="PoratDiagrama"/>
    <w:uiPriority w:val="99"/>
    <w:unhideWhenUsed/>
    <w:rsid w:val="002E3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49E"/>
  </w:style>
  <w:style w:type="character" w:styleId="Puslapionumeris">
    <w:name w:val="page number"/>
    <w:basedOn w:val="Numatytasispastraiposriftas"/>
    <w:rsid w:val="002E349E"/>
  </w:style>
  <w:style w:type="paragraph" w:styleId="Debesliotekstas">
    <w:name w:val="Balloon Text"/>
    <w:basedOn w:val="prastasis"/>
    <w:link w:val="DebesliotekstasDiagrama"/>
    <w:uiPriority w:val="99"/>
    <w:semiHidden/>
    <w:unhideWhenUsed/>
    <w:rsid w:val="00595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88"/>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AC2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2F38"/>
    <w:rPr>
      <w:sz w:val="20"/>
      <w:szCs w:val="20"/>
    </w:rPr>
  </w:style>
  <w:style w:type="character" w:styleId="Puslapioinaosnuoroda">
    <w:name w:val="footnote reference"/>
    <w:basedOn w:val="Numatytasispastraiposriftas"/>
    <w:uiPriority w:val="99"/>
    <w:semiHidden/>
    <w:unhideWhenUsed/>
    <w:rsid w:val="00AC2F38"/>
    <w:rPr>
      <w:vertAlign w:val="superscript"/>
    </w:rPr>
  </w:style>
  <w:style w:type="paragraph" w:styleId="Sraopastraipa">
    <w:name w:val="List Paragraph"/>
    <w:basedOn w:val="prastasis"/>
    <w:uiPriority w:val="34"/>
    <w:qFormat/>
    <w:rsid w:val="00EF4B66"/>
    <w:pPr>
      <w:ind w:left="720"/>
      <w:contextualSpacing/>
    </w:pPr>
  </w:style>
  <w:style w:type="paragraph" w:styleId="prastasiniatinklio">
    <w:name w:val="Normal (Web)"/>
    <w:basedOn w:val="prastasis"/>
    <w:uiPriority w:val="99"/>
    <w:rsid w:val="0088285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E778E0"/>
    <w:rPr>
      <w:color w:val="0000FF"/>
      <w:u w:val="single"/>
    </w:rPr>
  </w:style>
  <w:style w:type="character" w:customStyle="1" w:styleId="wysiwyg-font-size-medium">
    <w:name w:val="wysiwyg-font-size-medium"/>
    <w:basedOn w:val="Numatytasispastraiposriftas"/>
    <w:rsid w:val="0053118A"/>
  </w:style>
  <w:style w:type="character" w:customStyle="1" w:styleId="wysiwyg-color-black">
    <w:name w:val="wysiwyg-color-black"/>
    <w:basedOn w:val="Numatytasispastraiposriftas"/>
    <w:rsid w:val="000570CD"/>
  </w:style>
  <w:style w:type="paragraph" w:styleId="Pataisymai">
    <w:name w:val="Revision"/>
    <w:hidden/>
    <w:uiPriority w:val="99"/>
    <w:semiHidden/>
    <w:rsid w:val="001E4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4802">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074624300">
      <w:bodyDiv w:val="1"/>
      <w:marLeft w:val="0"/>
      <w:marRight w:val="0"/>
      <w:marTop w:val="0"/>
      <w:marBottom w:val="0"/>
      <w:divBdr>
        <w:top w:val="none" w:sz="0" w:space="0" w:color="auto"/>
        <w:left w:val="none" w:sz="0" w:space="0" w:color="auto"/>
        <w:bottom w:val="none" w:sz="0" w:space="0" w:color="auto"/>
        <w:right w:val="none" w:sz="0" w:space="0" w:color="auto"/>
      </w:divBdr>
    </w:div>
    <w:div w:id="1249579023">
      <w:bodyDiv w:val="1"/>
      <w:marLeft w:val="0"/>
      <w:marRight w:val="0"/>
      <w:marTop w:val="0"/>
      <w:marBottom w:val="0"/>
      <w:divBdr>
        <w:top w:val="none" w:sz="0" w:space="0" w:color="auto"/>
        <w:left w:val="none" w:sz="0" w:space="0" w:color="auto"/>
        <w:bottom w:val="none" w:sz="0" w:space="0" w:color="auto"/>
        <w:right w:val="none" w:sz="0" w:space="0" w:color="auto"/>
      </w:divBdr>
    </w:div>
    <w:div w:id="1342271869">
      <w:bodyDiv w:val="1"/>
      <w:marLeft w:val="0"/>
      <w:marRight w:val="0"/>
      <w:marTop w:val="0"/>
      <w:marBottom w:val="0"/>
      <w:divBdr>
        <w:top w:val="none" w:sz="0" w:space="0" w:color="auto"/>
        <w:left w:val="none" w:sz="0" w:space="0" w:color="auto"/>
        <w:bottom w:val="none" w:sz="0" w:space="0" w:color="auto"/>
        <w:right w:val="none" w:sz="0" w:space="0" w:color="auto"/>
      </w:divBdr>
    </w:div>
    <w:div w:id="1369722786">
      <w:bodyDiv w:val="1"/>
      <w:marLeft w:val="0"/>
      <w:marRight w:val="0"/>
      <w:marTop w:val="0"/>
      <w:marBottom w:val="0"/>
      <w:divBdr>
        <w:top w:val="none" w:sz="0" w:space="0" w:color="auto"/>
        <w:left w:val="none" w:sz="0" w:space="0" w:color="auto"/>
        <w:bottom w:val="none" w:sz="0" w:space="0" w:color="auto"/>
        <w:right w:val="none" w:sz="0" w:space="0" w:color="auto"/>
      </w:divBdr>
    </w:div>
    <w:div w:id="1452437158">
      <w:bodyDiv w:val="1"/>
      <w:marLeft w:val="0"/>
      <w:marRight w:val="0"/>
      <w:marTop w:val="0"/>
      <w:marBottom w:val="0"/>
      <w:divBdr>
        <w:top w:val="none" w:sz="0" w:space="0" w:color="auto"/>
        <w:left w:val="none" w:sz="0" w:space="0" w:color="auto"/>
        <w:bottom w:val="none" w:sz="0" w:space="0" w:color="auto"/>
        <w:right w:val="none" w:sz="0" w:space="0" w:color="auto"/>
      </w:divBdr>
    </w:div>
    <w:div w:id="1553079821">
      <w:bodyDiv w:val="1"/>
      <w:marLeft w:val="0"/>
      <w:marRight w:val="0"/>
      <w:marTop w:val="0"/>
      <w:marBottom w:val="0"/>
      <w:divBdr>
        <w:top w:val="none" w:sz="0" w:space="0" w:color="auto"/>
        <w:left w:val="none" w:sz="0" w:space="0" w:color="auto"/>
        <w:bottom w:val="none" w:sz="0" w:space="0" w:color="auto"/>
        <w:right w:val="none" w:sz="0" w:space="0" w:color="auto"/>
      </w:divBdr>
    </w:div>
    <w:div w:id="1753700481">
      <w:bodyDiv w:val="1"/>
      <w:marLeft w:val="0"/>
      <w:marRight w:val="0"/>
      <w:marTop w:val="0"/>
      <w:marBottom w:val="0"/>
      <w:divBdr>
        <w:top w:val="none" w:sz="0" w:space="0" w:color="auto"/>
        <w:left w:val="none" w:sz="0" w:space="0" w:color="auto"/>
        <w:bottom w:val="none" w:sz="0" w:space="0" w:color="auto"/>
        <w:right w:val="none" w:sz="0" w:space="0" w:color="auto"/>
      </w:divBdr>
    </w:div>
    <w:div w:id="21187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7F8B-9085-4230-98B1-E874811A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7448</Words>
  <Characters>4246</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Julija Grudinkė</cp:lastModifiedBy>
  <cp:revision>2</cp:revision>
  <cp:lastPrinted>2018-08-10T10:52:00Z</cp:lastPrinted>
  <dcterms:created xsi:type="dcterms:W3CDTF">2022-01-21T12:37:00Z</dcterms:created>
  <dcterms:modified xsi:type="dcterms:W3CDTF">2022-01-21T12:37:00Z</dcterms:modified>
</cp:coreProperties>
</file>