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5A4" w14:textId="77777777" w:rsidR="00D57C0D" w:rsidRDefault="00C508AE"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1215925"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5751A1">
        <w:trPr>
          <w:cantSplit/>
          <w:trHeight w:val="1215"/>
          <w:tblHeader/>
          <w:jc w:val="center"/>
        </w:trPr>
        <w:tc>
          <w:tcPr>
            <w:tcW w:w="5421" w:type="dxa"/>
          </w:tcPr>
          <w:p w14:paraId="0C23C0E7" w14:textId="49D25270" w:rsidR="00D57C0D" w:rsidRDefault="00C90EA8"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sveikatos mokslų</w:t>
            </w:r>
            <w:r w:rsidR="008E3041">
              <w:rPr>
                <w:rFonts w:ascii="Times New Roman" w:eastAsia="Times New Roman" w:hAnsi="Times New Roman" w:cs="Times New Roman"/>
                <w:bCs/>
                <w:sz w:val="24"/>
                <w:szCs w:val="24"/>
              </w:rPr>
              <w:t xml:space="preserve"> universitetas</w:t>
            </w:r>
          </w:p>
          <w:p w14:paraId="52AC088D" w14:textId="26265314" w:rsidR="00595888" w:rsidRPr="00C90EA8" w:rsidRDefault="00C90EA8" w:rsidP="00C90EA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M</w:t>
            </w:r>
            <w:r w:rsidRPr="00C90EA8">
              <w:rPr>
                <w:rFonts w:ascii="Times New Roman" w:eastAsia="Times New Roman" w:hAnsi="Times New Roman" w:cs="Times New Roman"/>
                <w:bCs/>
                <w:sz w:val="24"/>
                <w:szCs w:val="24"/>
              </w:rPr>
              <w:t>ickevičiaus g. 9</w:t>
            </w:r>
          </w:p>
          <w:p w14:paraId="66ABF713" w14:textId="02C77731" w:rsidR="00D57C0D" w:rsidRDefault="00C90EA8"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44307 Kaunas</w:t>
            </w:r>
          </w:p>
          <w:p w14:paraId="661B8D5A" w14:textId="77777777" w:rsidR="000C6C36" w:rsidRPr="000440D4" w:rsidRDefault="000C6C36" w:rsidP="000C6C36">
            <w:pPr>
              <w:spacing w:after="0"/>
              <w:rPr>
                <w:rFonts w:ascii="Times New Roman" w:eastAsia="Times New Roman" w:hAnsi="Times New Roman" w:cs="Times New Roman"/>
                <w:bCs/>
                <w:sz w:val="24"/>
                <w:szCs w:val="24"/>
              </w:rPr>
            </w:pPr>
          </w:p>
          <w:p w14:paraId="6E3282A5" w14:textId="249DF444"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C90EA8">
              <w:rPr>
                <w:rFonts w:ascii="Times New Roman" w:eastAsia="Times New Roman" w:hAnsi="Times New Roman" w:cs="Times New Roman"/>
                <w:sz w:val="24"/>
                <w:szCs w:val="24"/>
              </w:rPr>
              <w:t>rektoratas</w:t>
            </w:r>
            <w:r w:rsidRPr="00CC1489">
              <w:rPr>
                <w:rFonts w:ascii="Times New Roman" w:hAnsi="Times New Roman" w:cs="Times New Roman"/>
                <w:sz w:val="24"/>
                <w:szCs w:val="24"/>
              </w:rPr>
              <w:t>@</w:t>
            </w:r>
            <w:r w:rsidR="00C90EA8">
              <w:rPr>
                <w:rFonts w:ascii="Times New Roman" w:hAnsi="Times New Roman" w:cs="Times New Roman"/>
                <w:sz w:val="24"/>
                <w:szCs w:val="24"/>
              </w:rPr>
              <w:t>lsmuni</w:t>
            </w:r>
            <w:r w:rsidR="00D95337">
              <w:rPr>
                <w:rFonts w:ascii="Times New Roman" w:hAnsi="Times New Roman" w:cs="Times New Roman"/>
                <w:sz w:val="24"/>
                <w:szCs w:val="24"/>
              </w:rPr>
              <w:t>.lt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026620BE"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w:t>
            </w:r>
            <w:r w:rsidR="00C90EA8">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C90EA8">
              <w:rPr>
                <w:rFonts w:ascii="Times New Roman" w:eastAsia="Times New Roman" w:hAnsi="Times New Roman" w:cs="Times New Roman"/>
                <w:sz w:val="24"/>
                <w:szCs w:val="24"/>
              </w:rPr>
              <w:t>04</w:t>
            </w:r>
            <w:r w:rsidRPr="008A38CD">
              <w:rPr>
                <w:rFonts w:ascii="Times New Roman" w:eastAsia="Times New Roman" w:hAnsi="Times New Roman" w:cs="Times New Roman"/>
                <w:sz w:val="24"/>
                <w:szCs w:val="24"/>
              </w:rPr>
              <w:t>-</w:t>
            </w:r>
          </w:p>
          <w:p w14:paraId="56AE18C1" w14:textId="401B4B2D" w:rsidR="00D57C0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w:t>
            </w:r>
            <w:r w:rsidR="00C90EA8">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C90EA8">
              <w:rPr>
                <w:rFonts w:ascii="Times New Roman" w:eastAsia="Times New Roman" w:hAnsi="Times New Roman" w:cs="Times New Roman"/>
                <w:sz w:val="24"/>
                <w:szCs w:val="24"/>
              </w:rPr>
              <w:t>04</w:t>
            </w:r>
            <w:r>
              <w:rPr>
                <w:rFonts w:ascii="Times New Roman" w:eastAsia="Times New Roman" w:hAnsi="Times New Roman" w:cs="Times New Roman"/>
                <w:sz w:val="24"/>
                <w:szCs w:val="24"/>
              </w:rPr>
              <w:t>-</w:t>
            </w:r>
            <w:r w:rsidR="00C90EA8">
              <w:rPr>
                <w:rFonts w:ascii="Times New Roman" w:eastAsia="Times New Roman" w:hAnsi="Times New Roman" w:cs="Times New Roman"/>
                <w:sz w:val="24"/>
                <w:szCs w:val="24"/>
              </w:rPr>
              <w:t>07</w:t>
            </w:r>
          </w:p>
          <w:p w14:paraId="721FD948" w14:textId="7ECB7B15" w:rsidR="00C90EA8" w:rsidRPr="008A38CD" w:rsidRDefault="00A45239"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2021-04-21</w:t>
            </w:r>
          </w:p>
          <w:p w14:paraId="6FF87AA7" w14:textId="77777777" w:rsidR="00FD41F4" w:rsidRPr="008A38CD" w:rsidRDefault="00FD41F4" w:rsidP="005751A1">
            <w:pPr>
              <w:tabs>
                <w:tab w:val="left" w:pos="900"/>
              </w:tabs>
              <w:spacing w:after="0"/>
              <w:rPr>
                <w:rFonts w:ascii="Times New Roman" w:eastAsia="Times New Roman" w:hAnsi="Times New Roman" w:cs="Times New Roman"/>
                <w:sz w:val="24"/>
                <w:szCs w:val="24"/>
              </w:rPr>
            </w:pP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772482F" w14:textId="19E48CE9" w:rsidR="00D57C0D" w:rsidRPr="008A38CD" w:rsidRDefault="00A45239"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2363" w:type="dxa"/>
          </w:tcPr>
          <w:p w14:paraId="56481E98" w14:textId="5CE941F0"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C90EA8">
              <w:rPr>
                <w:rFonts w:ascii="Times New Roman" w:eastAsia="Times New Roman" w:hAnsi="Times New Roman" w:cs="Times New Roman"/>
                <w:sz w:val="24"/>
                <w:szCs w:val="24"/>
              </w:rPr>
              <w:t xml:space="preserve">15 </w:t>
            </w:r>
            <w:proofErr w:type="spellStart"/>
            <w:r w:rsidR="00C90EA8">
              <w:rPr>
                <w:rFonts w:ascii="Times New Roman" w:eastAsia="Times New Roman" w:hAnsi="Times New Roman" w:cs="Times New Roman"/>
                <w:sz w:val="24"/>
                <w:szCs w:val="24"/>
              </w:rPr>
              <w:t>Mr</w:t>
            </w:r>
            <w:proofErr w:type="spellEnd"/>
            <w:r w:rsidR="00F2044F">
              <w:rPr>
                <w:rFonts w:ascii="Times New Roman" w:eastAsia="Times New Roman" w:hAnsi="Times New Roman" w:cs="Times New Roman"/>
                <w:sz w:val="24"/>
                <w:szCs w:val="24"/>
              </w:rPr>
              <w:t>)</w:t>
            </w:r>
          </w:p>
          <w:p w14:paraId="27CAA029" w14:textId="3EB1A532" w:rsidR="00D57C0D" w:rsidRDefault="00C90EA8"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2021-DVT2-00623</w:t>
            </w:r>
          </w:p>
          <w:p w14:paraId="236F10CD" w14:textId="53999FF6" w:rsidR="00D57C0D" w:rsidRPr="008A38CD" w:rsidRDefault="00A45239"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2021-DVT2-00738</w:t>
            </w:r>
          </w:p>
          <w:p w14:paraId="76E43C05"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13131867"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3B525B">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488A7C14" w14:textId="007D2A3B" w:rsidR="00D57C0D" w:rsidRDefault="00D57C0D" w:rsidP="00861353">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xml:space="preserve">, išnagrinėjo </w:t>
      </w:r>
      <w:r w:rsidR="003B525B">
        <w:rPr>
          <w:rFonts w:ascii="Times New Roman" w:hAnsi="Times New Roman" w:cs="Times New Roman"/>
          <w:sz w:val="24"/>
          <w:szCs w:val="24"/>
        </w:rPr>
        <w:t>Lietuvos sveikatos mokslų universiteto</w:t>
      </w:r>
      <w:r>
        <w:rPr>
          <w:rFonts w:ascii="Times New Roman" w:hAnsi="Times New Roman" w:cs="Times New Roman"/>
          <w:sz w:val="24"/>
          <w:szCs w:val="24"/>
        </w:rPr>
        <w:t xml:space="preserve"> </w:t>
      </w:r>
      <w:r w:rsidRPr="007A5BF7">
        <w:rPr>
          <w:rFonts w:ascii="Times New Roman" w:hAnsi="Times New Roman" w:cs="Times New Roman"/>
          <w:sz w:val="24"/>
          <w:szCs w:val="24"/>
        </w:rPr>
        <w:t>(</w:t>
      </w:r>
      <w:r w:rsidRPr="007A5BF7">
        <w:rPr>
          <w:rFonts w:ascii="Times New Roman" w:eastAsia="Times New Roman" w:hAnsi="Times New Roman" w:cs="Times New Roman"/>
          <w:sz w:val="24"/>
          <w:szCs w:val="24"/>
        </w:rPr>
        <w:t>toliau – Perkančioji organizacija)</w:t>
      </w:r>
      <w:r w:rsidRPr="007A5BF7">
        <w:rPr>
          <w:rFonts w:ascii="Times New Roman" w:hAnsi="Times New Roman" w:cs="Times New Roman"/>
          <w:sz w:val="24"/>
          <w:szCs w:val="24"/>
        </w:rPr>
        <w:t xml:space="preserve"> prašymą sutikti </w:t>
      </w:r>
      <w:bookmarkStart w:id="0" w:name="_Hlk70516966"/>
      <w:r w:rsidR="003B525B">
        <w:rPr>
          <w:rFonts w:ascii="Times New Roman" w:hAnsi="Times New Roman" w:cs="Times New Roman"/>
          <w:i/>
          <w:sz w:val="24"/>
          <w:szCs w:val="24"/>
        </w:rPr>
        <w:t xml:space="preserve">Naujos kartos </w:t>
      </w:r>
      <w:proofErr w:type="spellStart"/>
      <w:r w:rsidR="003B525B">
        <w:rPr>
          <w:rFonts w:ascii="Times New Roman" w:hAnsi="Times New Roman" w:cs="Times New Roman"/>
          <w:i/>
          <w:sz w:val="24"/>
          <w:szCs w:val="24"/>
        </w:rPr>
        <w:t>sekoskaitos</w:t>
      </w:r>
      <w:proofErr w:type="spellEnd"/>
      <w:r w:rsidR="003B525B">
        <w:rPr>
          <w:rFonts w:ascii="Times New Roman" w:hAnsi="Times New Roman" w:cs="Times New Roman"/>
          <w:i/>
          <w:sz w:val="24"/>
          <w:szCs w:val="24"/>
        </w:rPr>
        <w:t xml:space="preserve"> </w:t>
      </w:r>
      <w:r w:rsidR="003B525B" w:rsidRPr="005E287E">
        <w:rPr>
          <w:rFonts w:ascii="Times New Roman" w:hAnsi="Times New Roman" w:cs="Times New Roman"/>
          <w:i/>
          <w:sz w:val="24"/>
          <w:szCs w:val="24"/>
        </w:rPr>
        <w:t xml:space="preserve">įrangos </w:t>
      </w:r>
      <w:r w:rsidR="005E287E" w:rsidRPr="005E287E">
        <w:rPr>
          <w:rFonts w:ascii="Times New Roman" w:hAnsi="Times New Roman" w:cs="Times New Roman"/>
          <w:i/>
          <w:sz w:val="24"/>
          <w:szCs w:val="24"/>
        </w:rPr>
        <w:t>(</w:t>
      </w:r>
      <w:r w:rsidR="00E40339">
        <w:rPr>
          <w:rFonts w:ascii="Times New Roman" w:hAnsi="Times New Roman" w:cs="Times New Roman"/>
          <w:i/>
          <w:sz w:val="24"/>
          <w:szCs w:val="24"/>
        </w:rPr>
        <w:t>„</w:t>
      </w:r>
      <w:proofErr w:type="spellStart"/>
      <w:r w:rsidR="005E287E" w:rsidRPr="00314D91">
        <w:rPr>
          <w:rFonts w:ascii="Times New Roman" w:eastAsia="Calibri" w:hAnsi="Times New Roman" w:cs="Times New Roman"/>
          <w:i/>
          <w:color w:val="000000"/>
          <w:sz w:val="24"/>
          <w:szCs w:val="24"/>
          <w:lang w:eastAsia="en-GB"/>
        </w:rPr>
        <w:t>MiSeq</w:t>
      </w:r>
      <w:proofErr w:type="spellEnd"/>
      <w:r w:rsidR="00E40339">
        <w:rPr>
          <w:rFonts w:ascii="Times New Roman" w:eastAsia="Calibri" w:hAnsi="Times New Roman" w:cs="Times New Roman"/>
          <w:i/>
          <w:color w:val="000000"/>
          <w:sz w:val="24"/>
          <w:szCs w:val="24"/>
          <w:lang w:eastAsia="en-GB"/>
        </w:rPr>
        <w:t>“</w:t>
      </w:r>
      <w:r w:rsidR="005E287E" w:rsidRPr="00314D91">
        <w:rPr>
          <w:rFonts w:ascii="Times New Roman" w:eastAsia="Times New Roman" w:hAnsi="Times New Roman" w:cs="Times New Roman"/>
          <w:i/>
          <w:color w:val="000000"/>
          <w:sz w:val="24"/>
          <w:szCs w:val="24"/>
          <w:lang w:eastAsia="en-GB"/>
        </w:rPr>
        <w:t>)</w:t>
      </w:r>
      <w:r w:rsidR="00E40339">
        <w:rPr>
          <w:rFonts w:ascii="Times New Roman" w:eastAsia="Times New Roman" w:hAnsi="Times New Roman" w:cs="Times New Roman"/>
          <w:i/>
          <w:color w:val="000000"/>
          <w:sz w:val="24"/>
          <w:szCs w:val="24"/>
          <w:lang w:eastAsia="en-GB"/>
        </w:rPr>
        <w:t xml:space="preserve"> </w:t>
      </w:r>
      <w:r w:rsidR="003B525B">
        <w:rPr>
          <w:rFonts w:ascii="Times New Roman" w:hAnsi="Times New Roman" w:cs="Times New Roman"/>
          <w:i/>
          <w:sz w:val="24"/>
          <w:szCs w:val="24"/>
        </w:rPr>
        <w:t>su papildomomis priemonėmis</w:t>
      </w:r>
      <w:r w:rsidR="00D52942">
        <w:rPr>
          <w:rStyle w:val="FootnoteReference"/>
          <w:rFonts w:ascii="Times New Roman" w:hAnsi="Times New Roman" w:cs="Times New Roman"/>
          <w:i/>
          <w:sz w:val="24"/>
          <w:szCs w:val="24"/>
        </w:rPr>
        <w:footnoteReference w:id="1"/>
      </w:r>
      <w:r w:rsidR="003B525B">
        <w:rPr>
          <w:rFonts w:ascii="Times New Roman" w:hAnsi="Times New Roman" w:cs="Times New Roman"/>
          <w:i/>
          <w:sz w:val="24"/>
          <w:szCs w:val="24"/>
        </w:rPr>
        <w:t xml:space="preserve"> pirkimą</w:t>
      </w:r>
      <w:bookmarkEnd w:id="0"/>
      <w:r w:rsidR="003B525B">
        <w:rPr>
          <w:rFonts w:ascii="Times New Roman" w:hAnsi="Times New Roman" w:cs="Times New Roman"/>
          <w:i/>
          <w:sz w:val="24"/>
          <w:szCs w:val="24"/>
        </w:rPr>
        <w:t xml:space="preserve"> </w:t>
      </w:r>
      <w:r w:rsidR="003B525B" w:rsidRPr="003B525B">
        <w:rPr>
          <w:rFonts w:ascii="Times New Roman" w:hAnsi="Times New Roman" w:cs="Times New Roman"/>
          <w:iCs/>
          <w:sz w:val="24"/>
          <w:szCs w:val="24"/>
        </w:rPr>
        <w:t>(toliau – Pirkimas)</w:t>
      </w:r>
      <w:r w:rsidR="00392132" w:rsidRPr="003B525B">
        <w:rPr>
          <w:rFonts w:ascii="Times New Roman" w:hAnsi="Times New Roman" w:cs="Times New Roman"/>
          <w:iCs/>
          <w:sz w:val="24"/>
          <w:szCs w:val="24"/>
        </w:rPr>
        <w:t xml:space="preserve"> </w:t>
      </w:r>
      <w:r w:rsidR="00392132">
        <w:rPr>
          <w:rFonts w:ascii="Times New Roman" w:hAnsi="Times New Roman" w:cs="Times New Roman"/>
          <w:sz w:val="24"/>
          <w:szCs w:val="24"/>
        </w:rPr>
        <w:t xml:space="preserve">vykdyti </w:t>
      </w:r>
      <w:r w:rsidRPr="007A5BF7">
        <w:rPr>
          <w:rFonts w:ascii="Times New Roman" w:eastAsia="Times New Roman" w:hAnsi="Times New Roman" w:cs="Times New Roman"/>
          <w:sz w:val="24"/>
          <w:szCs w:val="24"/>
        </w:rPr>
        <w:t xml:space="preserve">neskelbiamų derybų būdu, vadovaujantis Įstatymo 71 straipsnio </w:t>
      </w:r>
      <w:r w:rsidRPr="007A5BF7">
        <w:rPr>
          <w:rFonts w:ascii="Times New Roman" w:hAnsi="Times New Roman" w:cs="Times New Roman"/>
          <w:sz w:val="24"/>
          <w:szCs w:val="24"/>
        </w:rPr>
        <w:t>1 dalies 2 punkto (</w:t>
      </w:r>
      <w:r w:rsidR="002A6BE1">
        <w:rPr>
          <w:rFonts w:ascii="Times New Roman" w:hAnsi="Times New Roman" w:cs="Times New Roman"/>
          <w:sz w:val="24"/>
          <w:szCs w:val="24"/>
        </w:rPr>
        <w:t>b</w:t>
      </w:r>
      <w:r w:rsidRPr="007A5BF7">
        <w:rPr>
          <w:rFonts w:ascii="Times New Roman" w:hAnsi="Times New Roman" w:cs="Times New Roman"/>
          <w:sz w:val="24"/>
          <w:szCs w:val="24"/>
        </w:rPr>
        <w:t>)</w:t>
      </w:r>
      <w:r w:rsidR="002A6BE1">
        <w:rPr>
          <w:rFonts w:ascii="Times New Roman" w:hAnsi="Times New Roman" w:cs="Times New Roman"/>
          <w:sz w:val="24"/>
          <w:szCs w:val="24"/>
        </w:rPr>
        <w:t xml:space="preserve"> </w:t>
      </w:r>
      <w:r w:rsidR="00CB1AD4">
        <w:rPr>
          <w:rFonts w:ascii="Times New Roman" w:hAnsi="Times New Roman" w:cs="Times New Roman"/>
          <w:sz w:val="24"/>
          <w:szCs w:val="24"/>
        </w:rPr>
        <w:t xml:space="preserve">ir (c) </w:t>
      </w:r>
      <w:r w:rsidR="002A6BE1">
        <w:rPr>
          <w:rFonts w:ascii="Times New Roman" w:hAnsi="Times New Roman" w:cs="Times New Roman"/>
          <w:sz w:val="24"/>
          <w:szCs w:val="24"/>
        </w:rPr>
        <w:t>papunkči</w:t>
      </w:r>
      <w:r w:rsidR="00CB1AD4">
        <w:rPr>
          <w:rFonts w:ascii="Times New Roman" w:hAnsi="Times New Roman" w:cs="Times New Roman"/>
          <w:sz w:val="24"/>
          <w:szCs w:val="24"/>
        </w:rPr>
        <w:t>ų</w:t>
      </w:r>
      <w:r w:rsidR="002A6BE1">
        <w:rPr>
          <w:rFonts w:ascii="Times New Roman" w:hAnsi="Times New Roman" w:cs="Times New Roman"/>
          <w:sz w:val="24"/>
          <w:szCs w:val="24"/>
        </w:rPr>
        <w:t xml:space="preserve"> </w:t>
      </w:r>
      <w:r w:rsidRPr="007A5BF7">
        <w:rPr>
          <w:rFonts w:ascii="Times New Roman" w:hAnsi="Times New Roman" w:cs="Times New Roman"/>
          <w:sz w:val="24"/>
          <w:szCs w:val="24"/>
        </w:rPr>
        <w:t>nuostatomis.</w:t>
      </w:r>
    </w:p>
    <w:p w14:paraId="6ACA1538" w14:textId="0C394FCD" w:rsidR="004476AE" w:rsidRDefault="00C56FEB" w:rsidP="00D22C4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0497">
        <w:rPr>
          <w:rFonts w:ascii="Times New Roman" w:hAnsi="Times New Roman" w:cs="Times New Roman"/>
          <w:sz w:val="24"/>
          <w:szCs w:val="24"/>
        </w:rPr>
        <w:t xml:space="preserve">Prašyme nurodoma, kad laboratorijoje atliekamų </w:t>
      </w:r>
      <w:proofErr w:type="spellStart"/>
      <w:r w:rsidR="009A0497">
        <w:rPr>
          <w:rFonts w:ascii="Times New Roman" w:hAnsi="Times New Roman" w:cs="Times New Roman"/>
          <w:sz w:val="24"/>
          <w:szCs w:val="24"/>
        </w:rPr>
        <w:t>mikrobiomo</w:t>
      </w:r>
      <w:proofErr w:type="spellEnd"/>
      <w:r w:rsidR="009A0497">
        <w:rPr>
          <w:rFonts w:ascii="Times New Roman" w:hAnsi="Times New Roman" w:cs="Times New Roman"/>
          <w:sz w:val="24"/>
          <w:szCs w:val="24"/>
        </w:rPr>
        <w:t xml:space="preserve"> </w:t>
      </w:r>
      <w:proofErr w:type="spellStart"/>
      <w:r w:rsidR="009A0497">
        <w:rPr>
          <w:rFonts w:ascii="Times New Roman" w:hAnsi="Times New Roman" w:cs="Times New Roman"/>
          <w:sz w:val="24"/>
          <w:szCs w:val="24"/>
        </w:rPr>
        <w:t>sekoskaitos</w:t>
      </w:r>
      <w:proofErr w:type="spellEnd"/>
      <w:r w:rsidR="009A0497">
        <w:rPr>
          <w:rFonts w:ascii="Times New Roman" w:hAnsi="Times New Roman" w:cs="Times New Roman"/>
          <w:sz w:val="24"/>
          <w:szCs w:val="24"/>
        </w:rPr>
        <w:t xml:space="preserve"> tyrimų išsamiai analizei atlikti siekiama įsigyti </w:t>
      </w:r>
      <w:proofErr w:type="spellStart"/>
      <w:r w:rsidR="009A0497">
        <w:rPr>
          <w:rFonts w:ascii="Times New Roman" w:hAnsi="Times New Roman" w:cs="Times New Roman"/>
          <w:sz w:val="24"/>
          <w:szCs w:val="24"/>
        </w:rPr>
        <w:t>sekoskaitos</w:t>
      </w:r>
      <w:proofErr w:type="spellEnd"/>
      <w:r w:rsidR="009A0497">
        <w:rPr>
          <w:rFonts w:ascii="Times New Roman" w:hAnsi="Times New Roman" w:cs="Times New Roman"/>
          <w:sz w:val="24"/>
          <w:szCs w:val="24"/>
        </w:rPr>
        <w:t xml:space="preserve"> prietaisą </w:t>
      </w:r>
      <w:r w:rsidR="00E40339">
        <w:rPr>
          <w:rFonts w:ascii="Times New Roman" w:hAnsi="Times New Roman" w:cs="Times New Roman"/>
          <w:sz w:val="24"/>
          <w:szCs w:val="24"/>
        </w:rPr>
        <w:t>su</w:t>
      </w:r>
      <w:r w:rsidR="009A0497">
        <w:rPr>
          <w:rFonts w:ascii="Times New Roman" w:hAnsi="Times New Roman" w:cs="Times New Roman"/>
          <w:sz w:val="24"/>
          <w:szCs w:val="24"/>
        </w:rPr>
        <w:t xml:space="preserve"> papildom</w:t>
      </w:r>
      <w:r w:rsidR="00E40339">
        <w:rPr>
          <w:rFonts w:ascii="Times New Roman" w:hAnsi="Times New Roman" w:cs="Times New Roman"/>
          <w:sz w:val="24"/>
          <w:szCs w:val="24"/>
        </w:rPr>
        <w:t>omis</w:t>
      </w:r>
      <w:r w:rsidR="009A0497">
        <w:rPr>
          <w:rFonts w:ascii="Times New Roman" w:hAnsi="Times New Roman" w:cs="Times New Roman"/>
          <w:sz w:val="24"/>
          <w:szCs w:val="24"/>
        </w:rPr>
        <w:t xml:space="preserve"> priemon</w:t>
      </w:r>
      <w:r w:rsidR="00314D91">
        <w:rPr>
          <w:rFonts w:ascii="Times New Roman" w:hAnsi="Times New Roman" w:cs="Times New Roman"/>
          <w:sz w:val="24"/>
          <w:szCs w:val="24"/>
        </w:rPr>
        <w:t>ėmis</w:t>
      </w:r>
      <w:r w:rsidR="009A0497">
        <w:rPr>
          <w:rFonts w:ascii="Times New Roman" w:hAnsi="Times New Roman" w:cs="Times New Roman"/>
          <w:sz w:val="24"/>
          <w:szCs w:val="24"/>
        </w:rPr>
        <w:t xml:space="preserve"> (toliau – </w:t>
      </w:r>
      <w:proofErr w:type="spellStart"/>
      <w:r w:rsidR="005E287E">
        <w:rPr>
          <w:rFonts w:ascii="Times New Roman" w:hAnsi="Times New Roman" w:cs="Times New Roman"/>
          <w:sz w:val="24"/>
          <w:szCs w:val="24"/>
        </w:rPr>
        <w:t>Sekoskaitos</w:t>
      </w:r>
      <w:proofErr w:type="spellEnd"/>
      <w:r w:rsidR="005E287E">
        <w:rPr>
          <w:rFonts w:ascii="Times New Roman" w:hAnsi="Times New Roman" w:cs="Times New Roman"/>
          <w:sz w:val="24"/>
          <w:szCs w:val="24"/>
        </w:rPr>
        <w:t xml:space="preserve"> prietaisas</w:t>
      </w:r>
      <w:r w:rsidR="009A0497">
        <w:rPr>
          <w:rFonts w:ascii="Times New Roman" w:hAnsi="Times New Roman" w:cs="Times New Roman"/>
          <w:sz w:val="24"/>
          <w:szCs w:val="24"/>
        </w:rPr>
        <w:t xml:space="preserve">). </w:t>
      </w:r>
      <w:r w:rsidR="00217D83">
        <w:rPr>
          <w:rFonts w:ascii="Times New Roman" w:hAnsi="Times New Roman" w:cs="Times New Roman"/>
          <w:sz w:val="24"/>
          <w:szCs w:val="24"/>
        </w:rPr>
        <w:t>Lietuvos sveikatos moksl</w:t>
      </w:r>
      <w:r w:rsidR="00314D91">
        <w:rPr>
          <w:rFonts w:ascii="Times New Roman" w:hAnsi="Times New Roman" w:cs="Times New Roman"/>
          <w:sz w:val="24"/>
          <w:szCs w:val="24"/>
        </w:rPr>
        <w:t>ų</w:t>
      </w:r>
      <w:r w:rsidR="00217D83">
        <w:rPr>
          <w:rFonts w:ascii="Times New Roman" w:hAnsi="Times New Roman" w:cs="Times New Roman"/>
          <w:sz w:val="24"/>
          <w:szCs w:val="24"/>
        </w:rPr>
        <w:t xml:space="preserve"> universiteto </w:t>
      </w:r>
      <w:proofErr w:type="spellStart"/>
      <w:r w:rsidR="00217D83" w:rsidRPr="00217D83">
        <w:rPr>
          <w:rFonts w:ascii="Times New Roman" w:eastAsia="Times New Roman" w:hAnsi="Times New Roman" w:cs="Times New Roman"/>
          <w:color w:val="000000"/>
          <w:sz w:val="24"/>
          <w:szCs w:val="24"/>
          <w:lang w:eastAsia="en-GB"/>
        </w:rPr>
        <w:t>Gastroenterologijos</w:t>
      </w:r>
      <w:proofErr w:type="spellEnd"/>
      <w:r w:rsidR="00217D83" w:rsidRPr="00217D83">
        <w:rPr>
          <w:rFonts w:ascii="Times New Roman" w:eastAsia="Times New Roman" w:hAnsi="Times New Roman" w:cs="Times New Roman"/>
          <w:color w:val="000000"/>
          <w:sz w:val="24"/>
          <w:szCs w:val="24"/>
          <w:lang w:eastAsia="en-GB"/>
        </w:rPr>
        <w:t xml:space="preserve"> klinikos ir Virškinimo sistemos tyrimų instituto mokslininkų grupė savo projektinėje veikloje kartu su užsienio partneriais intensyviai atlieka </w:t>
      </w:r>
      <w:proofErr w:type="spellStart"/>
      <w:r w:rsidR="00217D83" w:rsidRPr="00217D83">
        <w:rPr>
          <w:rFonts w:ascii="Times New Roman" w:eastAsia="Times New Roman" w:hAnsi="Times New Roman" w:cs="Times New Roman"/>
          <w:color w:val="000000"/>
          <w:sz w:val="24"/>
          <w:szCs w:val="24"/>
          <w:lang w:eastAsia="en-GB"/>
        </w:rPr>
        <w:t>mikrobiomo</w:t>
      </w:r>
      <w:proofErr w:type="spellEnd"/>
      <w:r w:rsidR="00217D83" w:rsidRPr="00217D83">
        <w:rPr>
          <w:rFonts w:ascii="Times New Roman" w:eastAsia="Times New Roman" w:hAnsi="Times New Roman" w:cs="Times New Roman"/>
          <w:color w:val="000000"/>
          <w:sz w:val="24"/>
          <w:szCs w:val="24"/>
          <w:lang w:eastAsia="en-GB"/>
        </w:rPr>
        <w:t xml:space="preserve"> mokslinius tyrimus: </w:t>
      </w:r>
      <w:proofErr w:type="spellStart"/>
      <w:r w:rsidR="00217D83" w:rsidRPr="00217D83">
        <w:rPr>
          <w:rFonts w:ascii="Times New Roman" w:eastAsia="Times New Roman" w:hAnsi="Times New Roman" w:cs="Times New Roman"/>
          <w:color w:val="000000"/>
          <w:sz w:val="24"/>
          <w:szCs w:val="24"/>
          <w:lang w:eastAsia="en-GB"/>
        </w:rPr>
        <w:t>mikrobiomo</w:t>
      </w:r>
      <w:proofErr w:type="spellEnd"/>
      <w:r w:rsidR="00217D83" w:rsidRPr="00217D83">
        <w:rPr>
          <w:rFonts w:ascii="Times New Roman" w:eastAsia="Times New Roman" w:hAnsi="Times New Roman" w:cs="Times New Roman"/>
          <w:color w:val="000000"/>
          <w:sz w:val="24"/>
          <w:szCs w:val="24"/>
          <w:lang w:eastAsia="en-GB"/>
        </w:rPr>
        <w:t xml:space="preserve"> modifikavimo ir diagnostinių metodų kūrimas</w:t>
      </w:r>
      <w:r w:rsidR="00217D83">
        <w:rPr>
          <w:rFonts w:ascii="Times New Roman" w:eastAsia="Times New Roman" w:hAnsi="Times New Roman" w:cs="Times New Roman"/>
          <w:color w:val="000000"/>
          <w:sz w:val="24"/>
          <w:szCs w:val="24"/>
          <w:lang w:eastAsia="en-GB"/>
        </w:rPr>
        <w:t xml:space="preserve">, </w:t>
      </w:r>
      <w:r w:rsidR="00217D83" w:rsidRPr="00217D83">
        <w:rPr>
          <w:rFonts w:ascii="Times New Roman" w:eastAsia="Times New Roman" w:hAnsi="Times New Roman" w:cs="Times New Roman"/>
          <w:color w:val="000000"/>
          <w:sz w:val="24"/>
          <w:szCs w:val="24"/>
          <w:lang w:eastAsia="en-GB"/>
        </w:rPr>
        <w:t xml:space="preserve">molekulių, atsakingų už </w:t>
      </w:r>
      <w:proofErr w:type="spellStart"/>
      <w:r w:rsidR="00217D83" w:rsidRPr="00217D83">
        <w:rPr>
          <w:rFonts w:ascii="Times New Roman" w:eastAsia="Times New Roman" w:hAnsi="Times New Roman" w:cs="Times New Roman"/>
          <w:color w:val="000000"/>
          <w:sz w:val="24"/>
          <w:szCs w:val="24"/>
          <w:lang w:eastAsia="en-GB"/>
        </w:rPr>
        <w:t>mikrobiomo</w:t>
      </w:r>
      <w:proofErr w:type="spellEnd"/>
      <w:r w:rsidR="00217D83" w:rsidRPr="00217D83">
        <w:rPr>
          <w:rFonts w:ascii="Times New Roman" w:eastAsia="Times New Roman" w:hAnsi="Times New Roman" w:cs="Times New Roman"/>
          <w:color w:val="000000"/>
          <w:sz w:val="24"/>
          <w:szCs w:val="24"/>
          <w:lang w:eastAsia="en-GB"/>
        </w:rPr>
        <w:t xml:space="preserve"> reguliaciją nustatymas</w:t>
      </w:r>
      <w:r w:rsidR="00217D83">
        <w:rPr>
          <w:rFonts w:ascii="Times New Roman" w:eastAsia="Times New Roman" w:hAnsi="Times New Roman" w:cs="Times New Roman"/>
          <w:color w:val="000000"/>
          <w:sz w:val="24"/>
          <w:szCs w:val="24"/>
          <w:lang w:eastAsia="en-GB"/>
        </w:rPr>
        <w:t xml:space="preserve">, </w:t>
      </w:r>
      <w:r w:rsidR="00217D83" w:rsidRPr="00217D83">
        <w:rPr>
          <w:rFonts w:ascii="Times New Roman" w:eastAsia="Times New Roman" w:hAnsi="Times New Roman" w:cs="Times New Roman"/>
          <w:color w:val="000000"/>
          <w:sz w:val="24"/>
          <w:szCs w:val="24"/>
          <w:lang w:eastAsia="en-GB"/>
        </w:rPr>
        <w:t xml:space="preserve">kraujyje cirkuliuojančių </w:t>
      </w:r>
      <w:proofErr w:type="spellStart"/>
      <w:r w:rsidR="00217D83" w:rsidRPr="00217D83">
        <w:rPr>
          <w:rFonts w:ascii="Times New Roman" w:eastAsia="Times New Roman" w:hAnsi="Times New Roman" w:cs="Times New Roman"/>
          <w:color w:val="000000"/>
          <w:sz w:val="24"/>
          <w:szCs w:val="24"/>
          <w:lang w:eastAsia="en-GB"/>
        </w:rPr>
        <w:t>mikrobiomo</w:t>
      </w:r>
      <w:proofErr w:type="spellEnd"/>
      <w:r w:rsidR="00217D83" w:rsidRPr="00217D83">
        <w:rPr>
          <w:rFonts w:ascii="Times New Roman" w:eastAsia="Times New Roman" w:hAnsi="Times New Roman" w:cs="Times New Roman"/>
          <w:color w:val="000000"/>
          <w:sz w:val="24"/>
          <w:szCs w:val="24"/>
          <w:lang w:eastAsia="en-GB"/>
        </w:rPr>
        <w:t xml:space="preserve"> DNR elementų identifikavimas</w:t>
      </w:r>
      <w:r w:rsidR="005E287E">
        <w:rPr>
          <w:rFonts w:ascii="Times New Roman" w:eastAsia="Times New Roman" w:hAnsi="Times New Roman" w:cs="Times New Roman"/>
          <w:color w:val="000000"/>
          <w:sz w:val="24"/>
          <w:szCs w:val="24"/>
          <w:lang w:eastAsia="en-GB"/>
        </w:rPr>
        <w:t xml:space="preserve">. </w:t>
      </w:r>
      <w:r w:rsidR="00E40339">
        <w:rPr>
          <w:rFonts w:ascii="Times New Roman" w:eastAsia="Times New Roman" w:hAnsi="Times New Roman" w:cs="Times New Roman"/>
          <w:color w:val="000000"/>
          <w:sz w:val="24"/>
          <w:szCs w:val="24"/>
          <w:lang w:eastAsia="en-GB"/>
        </w:rPr>
        <w:t xml:space="preserve">Perkančioji organizacija </w:t>
      </w:r>
      <w:r w:rsidR="00E40339">
        <w:rPr>
          <w:rFonts w:ascii="Times New Roman" w:hAnsi="Times New Roman" w:cs="Times New Roman"/>
          <w:color w:val="000000"/>
          <w:sz w:val="24"/>
          <w:szCs w:val="24"/>
          <w:lang w:eastAsia="en-GB"/>
        </w:rPr>
        <w:t>paaiškina</w:t>
      </w:r>
      <w:r w:rsidR="004476AE" w:rsidRPr="00DF5DA9">
        <w:rPr>
          <w:rFonts w:ascii="Times New Roman" w:hAnsi="Times New Roman" w:cs="Times New Roman"/>
          <w:color w:val="000000"/>
          <w:sz w:val="24"/>
          <w:szCs w:val="24"/>
          <w:lang w:eastAsia="en-GB"/>
        </w:rPr>
        <w:t xml:space="preserve">, kad </w:t>
      </w:r>
      <w:proofErr w:type="spellStart"/>
      <w:r w:rsidR="005E287E">
        <w:rPr>
          <w:rFonts w:ascii="Times New Roman" w:hAnsi="Times New Roman" w:cs="Times New Roman"/>
          <w:color w:val="000000"/>
          <w:sz w:val="24"/>
          <w:szCs w:val="24"/>
          <w:lang w:eastAsia="en-GB"/>
        </w:rPr>
        <w:t>Sekoskaitos</w:t>
      </w:r>
      <w:proofErr w:type="spellEnd"/>
      <w:r w:rsidR="005E287E">
        <w:rPr>
          <w:rFonts w:ascii="Times New Roman" w:hAnsi="Times New Roman" w:cs="Times New Roman"/>
          <w:color w:val="000000"/>
          <w:sz w:val="24"/>
          <w:szCs w:val="24"/>
          <w:lang w:eastAsia="en-GB"/>
        </w:rPr>
        <w:t xml:space="preserve"> prietaisas</w:t>
      </w:r>
      <w:r w:rsidR="004476AE" w:rsidRPr="00DF5DA9">
        <w:rPr>
          <w:rFonts w:ascii="Times New Roman" w:hAnsi="Times New Roman" w:cs="Times New Roman"/>
          <w:color w:val="000000"/>
          <w:sz w:val="24"/>
          <w:szCs w:val="24"/>
          <w:lang w:eastAsia="en-GB"/>
        </w:rPr>
        <w:t xml:space="preserve"> </w:t>
      </w:r>
      <w:r w:rsidR="004476AE" w:rsidRPr="00DF5DA9">
        <w:rPr>
          <w:rFonts w:ascii="Times New Roman" w:eastAsia="Calibri" w:hAnsi="Times New Roman" w:cs="Times New Roman"/>
          <w:color w:val="000000"/>
          <w:sz w:val="24"/>
          <w:szCs w:val="24"/>
          <w:lang w:eastAsia="zh-CN"/>
        </w:rPr>
        <w:t xml:space="preserve">reikalingas </w:t>
      </w:r>
      <w:r w:rsidR="004476AE" w:rsidRPr="00DF5DA9">
        <w:rPr>
          <w:rFonts w:ascii="Times New Roman" w:hAnsi="Times New Roman" w:cs="Times New Roman"/>
          <w:color w:val="000000"/>
          <w:sz w:val="24"/>
          <w:szCs w:val="24"/>
          <w:lang w:eastAsia="zh-CN"/>
        </w:rPr>
        <w:t>mokslinių tyrimų, eksperimentų, studijų ir eksperimentinės plėtros tiksla</w:t>
      </w:r>
      <w:r w:rsidR="00E40339">
        <w:rPr>
          <w:rFonts w:ascii="Times New Roman" w:hAnsi="Times New Roman" w:cs="Times New Roman"/>
          <w:color w:val="000000"/>
          <w:sz w:val="24"/>
          <w:szCs w:val="24"/>
          <w:lang w:eastAsia="zh-CN"/>
        </w:rPr>
        <w:t>ms</w:t>
      </w:r>
      <w:r w:rsidR="004476AE" w:rsidRPr="00DF5DA9">
        <w:rPr>
          <w:rFonts w:ascii="Times New Roman" w:hAnsi="Times New Roman" w:cs="Times New Roman"/>
          <w:color w:val="000000"/>
          <w:sz w:val="24"/>
          <w:szCs w:val="24"/>
          <w:lang w:eastAsia="zh-CN"/>
        </w:rPr>
        <w:t xml:space="preserve"> – įsigijus prietaisą tyrėjams atsiras galimybė vykdyti modernius kompleksinius mokslinius tyrimus Lietuvoje, sumaniosios specializacijos srityje „Sveikatos technologijos ir biotechnologijos“. Taip pat įranga suteiks galimybę vykdyti </w:t>
      </w:r>
      <w:r w:rsidR="004476AE" w:rsidRPr="00DF5DA9">
        <w:rPr>
          <w:rFonts w:ascii="Times New Roman" w:hAnsi="Times New Roman" w:cs="Times New Roman"/>
          <w:noProof/>
          <w:color w:val="000000"/>
          <w:sz w:val="24"/>
          <w:szCs w:val="24"/>
          <w:lang w:eastAsia="zh-CN"/>
        </w:rPr>
        <w:t xml:space="preserve">aukščiausio tarptautinio lygmens kompleksinius mokslinius tyrimus virškinimo sistemos, endokrinologijos, širdies ir kraujagyslių ligų, neuromokslų, onkologijos ir kt. tematikose bei </w:t>
      </w:r>
      <w:r w:rsidR="004476AE" w:rsidRPr="00DF5DA9">
        <w:rPr>
          <w:rFonts w:ascii="Times New Roman" w:hAnsi="Times New Roman" w:cs="Times New Roman"/>
          <w:color w:val="000000"/>
          <w:sz w:val="24"/>
          <w:szCs w:val="24"/>
          <w:lang w:eastAsia="zh-CN"/>
        </w:rPr>
        <w:t xml:space="preserve">kurti naujas technologijas (diagnostika, gydymo priemonės ir pan.), tobulinti protokolus, vystyti naujus metodus (mėginių skyrimo, ruošimo, </w:t>
      </w:r>
      <w:proofErr w:type="spellStart"/>
      <w:r w:rsidR="004476AE" w:rsidRPr="00DF5DA9">
        <w:rPr>
          <w:rFonts w:ascii="Times New Roman" w:hAnsi="Times New Roman" w:cs="Times New Roman"/>
          <w:color w:val="000000"/>
          <w:sz w:val="24"/>
          <w:szCs w:val="24"/>
          <w:lang w:eastAsia="zh-CN"/>
        </w:rPr>
        <w:t>sekoskaitos</w:t>
      </w:r>
      <w:proofErr w:type="spellEnd"/>
      <w:r w:rsidR="004476AE" w:rsidRPr="00DF5DA9">
        <w:rPr>
          <w:rFonts w:ascii="Times New Roman" w:hAnsi="Times New Roman" w:cs="Times New Roman"/>
          <w:color w:val="000000"/>
          <w:sz w:val="24"/>
          <w:szCs w:val="24"/>
          <w:lang w:eastAsia="zh-CN"/>
        </w:rPr>
        <w:t xml:space="preserve"> protokolus, siekiant pagerinti duomenų kokybę), ieškoti naujų diagnostinių ir gydymo potencialių taikinių. Studijų metu </w:t>
      </w:r>
      <w:r w:rsidR="004476AE" w:rsidRPr="00DF5DA9">
        <w:rPr>
          <w:rFonts w:ascii="Times New Roman" w:hAnsi="Times New Roman" w:cs="Times New Roman"/>
          <w:color w:val="000000"/>
          <w:sz w:val="24"/>
          <w:szCs w:val="24"/>
          <w:lang w:eastAsia="zh-CN"/>
        </w:rPr>
        <w:lastRenderedPageBreak/>
        <w:t>studentams b</w:t>
      </w:r>
      <w:r w:rsidR="00E40339">
        <w:rPr>
          <w:rFonts w:ascii="Times New Roman" w:hAnsi="Times New Roman" w:cs="Times New Roman"/>
          <w:color w:val="000000"/>
          <w:sz w:val="24"/>
          <w:szCs w:val="24"/>
          <w:lang w:eastAsia="zh-CN"/>
        </w:rPr>
        <w:t>ūtų</w:t>
      </w:r>
      <w:r w:rsidR="004476AE" w:rsidRPr="00DF5DA9">
        <w:rPr>
          <w:rFonts w:ascii="Times New Roman" w:hAnsi="Times New Roman" w:cs="Times New Roman"/>
          <w:color w:val="000000"/>
          <w:sz w:val="24"/>
          <w:szCs w:val="24"/>
          <w:lang w:eastAsia="zh-CN"/>
        </w:rPr>
        <w:t xml:space="preserve"> sudarytos galimybės naudotis įrenginiu ir vystyti praktinius gebėjimus dalyvaujant projektuose ir vykdant mokslinę veiklą.</w:t>
      </w:r>
    </w:p>
    <w:p w14:paraId="39D175AB" w14:textId="24638D62" w:rsidR="00C56FEB" w:rsidRDefault="00217D83" w:rsidP="00D22C4C">
      <w:pPr>
        <w:tabs>
          <w:tab w:val="left" w:pos="851"/>
        </w:tabs>
        <w:spacing w:after="0" w:line="240" w:lineRule="auto"/>
        <w:jc w:val="both"/>
        <w:rPr>
          <w:rFonts w:ascii="Times New Roman" w:hAnsi="Times New Roman" w:cs="Times New Roman"/>
          <w:color w:val="000000"/>
          <w:sz w:val="24"/>
          <w:szCs w:val="24"/>
          <w:lang w:eastAsia="en-GB"/>
        </w:rPr>
      </w:pPr>
      <w:r>
        <w:rPr>
          <w:rFonts w:ascii="Times New Roman" w:hAnsi="Times New Roman" w:cs="Times New Roman"/>
          <w:sz w:val="24"/>
          <w:szCs w:val="24"/>
        </w:rPr>
        <w:tab/>
      </w:r>
      <w:r w:rsidR="005E287E" w:rsidRPr="00F70E26">
        <w:rPr>
          <w:rFonts w:ascii="Times New Roman" w:hAnsi="Times New Roman" w:cs="Times New Roman"/>
          <w:color w:val="000000"/>
          <w:sz w:val="24"/>
          <w:szCs w:val="24"/>
          <w:lang w:eastAsia="zh-CN"/>
        </w:rPr>
        <w:t xml:space="preserve">Perkančioji organizacija nustatė, kad rinkoje </w:t>
      </w:r>
      <w:r w:rsidR="005E287E" w:rsidRPr="00F70E26">
        <w:rPr>
          <w:rFonts w:ascii="Times New Roman" w:eastAsia="Calibri" w:hAnsi="Times New Roman" w:cs="Times New Roman"/>
          <w:color w:val="000000"/>
          <w:sz w:val="24"/>
          <w:szCs w:val="24"/>
          <w:lang w:eastAsia="en-GB"/>
        </w:rPr>
        <w:t>yra tik vienas gamintojas – „</w:t>
      </w:r>
      <w:proofErr w:type="spellStart"/>
      <w:r w:rsidR="005E287E" w:rsidRPr="00F70E26">
        <w:rPr>
          <w:rFonts w:ascii="Times New Roman" w:eastAsia="Calibri" w:hAnsi="Times New Roman" w:cs="Times New Roman"/>
          <w:color w:val="000000"/>
          <w:sz w:val="24"/>
          <w:szCs w:val="24"/>
          <w:lang w:eastAsia="en-GB"/>
        </w:rPr>
        <w:t>Illumina</w:t>
      </w:r>
      <w:proofErr w:type="spellEnd"/>
      <w:r w:rsidR="005E287E" w:rsidRPr="00F70E26">
        <w:rPr>
          <w:rFonts w:ascii="Times New Roman" w:eastAsia="Calibri" w:hAnsi="Times New Roman" w:cs="Times New Roman"/>
          <w:color w:val="000000"/>
          <w:sz w:val="24"/>
          <w:szCs w:val="24"/>
          <w:lang w:eastAsia="en-GB"/>
        </w:rPr>
        <w:t>“, galintis pa</w:t>
      </w:r>
      <w:r w:rsidR="005E287E">
        <w:rPr>
          <w:rFonts w:ascii="Times New Roman" w:eastAsia="Calibri" w:hAnsi="Times New Roman" w:cs="Times New Roman"/>
          <w:color w:val="000000"/>
          <w:sz w:val="24"/>
          <w:szCs w:val="24"/>
          <w:lang w:eastAsia="en-GB"/>
        </w:rPr>
        <w:t>teikti Perkančiosios organizacijos poreikius atitinkantį</w:t>
      </w:r>
      <w:r w:rsidR="00E40339">
        <w:rPr>
          <w:rFonts w:ascii="Times New Roman" w:eastAsia="Calibri" w:hAnsi="Times New Roman" w:cs="Times New Roman"/>
          <w:color w:val="000000"/>
          <w:sz w:val="24"/>
          <w:szCs w:val="24"/>
          <w:lang w:eastAsia="en-GB"/>
        </w:rPr>
        <w:t xml:space="preserve"> </w:t>
      </w:r>
      <w:proofErr w:type="spellStart"/>
      <w:r w:rsidR="00E40339">
        <w:rPr>
          <w:rFonts w:ascii="Times New Roman" w:eastAsia="Calibri" w:hAnsi="Times New Roman" w:cs="Times New Roman"/>
          <w:color w:val="000000"/>
          <w:sz w:val="24"/>
          <w:szCs w:val="24"/>
          <w:lang w:eastAsia="en-GB"/>
        </w:rPr>
        <w:t>Sekoskaitos</w:t>
      </w:r>
      <w:proofErr w:type="spellEnd"/>
      <w:r w:rsidR="00E40339">
        <w:rPr>
          <w:rFonts w:ascii="Times New Roman" w:eastAsia="Calibri" w:hAnsi="Times New Roman" w:cs="Times New Roman"/>
          <w:color w:val="000000"/>
          <w:sz w:val="24"/>
          <w:szCs w:val="24"/>
          <w:lang w:eastAsia="en-GB"/>
        </w:rPr>
        <w:t xml:space="preserve"> prietaisą</w:t>
      </w:r>
      <w:r w:rsidR="005E287E">
        <w:rPr>
          <w:rFonts w:ascii="Times New Roman" w:eastAsia="Calibri" w:hAnsi="Times New Roman" w:cs="Times New Roman"/>
          <w:color w:val="000000"/>
          <w:sz w:val="24"/>
          <w:szCs w:val="24"/>
          <w:lang w:eastAsia="en-GB"/>
        </w:rPr>
        <w:t xml:space="preserve"> su</w:t>
      </w:r>
      <w:r w:rsidR="005E287E" w:rsidRPr="00F70E26">
        <w:rPr>
          <w:rFonts w:ascii="Times New Roman" w:eastAsia="Calibri" w:hAnsi="Times New Roman" w:cs="Times New Roman"/>
          <w:b/>
          <w:bCs/>
          <w:color w:val="000000"/>
          <w:sz w:val="24"/>
          <w:szCs w:val="24"/>
          <w:lang w:eastAsia="en-GB"/>
        </w:rPr>
        <w:t xml:space="preserve"> </w:t>
      </w:r>
      <w:r w:rsidR="005E287E" w:rsidRPr="00F70E26">
        <w:rPr>
          <w:rFonts w:ascii="Times New Roman" w:hAnsi="Times New Roman" w:cs="Times New Roman"/>
          <w:color w:val="000000"/>
          <w:sz w:val="24"/>
          <w:szCs w:val="24"/>
          <w:lang w:eastAsia="en-GB"/>
        </w:rPr>
        <w:t xml:space="preserve">naujos kartos </w:t>
      </w:r>
      <w:proofErr w:type="spellStart"/>
      <w:r w:rsidR="005E287E" w:rsidRPr="00F70E26">
        <w:rPr>
          <w:rFonts w:ascii="Times New Roman" w:hAnsi="Times New Roman" w:cs="Times New Roman"/>
          <w:color w:val="000000"/>
          <w:sz w:val="24"/>
          <w:szCs w:val="24"/>
          <w:lang w:eastAsia="en-GB"/>
        </w:rPr>
        <w:t>sekoskaitos</w:t>
      </w:r>
      <w:proofErr w:type="spellEnd"/>
      <w:r w:rsidR="005E287E" w:rsidRPr="00F70E26">
        <w:rPr>
          <w:rFonts w:ascii="Times New Roman" w:hAnsi="Times New Roman" w:cs="Times New Roman"/>
          <w:color w:val="000000"/>
          <w:sz w:val="24"/>
          <w:szCs w:val="24"/>
          <w:lang w:eastAsia="en-GB"/>
        </w:rPr>
        <w:t xml:space="preserve"> sistemą</w:t>
      </w:r>
      <w:r w:rsidR="005E287E">
        <w:rPr>
          <w:rFonts w:ascii="Times New Roman" w:hAnsi="Times New Roman" w:cs="Times New Roman"/>
          <w:color w:val="000000"/>
          <w:sz w:val="24"/>
          <w:szCs w:val="24"/>
          <w:lang w:eastAsia="en-GB"/>
        </w:rPr>
        <w:t xml:space="preserve">. </w:t>
      </w:r>
      <w:r w:rsidR="00C56FEB">
        <w:rPr>
          <w:rFonts w:ascii="Times New Roman" w:hAnsi="Times New Roman" w:cs="Times New Roman"/>
          <w:sz w:val="24"/>
          <w:szCs w:val="24"/>
        </w:rPr>
        <w:t xml:space="preserve">Tarnybai pateiktuose dokumentuose nurodoma, kad </w:t>
      </w:r>
      <w:r w:rsidR="00CC1495">
        <w:rPr>
          <w:rFonts w:ascii="Times New Roman" w:hAnsi="Times New Roman" w:cs="Times New Roman"/>
          <w:sz w:val="24"/>
          <w:szCs w:val="24"/>
        </w:rPr>
        <w:t xml:space="preserve">naujos kartos </w:t>
      </w:r>
      <w:proofErr w:type="spellStart"/>
      <w:r w:rsidR="00CC1495">
        <w:rPr>
          <w:rFonts w:ascii="Times New Roman" w:hAnsi="Times New Roman" w:cs="Times New Roman"/>
          <w:sz w:val="24"/>
          <w:szCs w:val="24"/>
        </w:rPr>
        <w:t>sekoskaitos</w:t>
      </w:r>
      <w:proofErr w:type="spellEnd"/>
      <w:r w:rsidR="00CC1495">
        <w:rPr>
          <w:rFonts w:ascii="Times New Roman" w:hAnsi="Times New Roman" w:cs="Times New Roman"/>
          <w:sz w:val="24"/>
          <w:szCs w:val="24"/>
        </w:rPr>
        <w:t xml:space="preserve"> metodas – tai masinis, paralelinis, gilus, jautrus ir specifiškas </w:t>
      </w:r>
      <w:proofErr w:type="spellStart"/>
      <w:r w:rsidR="00CC1495">
        <w:rPr>
          <w:rFonts w:ascii="Times New Roman" w:hAnsi="Times New Roman" w:cs="Times New Roman"/>
          <w:sz w:val="24"/>
          <w:szCs w:val="24"/>
        </w:rPr>
        <w:t>sekoskaitos</w:t>
      </w:r>
      <w:proofErr w:type="spellEnd"/>
      <w:r w:rsidR="00CC1495">
        <w:rPr>
          <w:rFonts w:ascii="Times New Roman" w:hAnsi="Times New Roman" w:cs="Times New Roman"/>
          <w:sz w:val="24"/>
          <w:szCs w:val="24"/>
        </w:rPr>
        <w:t xml:space="preserve"> metodas, kuris leidžia nustatyti mėginyje esančias nukleorūgštis; tai yra naujas metodas – rinkoje pasirodęs prieš 15 metų ir yra nuolat tobulinamas, siekiant pagerinti jo nuskaitomų sekų kokybę, kiekį, ilgį ir sumažinti atliekamų tyrimų kainą</w:t>
      </w:r>
      <w:r w:rsidR="00CC1495">
        <w:rPr>
          <w:rStyle w:val="FootnoteReference"/>
          <w:rFonts w:ascii="Times New Roman" w:hAnsi="Times New Roman" w:cs="Times New Roman"/>
          <w:sz w:val="24"/>
          <w:szCs w:val="24"/>
        </w:rPr>
        <w:footnoteReference w:id="2"/>
      </w:r>
      <w:r w:rsidR="00CC1495">
        <w:rPr>
          <w:rFonts w:ascii="Times New Roman" w:hAnsi="Times New Roman" w:cs="Times New Roman"/>
          <w:sz w:val="24"/>
          <w:szCs w:val="24"/>
        </w:rPr>
        <w:t>.</w:t>
      </w:r>
      <w:r w:rsidR="00092310">
        <w:rPr>
          <w:rFonts w:ascii="Times New Roman" w:hAnsi="Times New Roman" w:cs="Times New Roman"/>
          <w:sz w:val="24"/>
          <w:szCs w:val="24"/>
        </w:rPr>
        <w:t xml:space="preserve"> Perkančioji organizacija nurodo, kad </w:t>
      </w:r>
      <w:proofErr w:type="spellStart"/>
      <w:r w:rsidR="00092310">
        <w:rPr>
          <w:rFonts w:ascii="Times New Roman" w:hAnsi="Times New Roman" w:cs="Times New Roman"/>
          <w:sz w:val="24"/>
          <w:szCs w:val="24"/>
        </w:rPr>
        <w:t>Illumina</w:t>
      </w:r>
      <w:proofErr w:type="spellEnd"/>
      <w:r w:rsidR="00092310">
        <w:rPr>
          <w:rFonts w:ascii="Times New Roman" w:hAnsi="Times New Roman" w:cs="Times New Roman"/>
          <w:sz w:val="24"/>
          <w:szCs w:val="24"/>
        </w:rPr>
        <w:t xml:space="preserve"> „</w:t>
      </w:r>
      <w:proofErr w:type="spellStart"/>
      <w:r w:rsidR="00092310">
        <w:rPr>
          <w:rFonts w:ascii="Times New Roman" w:hAnsi="Times New Roman" w:cs="Times New Roman"/>
          <w:sz w:val="24"/>
          <w:szCs w:val="24"/>
        </w:rPr>
        <w:t>Miseq</w:t>
      </w:r>
      <w:proofErr w:type="spellEnd"/>
      <w:r w:rsidR="00092310">
        <w:rPr>
          <w:rFonts w:ascii="Times New Roman" w:hAnsi="Times New Roman" w:cs="Times New Roman"/>
          <w:sz w:val="24"/>
          <w:szCs w:val="24"/>
        </w:rPr>
        <w:t xml:space="preserve">“ naujos kartos </w:t>
      </w:r>
      <w:proofErr w:type="spellStart"/>
      <w:r w:rsidR="00092310">
        <w:rPr>
          <w:rFonts w:ascii="Times New Roman" w:hAnsi="Times New Roman" w:cs="Times New Roman"/>
          <w:sz w:val="24"/>
          <w:szCs w:val="24"/>
        </w:rPr>
        <w:t>sekoskaitos</w:t>
      </w:r>
      <w:proofErr w:type="spellEnd"/>
      <w:r w:rsidR="00092310">
        <w:rPr>
          <w:rFonts w:ascii="Times New Roman" w:hAnsi="Times New Roman" w:cs="Times New Roman"/>
          <w:sz w:val="24"/>
          <w:szCs w:val="24"/>
        </w:rPr>
        <w:t xml:space="preserve"> įrenginys</w:t>
      </w:r>
      <w:r w:rsidR="004B0567">
        <w:rPr>
          <w:rStyle w:val="FootnoteReference"/>
          <w:rFonts w:ascii="Times New Roman" w:hAnsi="Times New Roman" w:cs="Times New Roman"/>
          <w:sz w:val="24"/>
          <w:szCs w:val="24"/>
        </w:rPr>
        <w:footnoteReference w:id="3"/>
      </w:r>
      <w:r w:rsidR="00092310">
        <w:rPr>
          <w:rFonts w:ascii="Times New Roman" w:hAnsi="Times New Roman" w:cs="Times New Roman"/>
          <w:sz w:val="24"/>
          <w:szCs w:val="24"/>
        </w:rPr>
        <w:t xml:space="preserve"> unikalus tuo, kad geba atlikti abiejų DNR grandinių nuskaitymą (angl. </w:t>
      </w:r>
      <w:proofErr w:type="spellStart"/>
      <w:r w:rsidR="00092310" w:rsidRPr="00092310">
        <w:rPr>
          <w:rFonts w:ascii="Times New Roman" w:hAnsi="Times New Roman" w:cs="Times New Roman"/>
          <w:i/>
          <w:iCs/>
          <w:sz w:val="24"/>
          <w:szCs w:val="24"/>
        </w:rPr>
        <w:t>pair-end</w:t>
      </w:r>
      <w:proofErr w:type="spellEnd"/>
      <w:r w:rsidR="00092310" w:rsidRPr="00092310">
        <w:rPr>
          <w:rFonts w:ascii="Times New Roman" w:hAnsi="Times New Roman" w:cs="Times New Roman"/>
          <w:i/>
          <w:iCs/>
          <w:sz w:val="24"/>
          <w:szCs w:val="24"/>
        </w:rPr>
        <w:t xml:space="preserve"> </w:t>
      </w:r>
      <w:proofErr w:type="spellStart"/>
      <w:r w:rsidR="00092310" w:rsidRPr="00092310">
        <w:rPr>
          <w:rFonts w:ascii="Times New Roman" w:hAnsi="Times New Roman" w:cs="Times New Roman"/>
          <w:i/>
          <w:iCs/>
          <w:sz w:val="24"/>
          <w:szCs w:val="24"/>
        </w:rPr>
        <w:t>sequencing</w:t>
      </w:r>
      <w:proofErr w:type="spellEnd"/>
      <w:r w:rsidR="00092310">
        <w:rPr>
          <w:rFonts w:ascii="Times New Roman" w:hAnsi="Times New Roman" w:cs="Times New Roman"/>
          <w:sz w:val="24"/>
          <w:szCs w:val="24"/>
        </w:rPr>
        <w:t>) ir yra vienintelis pasaulyje įrenginys, kuri</w:t>
      </w:r>
      <w:r w:rsidR="00E40339">
        <w:rPr>
          <w:rFonts w:ascii="Times New Roman" w:hAnsi="Times New Roman" w:cs="Times New Roman"/>
          <w:sz w:val="24"/>
          <w:szCs w:val="24"/>
        </w:rPr>
        <w:t>s</w:t>
      </w:r>
      <w:r w:rsidR="00092310">
        <w:rPr>
          <w:rFonts w:ascii="Times New Roman" w:hAnsi="Times New Roman" w:cs="Times New Roman"/>
          <w:sz w:val="24"/>
          <w:szCs w:val="24"/>
        </w:rPr>
        <w:t xml:space="preserve"> gali pasitelkdamas šią technologiją atlikti santykinai ilgų fragmentų </w:t>
      </w:r>
      <w:proofErr w:type="spellStart"/>
      <w:r w:rsidR="00092310">
        <w:rPr>
          <w:rFonts w:ascii="Times New Roman" w:hAnsi="Times New Roman" w:cs="Times New Roman"/>
          <w:sz w:val="24"/>
          <w:szCs w:val="24"/>
        </w:rPr>
        <w:t>sekoskaitą</w:t>
      </w:r>
      <w:proofErr w:type="spellEnd"/>
      <w:r w:rsidR="00092310">
        <w:rPr>
          <w:rFonts w:ascii="Times New Roman" w:hAnsi="Times New Roman" w:cs="Times New Roman"/>
          <w:sz w:val="24"/>
          <w:szCs w:val="24"/>
        </w:rPr>
        <w:t xml:space="preserve">, t. y. nuskaitant abu DNR galus sugeneruojamas fragmentas, kurio ilgis </w:t>
      </w:r>
      <w:r w:rsidR="00092310" w:rsidRPr="00092310">
        <w:rPr>
          <w:rFonts w:ascii="Times New Roman" w:hAnsi="Times New Roman" w:cs="Times New Roman"/>
          <w:color w:val="000000"/>
          <w:sz w:val="24"/>
          <w:szCs w:val="24"/>
          <w:lang w:eastAsia="en-GB"/>
        </w:rPr>
        <w:t xml:space="preserve">2 × ≥ 300 </w:t>
      </w:r>
      <w:proofErr w:type="spellStart"/>
      <w:r w:rsidR="00092310" w:rsidRPr="00092310">
        <w:rPr>
          <w:rFonts w:ascii="Times New Roman" w:hAnsi="Times New Roman" w:cs="Times New Roman"/>
          <w:color w:val="000000"/>
          <w:sz w:val="24"/>
          <w:szCs w:val="24"/>
          <w:lang w:eastAsia="en-GB"/>
        </w:rPr>
        <w:t>bp</w:t>
      </w:r>
      <w:proofErr w:type="spellEnd"/>
      <w:r w:rsidR="00092310" w:rsidRPr="00092310">
        <w:rPr>
          <w:rFonts w:ascii="Times New Roman" w:hAnsi="Times New Roman" w:cs="Times New Roman"/>
          <w:color w:val="000000"/>
          <w:sz w:val="24"/>
          <w:szCs w:val="24"/>
          <w:lang w:eastAsia="en-GB"/>
        </w:rPr>
        <w:t xml:space="preserve"> (600 </w:t>
      </w:r>
      <w:proofErr w:type="spellStart"/>
      <w:r w:rsidR="00092310" w:rsidRPr="00092310">
        <w:rPr>
          <w:rFonts w:ascii="Times New Roman" w:hAnsi="Times New Roman" w:cs="Times New Roman"/>
          <w:color w:val="000000"/>
          <w:sz w:val="24"/>
          <w:szCs w:val="24"/>
          <w:lang w:eastAsia="en-GB"/>
        </w:rPr>
        <w:t>bp</w:t>
      </w:r>
      <w:proofErr w:type="spellEnd"/>
      <w:r w:rsidR="00092310" w:rsidRPr="00092310">
        <w:rPr>
          <w:rFonts w:ascii="Times New Roman" w:hAnsi="Times New Roman" w:cs="Times New Roman"/>
          <w:color w:val="000000"/>
          <w:sz w:val="24"/>
          <w:szCs w:val="24"/>
          <w:lang w:eastAsia="en-GB"/>
        </w:rPr>
        <w:t>)</w:t>
      </w:r>
      <w:r w:rsidR="00092310">
        <w:rPr>
          <w:rFonts w:ascii="Times New Roman" w:hAnsi="Times New Roman" w:cs="Times New Roman"/>
          <w:color w:val="000000"/>
          <w:sz w:val="24"/>
          <w:szCs w:val="24"/>
          <w:lang w:eastAsia="en-GB"/>
        </w:rPr>
        <w:t xml:space="preserve">. Pažymi, kad įrenginio </w:t>
      </w:r>
      <w:proofErr w:type="spellStart"/>
      <w:r w:rsidR="00092310">
        <w:rPr>
          <w:rFonts w:ascii="Times New Roman" w:hAnsi="Times New Roman" w:cs="Times New Roman"/>
          <w:color w:val="000000"/>
          <w:sz w:val="24"/>
          <w:szCs w:val="24"/>
          <w:lang w:eastAsia="en-GB"/>
        </w:rPr>
        <w:t>sekoskaitos</w:t>
      </w:r>
      <w:proofErr w:type="spellEnd"/>
      <w:r w:rsidR="00092310">
        <w:rPr>
          <w:rFonts w:ascii="Times New Roman" w:hAnsi="Times New Roman" w:cs="Times New Roman"/>
          <w:color w:val="000000"/>
          <w:sz w:val="24"/>
          <w:szCs w:val="24"/>
          <w:lang w:eastAsia="en-GB"/>
        </w:rPr>
        <w:t xml:space="preserve"> technologija yra pagrįsta specifiniais dažais pažymėtų nukleotidų, kurie sustabdo sintezę, grįžtamuoju įjungimu į grandinę</w:t>
      </w:r>
      <w:r w:rsidR="00BB5907">
        <w:rPr>
          <w:rFonts w:ascii="Times New Roman" w:hAnsi="Times New Roman" w:cs="Times New Roman"/>
          <w:color w:val="000000"/>
          <w:sz w:val="24"/>
          <w:szCs w:val="24"/>
          <w:lang w:eastAsia="en-GB"/>
        </w:rPr>
        <w:t>;</w:t>
      </w:r>
      <w:r w:rsidR="00092310">
        <w:rPr>
          <w:rFonts w:ascii="Times New Roman" w:hAnsi="Times New Roman" w:cs="Times New Roman"/>
          <w:color w:val="000000"/>
          <w:sz w:val="24"/>
          <w:szCs w:val="24"/>
          <w:lang w:eastAsia="en-GB"/>
        </w:rPr>
        <w:t xml:space="preserve"> tokia technologija </w:t>
      </w:r>
      <w:r w:rsidR="00BB5907">
        <w:rPr>
          <w:rFonts w:ascii="Times New Roman" w:hAnsi="Times New Roman" w:cs="Times New Roman"/>
          <w:color w:val="000000"/>
          <w:sz w:val="24"/>
          <w:szCs w:val="24"/>
          <w:lang w:eastAsia="en-GB"/>
        </w:rPr>
        <w:t xml:space="preserve">įgalina greitą </w:t>
      </w:r>
      <w:proofErr w:type="spellStart"/>
      <w:r w:rsidR="00BB5907">
        <w:rPr>
          <w:rFonts w:ascii="Times New Roman" w:hAnsi="Times New Roman" w:cs="Times New Roman"/>
          <w:color w:val="000000"/>
          <w:sz w:val="24"/>
          <w:szCs w:val="24"/>
          <w:lang w:eastAsia="en-GB"/>
        </w:rPr>
        <w:t>sekoskaitą</w:t>
      </w:r>
      <w:proofErr w:type="spellEnd"/>
      <w:r w:rsidR="00BB5907">
        <w:rPr>
          <w:rFonts w:ascii="Times New Roman" w:hAnsi="Times New Roman" w:cs="Times New Roman"/>
          <w:color w:val="000000"/>
          <w:sz w:val="24"/>
          <w:szCs w:val="24"/>
          <w:lang w:eastAsia="en-GB"/>
        </w:rPr>
        <w:t xml:space="preserve"> (16 val. 200 </w:t>
      </w:r>
      <w:proofErr w:type="spellStart"/>
      <w:r w:rsidR="00BB5907">
        <w:rPr>
          <w:rFonts w:ascii="Times New Roman" w:hAnsi="Times New Roman" w:cs="Times New Roman"/>
          <w:color w:val="000000"/>
          <w:sz w:val="24"/>
          <w:szCs w:val="24"/>
          <w:lang w:eastAsia="en-GB"/>
        </w:rPr>
        <w:t>sekoskaitos</w:t>
      </w:r>
      <w:proofErr w:type="spellEnd"/>
      <w:r w:rsidR="00BB5907">
        <w:rPr>
          <w:rFonts w:ascii="Times New Roman" w:hAnsi="Times New Roman" w:cs="Times New Roman"/>
          <w:color w:val="000000"/>
          <w:sz w:val="24"/>
          <w:szCs w:val="24"/>
          <w:lang w:eastAsia="en-GB"/>
        </w:rPr>
        <w:t xml:space="preserve"> ciklams) ir beveik dvigubai mažesnį klaidų dažnį lyginant su </w:t>
      </w:r>
      <w:proofErr w:type="spellStart"/>
      <w:r w:rsidR="00BB5907">
        <w:rPr>
          <w:rFonts w:ascii="Times New Roman" w:hAnsi="Times New Roman" w:cs="Times New Roman"/>
          <w:color w:val="000000"/>
          <w:sz w:val="24"/>
          <w:szCs w:val="24"/>
          <w:lang w:eastAsia="en-GB"/>
        </w:rPr>
        <w:t>sekoskaita</w:t>
      </w:r>
      <w:proofErr w:type="spellEnd"/>
      <w:r w:rsidR="00BB5907">
        <w:rPr>
          <w:rFonts w:ascii="Times New Roman" w:hAnsi="Times New Roman" w:cs="Times New Roman"/>
          <w:color w:val="000000"/>
          <w:sz w:val="24"/>
          <w:szCs w:val="24"/>
          <w:lang w:eastAsia="en-GB"/>
        </w:rPr>
        <w:t xml:space="preserve"> puslaidininkių pagrindu</w:t>
      </w:r>
      <w:r w:rsidR="00BB5907">
        <w:rPr>
          <w:rStyle w:val="FootnoteReference"/>
          <w:rFonts w:ascii="Times New Roman" w:hAnsi="Times New Roman" w:cs="Times New Roman"/>
          <w:color w:val="000000"/>
          <w:sz w:val="24"/>
          <w:szCs w:val="24"/>
          <w:lang w:eastAsia="en-GB"/>
        </w:rPr>
        <w:footnoteReference w:id="4"/>
      </w:r>
      <w:r w:rsidR="00BB5907">
        <w:rPr>
          <w:rFonts w:ascii="Times New Roman" w:hAnsi="Times New Roman" w:cs="Times New Roman"/>
          <w:color w:val="000000"/>
          <w:sz w:val="24"/>
          <w:szCs w:val="24"/>
          <w:lang w:eastAsia="en-GB"/>
        </w:rPr>
        <w:t xml:space="preserve">. Perkančiosios organizacijos tvirtinimu, </w:t>
      </w:r>
      <w:proofErr w:type="spellStart"/>
      <w:r w:rsidR="00BB5907">
        <w:rPr>
          <w:rFonts w:ascii="Times New Roman" w:hAnsi="Times New Roman" w:cs="Times New Roman"/>
          <w:color w:val="000000"/>
          <w:sz w:val="24"/>
          <w:szCs w:val="24"/>
          <w:lang w:eastAsia="en-GB"/>
        </w:rPr>
        <w:t>sekoskaitos</w:t>
      </w:r>
      <w:proofErr w:type="spellEnd"/>
      <w:r w:rsidR="00BB5907">
        <w:rPr>
          <w:rFonts w:ascii="Times New Roman" w:hAnsi="Times New Roman" w:cs="Times New Roman"/>
          <w:color w:val="000000"/>
          <w:sz w:val="24"/>
          <w:szCs w:val="24"/>
          <w:lang w:eastAsia="en-GB"/>
        </w:rPr>
        <w:t xml:space="preserve"> klaidų dažnis gali lemti DNR grandinės variantų įvertinimo patikimumą ir interpretaciją</w:t>
      </w:r>
      <w:r w:rsidR="00BB5907">
        <w:rPr>
          <w:rStyle w:val="FootnoteReference"/>
          <w:rFonts w:ascii="Times New Roman" w:hAnsi="Times New Roman" w:cs="Times New Roman"/>
          <w:color w:val="000000"/>
          <w:sz w:val="24"/>
          <w:szCs w:val="24"/>
          <w:lang w:eastAsia="en-GB"/>
        </w:rPr>
        <w:footnoteReference w:id="5"/>
      </w:r>
      <w:r w:rsidR="00BB5907">
        <w:rPr>
          <w:rFonts w:ascii="Times New Roman" w:hAnsi="Times New Roman" w:cs="Times New Roman"/>
          <w:color w:val="000000"/>
          <w:sz w:val="24"/>
          <w:szCs w:val="24"/>
          <w:lang w:eastAsia="en-GB"/>
        </w:rPr>
        <w:t xml:space="preserve">, todėl šis </w:t>
      </w:r>
      <w:proofErr w:type="spellStart"/>
      <w:r w:rsidR="00C255DD">
        <w:rPr>
          <w:rFonts w:ascii="Times New Roman" w:hAnsi="Times New Roman" w:cs="Times New Roman"/>
          <w:color w:val="000000"/>
          <w:sz w:val="24"/>
          <w:szCs w:val="24"/>
          <w:lang w:eastAsia="en-GB"/>
        </w:rPr>
        <w:t>Sekoskaitos</w:t>
      </w:r>
      <w:proofErr w:type="spellEnd"/>
      <w:r w:rsidR="00C255DD">
        <w:rPr>
          <w:rFonts w:ascii="Times New Roman" w:hAnsi="Times New Roman" w:cs="Times New Roman"/>
          <w:color w:val="000000"/>
          <w:sz w:val="24"/>
          <w:szCs w:val="24"/>
          <w:lang w:eastAsia="en-GB"/>
        </w:rPr>
        <w:t xml:space="preserve"> prietaisas </w:t>
      </w:r>
      <w:r w:rsidR="00BB5907">
        <w:rPr>
          <w:rFonts w:ascii="Times New Roman" w:hAnsi="Times New Roman" w:cs="Times New Roman"/>
          <w:color w:val="000000"/>
          <w:sz w:val="24"/>
          <w:szCs w:val="24"/>
          <w:lang w:eastAsia="en-GB"/>
        </w:rPr>
        <w:t xml:space="preserve">yra plačiai naudojamas </w:t>
      </w:r>
      <w:proofErr w:type="spellStart"/>
      <w:r w:rsidR="00BB5907">
        <w:rPr>
          <w:rFonts w:ascii="Times New Roman" w:hAnsi="Times New Roman" w:cs="Times New Roman"/>
          <w:color w:val="000000"/>
          <w:sz w:val="24"/>
          <w:szCs w:val="24"/>
          <w:lang w:eastAsia="en-GB"/>
        </w:rPr>
        <w:t>mikrobiomo</w:t>
      </w:r>
      <w:proofErr w:type="spellEnd"/>
      <w:r w:rsidR="00BB5907">
        <w:rPr>
          <w:rFonts w:ascii="Times New Roman" w:hAnsi="Times New Roman" w:cs="Times New Roman"/>
          <w:color w:val="000000"/>
          <w:sz w:val="24"/>
          <w:szCs w:val="24"/>
          <w:lang w:eastAsia="en-GB"/>
        </w:rPr>
        <w:t xml:space="preserve"> tyrimuose nuo aplinkos iki žmogaus ir </w:t>
      </w:r>
      <w:r w:rsidR="00532C61">
        <w:rPr>
          <w:rFonts w:ascii="Times New Roman" w:hAnsi="Times New Roman" w:cs="Times New Roman"/>
          <w:color w:val="000000"/>
          <w:sz w:val="24"/>
          <w:szCs w:val="24"/>
          <w:lang w:eastAsia="en-GB"/>
        </w:rPr>
        <w:t>klinikinių mėginių analizės</w:t>
      </w:r>
      <w:r w:rsidR="00532C61">
        <w:rPr>
          <w:rStyle w:val="FootnoteReference"/>
          <w:rFonts w:ascii="Times New Roman" w:hAnsi="Times New Roman" w:cs="Times New Roman"/>
          <w:color w:val="000000"/>
          <w:sz w:val="24"/>
          <w:szCs w:val="24"/>
          <w:lang w:eastAsia="en-GB"/>
        </w:rPr>
        <w:footnoteReference w:id="6"/>
      </w:r>
      <w:r w:rsidR="00532C61">
        <w:rPr>
          <w:rFonts w:ascii="Times New Roman" w:hAnsi="Times New Roman" w:cs="Times New Roman"/>
          <w:color w:val="000000"/>
          <w:sz w:val="24"/>
          <w:szCs w:val="24"/>
          <w:lang w:eastAsia="en-GB"/>
        </w:rPr>
        <w:t xml:space="preserve">. Nurodoma, kad šio </w:t>
      </w:r>
      <w:proofErr w:type="spellStart"/>
      <w:r w:rsidR="00C255DD">
        <w:rPr>
          <w:rFonts w:ascii="Times New Roman" w:hAnsi="Times New Roman" w:cs="Times New Roman"/>
          <w:color w:val="000000"/>
          <w:sz w:val="24"/>
          <w:szCs w:val="24"/>
          <w:lang w:eastAsia="en-GB"/>
        </w:rPr>
        <w:t>Sekoskaitos</w:t>
      </w:r>
      <w:proofErr w:type="spellEnd"/>
      <w:r w:rsidR="00C255DD">
        <w:rPr>
          <w:rFonts w:ascii="Times New Roman" w:hAnsi="Times New Roman" w:cs="Times New Roman"/>
          <w:color w:val="000000"/>
          <w:sz w:val="24"/>
          <w:szCs w:val="24"/>
          <w:lang w:eastAsia="en-GB"/>
        </w:rPr>
        <w:t xml:space="preserve"> prietaiso platus naudoj</w:t>
      </w:r>
      <w:r w:rsidR="00D52942">
        <w:rPr>
          <w:rFonts w:ascii="Times New Roman" w:hAnsi="Times New Roman" w:cs="Times New Roman"/>
          <w:color w:val="000000"/>
          <w:sz w:val="24"/>
          <w:szCs w:val="24"/>
          <w:lang w:eastAsia="en-GB"/>
        </w:rPr>
        <w:t>i</w:t>
      </w:r>
      <w:r w:rsidR="00C255DD">
        <w:rPr>
          <w:rFonts w:ascii="Times New Roman" w:hAnsi="Times New Roman" w:cs="Times New Roman"/>
          <w:color w:val="000000"/>
          <w:sz w:val="24"/>
          <w:szCs w:val="24"/>
          <w:lang w:eastAsia="en-GB"/>
        </w:rPr>
        <w:t>mas</w:t>
      </w:r>
      <w:r w:rsidR="00532C61">
        <w:rPr>
          <w:rFonts w:ascii="Times New Roman" w:hAnsi="Times New Roman" w:cs="Times New Roman"/>
          <w:color w:val="000000"/>
          <w:sz w:val="24"/>
          <w:szCs w:val="24"/>
          <w:lang w:eastAsia="en-GB"/>
        </w:rPr>
        <w:t xml:space="preserve"> </w:t>
      </w:r>
      <w:r w:rsidR="00013ADA">
        <w:rPr>
          <w:rFonts w:ascii="Times New Roman" w:hAnsi="Times New Roman" w:cs="Times New Roman"/>
          <w:color w:val="000000"/>
          <w:sz w:val="24"/>
          <w:szCs w:val="24"/>
          <w:lang w:eastAsia="en-GB"/>
        </w:rPr>
        <w:t xml:space="preserve">užtikrina galimybę lanksčiai pritaikyti nukleorūgščių </w:t>
      </w:r>
      <w:proofErr w:type="spellStart"/>
      <w:r w:rsidR="00013ADA">
        <w:rPr>
          <w:rFonts w:ascii="Times New Roman" w:hAnsi="Times New Roman" w:cs="Times New Roman"/>
          <w:color w:val="000000"/>
          <w:sz w:val="24"/>
          <w:szCs w:val="24"/>
          <w:lang w:eastAsia="en-GB"/>
        </w:rPr>
        <w:t>sekoskaitą</w:t>
      </w:r>
      <w:proofErr w:type="spellEnd"/>
      <w:r w:rsidR="00013ADA">
        <w:rPr>
          <w:rFonts w:ascii="Times New Roman" w:hAnsi="Times New Roman" w:cs="Times New Roman"/>
          <w:color w:val="000000"/>
          <w:sz w:val="24"/>
          <w:szCs w:val="24"/>
          <w:lang w:eastAsia="en-GB"/>
        </w:rPr>
        <w:t xml:space="preserve"> savo reikmėms dėl egzistuojančių optimizuotų eksperimentinių protokolų</w:t>
      </w:r>
      <w:r w:rsidR="00013ADA">
        <w:rPr>
          <w:rStyle w:val="FootnoteReference"/>
          <w:rFonts w:ascii="Times New Roman" w:hAnsi="Times New Roman" w:cs="Times New Roman"/>
          <w:color w:val="000000"/>
          <w:sz w:val="24"/>
          <w:szCs w:val="24"/>
          <w:lang w:eastAsia="en-GB"/>
        </w:rPr>
        <w:footnoteReference w:id="7"/>
      </w:r>
      <w:r w:rsidR="00013ADA">
        <w:rPr>
          <w:rFonts w:ascii="Times New Roman" w:hAnsi="Times New Roman" w:cs="Times New Roman"/>
          <w:color w:val="000000"/>
          <w:sz w:val="24"/>
          <w:szCs w:val="24"/>
          <w:lang w:eastAsia="en-GB"/>
        </w:rPr>
        <w:t xml:space="preserve"> bei </w:t>
      </w:r>
      <w:proofErr w:type="spellStart"/>
      <w:r w:rsidR="00013ADA">
        <w:rPr>
          <w:rFonts w:ascii="Times New Roman" w:hAnsi="Times New Roman" w:cs="Times New Roman"/>
          <w:color w:val="000000"/>
          <w:sz w:val="24"/>
          <w:szCs w:val="24"/>
          <w:lang w:eastAsia="en-GB"/>
        </w:rPr>
        <w:t>bioinformatinių</w:t>
      </w:r>
      <w:proofErr w:type="spellEnd"/>
      <w:r w:rsidR="00013ADA">
        <w:rPr>
          <w:rFonts w:ascii="Times New Roman" w:hAnsi="Times New Roman" w:cs="Times New Roman"/>
          <w:color w:val="000000"/>
          <w:sz w:val="24"/>
          <w:szCs w:val="24"/>
          <w:lang w:eastAsia="en-GB"/>
        </w:rPr>
        <w:t xml:space="preserve"> duomenų analizės įrankių</w:t>
      </w:r>
      <w:r w:rsidR="00013ADA">
        <w:rPr>
          <w:rStyle w:val="FootnoteReference"/>
          <w:rFonts w:ascii="Times New Roman" w:hAnsi="Times New Roman" w:cs="Times New Roman"/>
          <w:color w:val="000000"/>
          <w:sz w:val="24"/>
          <w:szCs w:val="24"/>
          <w:lang w:eastAsia="en-GB"/>
        </w:rPr>
        <w:footnoteReference w:id="8"/>
      </w:r>
      <w:r w:rsidR="00013ADA">
        <w:rPr>
          <w:rFonts w:ascii="Times New Roman" w:hAnsi="Times New Roman" w:cs="Times New Roman"/>
          <w:color w:val="000000"/>
          <w:sz w:val="24"/>
          <w:szCs w:val="24"/>
          <w:lang w:eastAsia="en-GB"/>
        </w:rPr>
        <w:t>.</w:t>
      </w:r>
    </w:p>
    <w:p w14:paraId="43B5E946" w14:textId="4BF0DEE2" w:rsidR="00925632" w:rsidRDefault="00013ADA" w:rsidP="00C02D64">
      <w:pPr>
        <w:tabs>
          <w:tab w:val="left" w:pos="851"/>
        </w:tabs>
        <w:spacing w:after="0" w:line="240" w:lineRule="auto"/>
        <w:jc w:val="both"/>
        <w:rPr>
          <w:rFonts w:ascii="Times New Roman" w:hAnsi="Times New Roman" w:cs="Times New Roman"/>
          <w:color w:val="000000"/>
          <w:sz w:val="24"/>
          <w:szCs w:val="24"/>
          <w:lang w:eastAsia="en-GB"/>
        </w:rPr>
      </w:pPr>
      <w:r w:rsidRPr="00C02D64">
        <w:rPr>
          <w:rFonts w:ascii="Times New Roman" w:hAnsi="Times New Roman" w:cs="Times New Roman"/>
          <w:color w:val="000000"/>
          <w:sz w:val="24"/>
          <w:szCs w:val="24"/>
          <w:lang w:eastAsia="en-GB"/>
        </w:rPr>
        <w:tab/>
      </w:r>
      <w:r w:rsidR="00CC2ED2" w:rsidRPr="00C02D64">
        <w:rPr>
          <w:rFonts w:ascii="Times New Roman" w:hAnsi="Times New Roman" w:cs="Times New Roman"/>
          <w:color w:val="000000"/>
          <w:sz w:val="24"/>
          <w:szCs w:val="24"/>
          <w:lang w:eastAsia="en-GB"/>
        </w:rPr>
        <w:t xml:space="preserve">Perkančioji organizacija Tarnybai pateiktuose dokumentuose nurodo, kad </w:t>
      </w:r>
      <w:proofErr w:type="spellStart"/>
      <w:r w:rsidR="00CC2ED2" w:rsidRPr="00C02D64">
        <w:rPr>
          <w:rFonts w:ascii="Times New Roman" w:hAnsi="Times New Roman" w:cs="Times New Roman"/>
          <w:color w:val="000000"/>
          <w:sz w:val="24"/>
          <w:szCs w:val="24"/>
          <w:lang w:eastAsia="en-GB"/>
        </w:rPr>
        <w:t>mikrobiomo</w:t>
      </w:r>
      <w:proofErr w:type="spellEnd"/>
      <w:r w:rsidR="00CC2ED2" w:rsidRPr="00C02D64">
        <w:rPr>
          <w:rFonts w:ascii="Times New Roman" w:hAnsi="Times New Roman" w:cs="Times New Roman"/>
          <w:color w:val="000000"/>
          <w:sz w:val="24"/>
          <w:szCs w:val="24"/>
          <w:lang w:eastAsia="en-GB"/>
        </w:rPr>
        <w:t xml:space="preserve"> tyrimuose kaip „auksinis“ standartas atliekamas 16S </w:t>
      </w:r>
      <w:proofErr w:type="spellStart"/>
      <w:r w:rsidR="00CC2ED2" w:rsidRPr="00C02D64">
        <w:rPr>
          <w:rFonts w:ascii="Times New Roman" w:hAnsi="Times New Roman" w:cs="Times New Roman"/>
          <w:color w:val="000000"/>
          <w:sz w:val="24"/>
          <w:szCs w:val="24"/>
          <w:lang w:eastAsia="en-GB"/>
        </w:rPr>
        <w:t>rRNR</w:t>
      </w:r>
      <w:proofErr w:type="spellEnd"/>
      <w:r w:rsidR="00CC2ED2" w:rsidRPr="00C02D64">
        <w:rPr>
          <w:rFonts w:ascii="Times New Roman" w:hAnsi="Times New Roman" w:cs="Times New Roman"/>
          <w:color w:val="000000"/>
          <w:sz w:val="24"/>
          <w:szCs w:val="24"/>
          <w:lang w:eastAsia="en-GB"/>
        </w:rPr>
        <w:t xml:space="preserve"> geno </w:t>
      </w:r>
      <w:proofErr w:type="spellStart"/>
      <w:r w:rsidR="00CC2ED2" w:rsidRPr="00C02D64">
        <w:rPr>
          <w:rFonts w:ascii="Times New Roman" w:hAnsi="Times New Roman" w:cs="Times New Roman"/>
          <w:color w:val="000000"/>
          <w:sz w:val="24"/>
          <w:szCs w:val="24"/>
          <w:lang w:eastAsia="en-GB"/>
        </w:rPr>
        <w:t>sekoskaita</w:t>
      </w:r>
      <w:proofErr w:type="spellEnd"/>
      <w:r w:rsidR="00CC2ED2" w:rsidRPr="00C02D64">
        <w:rPr>
          <w:rStyle w:val="FootnoteReference"/>
          <w:rFonts w:ascii="Times New Roman" w:hAnsi="Times New Roman" w:cs="Times New Roman"/>
          <w:color w:val="000000"/>
          <w:sz w:val="24"/>
          <w:szCs w:val="24"/>
          <w:lang w:eastAsia="en-GB"/>
        </w:rPr>
        <w:footnoteReference w:id="9"/>
      </w:r>
      <w:r w:rsidR="00CC2ED2" w:rsidRPr="00C02D64">
        <w:rPr>
          <w:rFonts w:ascii="Times New Roman" w:hAnsi="Times New Roman" w:cs="Times New Roman"/>
          <w:color w:val="000000"/>
          <w:sz w:val="24"/>
          <w:szCs w:val="24"/>
          <w:lang w:eastAsia="en-GB"/>
        </w:rPr>
        <w:t xml:space="preserve">; šis genas randamas visose bakterijose ir yra </w:t>
      </w:r>
      <w:r w:rsidR="00CC2ED2" w:rsidRPr="00C02D64">
        <w:rPr>
          <w:rFonts w:ascii="Times New Roman" w:hAnsi="Times New Roman" w:cs="Times New Roman"/>
          <w:color w:val="000000"/>
          <w:sz w:val="24"/>
          <w:szCs w:val="24"/>
          <w:shd w:val="clear" w:color="auto" w:fill="FFFFFF"/>
          <w:lang w:eastAsia="en-GB"/>
        </w:rPr>
        <w:t>tarsi m</w:t>
      </w:r>
      <w:r w:rsidR="00CC2ED2" w:rsidRPr="00C02D64">
        <w:rPr>
          <w:rFonts w:ascii="Times New Roman" w:hAnsi="Times New Roman" w:cs="Times New Roman"/>
          <w:color w:val="000000"/>
          <w:sz w:val="24"/>
          <w:szCs w:val="24"/>
          <w:lang w:eastAsia="en-GB"/>
        </w:rPr>
        <w:t xml:space="preserve">olekulinis evoliucijos žymuo – </w:t>
      </w:r>
      <w:proofErr w:type="spellStart"/>
      <w:r w:rsidR="00CC2ED2" w:rsidRPr="00C02D64">
        <w:rPr>
          <w:rFonts w:ascii="Times New Roman" w:hAnsi="Times New Roman" w:cs="Times New Roman"/>
          <w:color w:val="000000"/>
          <w:sz w:val="24"/>
          <w:szCs w:val="24"/>
          <w:lang w:eastAsia="en-GB"/>
        </w:rPr>
        <w:t>rDNR</w:t>
      </w:r>
      <w:proofErr w:type="spellEnd"/>
      <w:r w:rsidR="00CC2ED2" w:rsidRPr="00C02D64">
        <w:rPr>
          <w:rFonts w:ascii="Times New Roman" w:hAnsi="Times New Roman" w:cs="Times New Roman"/>
          <w:color w:val="000000"/>
          <w:sz w:val="24"/>
          <w:szCs w:val="24"/>
          <w:lang w:eastAsia="en-GB"/>
        </w:rPr>
        <w:t xml:space="preserve"> sekų panašumas koreliuoja su evoliuciniu ryšiu tarp bakterijų rūšių. Dažniausiai tyrimuose yra tiriamos 16S </w:t>
      </w:r>
      <w:proofErr w:type="spellStart"/>
      <w:r w:rsidR="00CC2ED2" w:rsidRPr="00C02D64">
        <w:rPr>
          <w:rFonts w:ascii="Times New Roman" w:hAnsi="Times New Roman" w:cs="Times New Roman"/>
          <w:color w:val="000000"/>
          <w:sz w:val="24"/>
          <w:szCs w:val="24"/>
          <w:lang w:eastAsia="en-GB"/>
        </w:rPr>
        <w:t>rRNR</w:t>
      </w:r>
      <w:proofErr w:type="spellEnd"/>
      <w:r w:rsidR="00CC2ED2" w:rsidRPr="00C02D64">
        <w:rPr>
          <w:rFonts w:ascii="Times New Roman" w:hAnsi="Times New Roman" w:cs="Times New Roman"/>
          <w:color w:val="000000"/>
          <w:sz w:val="24"/>
          <w:szCs w:val="24"/>
          <w:lang w:eastAsia="en-GB"/>
        </w:rPr>
        <w:t xml:space="preserve"> geno </w:t>
      </w:r>
      <w:proofErr w:type="spellStart"/>
      <w:r w:rsidR="00CC2ED2" w:rsidRPr="00C02D64">
        <w:rPr>
          <w:rFonts w:ascii="Times New Roman" w:hAnsi="Times New Roman" w:cs="Times New Roman"/>
          <w:color w:val="000000"/>
          <w:sz w:val="24"/>
          <w:szCs w:val="24"/>
          <w:lang w:eastAsia="en-GB"/>
        </w:rPr>
        <w:t>variabilių</w:t>
      </w:r>
      <w:proofErr w:type="spellEnd"/>
      <w:r w:rsidR="00CC2ED2" w:rsidRPr="00C02D64">
        <w:rPr>
          <w:rFonts w:ascii="Times New Roman" w:hAnsi="Times New Roman" w:cs="Times New Roman"/>
          <w:color w:val="000000"/>
          <w:sz w:val="24"/>
          <w:szCs w:val="24"/>
          <w:lang w:eastAsia="en-GB"/>
        </w:rPr>
        <w:t xml:space="preserve"> regionų kombinacijos</w:t>
      </w:r>
      <w:r w:rsidR="007A29EF">
        <w:rPr>
          <w:rFonts w:ascii="Times New Roman" w:hAnsi="Times New Roman" w:cs="Times New Roman"/>
          <w:color w:val="000000"/>
          <w:sz w:val="24"/>
          <w:szCs w:val="24"/>
          <w:lang w:eastAsia="en-GB"/>
        </w:rPr>
        <w:t>, o</w:t>
      </w:r>
      <w:r w:rsidR="00CC2ED2" w:rsidRPr="00C02D64">
        <w:rPr>
          <w:rFonts w:ascii="Times New Roman" w:hAnsi="Times New Roman" w:cs="Times New Roman"/>
          <w:color w:val="000000"/>
          <w:sz w:val="24"/>
          <w:szCs w:val="24"/>
          <w:lang w:eastAsia="en-GB"/>
        </w:rPr>
        <w:t xml:space="preserve"> </w:t>
      </w:r>
      <w:r w:rsidR="00925632" w:rsidRPr="00C02D64">
        <w:rPr>
          <w:rFonts w:ascii="Times New Roman" w:hAnsi="Times New Roman" w:cs="Times New Roman"/>
          <w:color w:val="000000"/>
          <w:sz w:val="24"/>
          <w:szCs w:val="24"/>
          <w:lang w:eastAsia="en-GB"/>
        </w:rPr>
        <w:t xml:space="preserve">šie </w:t>
      </w:r>
      <w:proofErr w:type="spellStart"/>
      <w:r w:rsidR="00925632" w:rsidRPr="00C02D64">
        <w:rPr>
          <w:rFonts w:ascii="Times New Roman" w:hAnsi="Times New Roman" w:cs="Times New Roman"/>
          <w:color w:val="000000"/>
          <w:sz w:val="24"/>
          <w:szCs w:val="24"/>
          <w:lang w:eastAsia="en-GB"/>
        </w:rPr>
        <w:t>sekoskaitos</w:t>
      </w:r>
      <w:proofErr w:type="spellEnd"/>
      <w:r w:rsidR="00925632" w:rsidRPr="00C02D64">
        <w:rPr>
          <w:rFonts w:ascii="Times New Roman" w:hAnsi="Times New Roman" w:cs="Times New Roman"/>
          <w:color w:val="000000"/>
          <w:sz w:val="24"/>
          <w:szCs w:val="24"/>
          <w:lang w:eastAsia="en-GB"/>
        </w:rPr>
        <w:t xml:space="preserve"> duomenys toliau yra naudojami filogenetinėje bakterijų analizėje ir leidžia įvertinti kokios bakterijos yra tiriamajame mėginyje. Filogenetinei duomenų analizei yra naudojamos duomenų bazės, kuriose yra sukauptos ir nuolat atnaujinamos bakterijų sekos. </w:t>
      </w:r>
      <w:r w:rsidR="00275F28" w:rsidRPr="00C02D64">
        <w:rPr>
          <w:rFonts w:ascii="Times New Roman" w:hAnsi="Times New Roman" w:cs="Times New Roman"/>
          <w:color w:val="000000"/>
          <w:sz w:val="24"/>
          <w:szCs w:val="24"/>
          <w:lang w:eastAsia="en-GB"/>
        </w:rPr>
        <w:t xml:space="preserve">Nurodoma, kad </w:t>
      </w:r>
      <w:proofErr w:type="spellStart"/>
      <w:r w:rsidR="00275F28" w:rsidRPr="00C02D64">
        <w:rPr>
          <w:rFonts w:ascii="Times New Roman" w:hAnsi="Times New Roman" w:cs="Times New Roman"/>
          <w:color w:val="000000"/>
          <w:sz w:val="24"/>
          <w:szCs w:val="24"/>
          <w:lang w:eastAsia="en-GB"/>
        </w:rPr>
        <w:t>s</w:t>
      </w:r>
      <w:r w:rsidR="00925632" w:rsidRPr="00C02D64">
        <w:rPr>
          <w:rFonts w:ascii="Times New Roman" w:hAnsi="Times New Roman" w:cs="Times New Roman"/>
          <w:color w:val="000000"/>
          <w:sz w:val="24"/>
          <w:szCs w:val="24"/>
          <w:lang w:eastAsia="en-GB"/>
        </w:rPr>
        <w:t>ekoskaitos</w:t>
      </w:r>
      <w:proofErr w:type="spellEnd"/>
      <w:r w:rsidR="00925632" w:rsidRPr="00C02D64">
        <w:rPr>
          <w:rFonts w:ascii="Times New Roman" w:hAnsi="Times New Roman" w:cs="Times New Roman"/>
          <w:color w:val="000000"/>
          <w:sz w:val="24"/>
          <w:szCs w:val="24"/>
          <w:lang w:eastAsia="en-GB"/>
        </w:rPr>
        <w:t xml:space="preserve"> metu sugeneruoti duomenys yra lyginami su šiose duomenų bazėse esančiomis sekomis ir tokiu būdu yra nustatoma į kokią bakterijų seką turima seka yra panaši ir pagal tai yra nustatoma kokia tai bakterija</w:t>
      </w:r>
      <w:r w:rsidR="00275F28" w:rsidRPr="00C02D64">
        <w:rPr>
          <w:rStyle w:val="FootnoteReference"/>
          <w:rFonts w:ascii="Times New Roman" w:hAnsi="Times New Roman" w:cs="Times New Roman"/>
          <w:color w:val="000000"/>
          <w:sz w:val="24"/>
          <w:szCs w:val="24"/>
          <w:lang w:eastAsia="en-GB"/>
        </w:rPr>
        <w:footnoteReference w:id="10"/>
      </w:r>
      <w:r w:rsidR="00925632" w:rsidRPr="00C02D64">
        <w:rPr>
          <w:rFonts w:ascii="Times New Roman" w:hAnsi="Times New Roman" w:cs="Times New Roman"/>
          <w:color w:val="000000"/>
          <w:sz w:val="24"/>
          <w:szCs w:val="24"/>
          <w:lang w:eastAsia="en-GB"/>
        </w:rPr>
        <w:t xml:space="preserve">. </w:t>
      </w:r>
      <w:r w:rsidR="00C02D64" w:rsidRPr="00C02D64">
        <w:rPr>
          <w:rFonts w:ascii="Times New Roman" w:hAnsi="Times New Roman" w:cs="Times New Roman"/>
          <w:color w:val="000000"/>
          <w:sz w:val="24"/>
          <w:szCs w:val="24"/>
          <w:lang w:eastAsia="en-GB"/>
        </w:rPr>
        <w:t>Perkančioji organizacija pažymi, jog t</w:t>
      </w:r>
      <w:r w:rsidR="00925632" w:rsidRPr="00C02D64">
        <w:rPr>
          <w:rFonts w:ascii="Times New Roman" w:hAnsi="Times New Roman" w:cs="Times New Roman"/>
          <w:color w:val="000000"/>
          <w:sz w:val="24"/>
          <w:szCs w:val="24"/>
          <w:lang w:eastAsia="en-GB"/>
        </w:rPr>
        <w:t xml:space="preserve">inkamas 16S </w:t>
      </w:r>
      <w:proofErr w:type="spellStart"/>
      <w:r w:rsidR="00925632" w:rsidRPr="00C02D64">
        <w:rPr>
          <w:rFonts w:ascii="Times New Roman" w:hAnsi="Times New Roman" w:cs="Times New Roman"/>
          <w:color w:val="000000"/>
          <w:sz w:val="24"/>
          <w:szCs w:val="24"/>
          <w:lang w:eastAsia="en-GB"/>
        </w:rPr>
        <w:t>rRNR</w:t>
      </w:r>
      <w:proofErr w:type="spellEnd"/>
      <w:r w:rsidR="00925632" w:rsidRPr="00C02D64">
        <w:rPr>
          <w:rFonts w:ascii="Times New Roman" w:hAnsi="Times New Roman" w:cs="Times New Roman"/>
          <w:color w:val="000000"/>
          <w:sz w:val="24"/>
          <w:szCs w:val="24"/>
          <w:lang w:eastAsia="en-GB"/>
        </w:rPr>
        <w:t xml:space="preserve"> geno </w:t>
      </w:r>
      <w:proofErr w:type="spellStart"/>
      <w:r w:rsidR="00925632" w:rsidRPr="00C02D64">
        <w:rPr>
          <w:rFonts w:ascii="Times New Roman" w:hAnsi="Times New Roman" w:cs="Times New Roman"/>
          <w:color w:val="000000"/>
          <w:sz w:val="24"/>
          <w:szCs w:val="24"/>
          <w:lang w:eastAsia="en-GB"/>
        </w:rPr>
        <w:t>variabilaus</w:t>
      </w:r>
      <w:proofErr w:type="spellEnd"/>
      <w:r w:rsidR="00925632" w:rsidRPr="00C02D64">
        <w:rPr>
          <w:rFonts w:ascii="Times New Roman" w:hAnsi="Times New Roman" w:cs="Times New Roman"/>
          <w:color w:val="000000"/>
          <w:sz w:val="24"/>
          <w:szCs w:val="24"/>
          <w:lang w:eastAsia="en-GB"/>
        </w:rPr>
        <w:t xml:space="preserve"> regiono parinkimas bei regiono ilgis yra svarbūs parametrai tikslioje bakterijų filogenetinėje analizėje</w:t>
      </w:r>
      <w:r w:rsidR="00C02D64" w:rsidRPr="00C02D64">
        <w:rPr>
          <w:rStyle w:val="FootnoteReference"/>
          <w:rFonts w:ascii="Times New Roman" w:hAnsi="Times New Roman" w:cs="Times New Roman"/>
          <w:color w:val="000000"/>
          <w:sz w:val="24"/>
          <w:szCs w:val="24"/>
          <w:lang w:eastAsia="en-GB"/>
        </w:rPr>
        <w:footnoteReference w:id="11"/>
      </w:r>
      <w:r w:rsidR="00925632" w:rsidRPr="00C02D64">
        <w:rPr>
          <w:rFonts w:ascii="Times New Roman" w:hAnsi="Times New Roman" w:cs="Times New Roman"/>
          <w:color w:val="000000"/>
          <w:sz w:val="24"/>
          <w:szCs w:val="24"/>
          <w:lang w:eastAsia="en-GB"/>
        </w:rPr>
        <w:t xml:space="preserve">. Esant ilgesniems </w:t>
      </w:r>
      <w:proofErr w:type="spellStart"/>
      <w:r w:rsidR="00925632" w:rsidRPr="00C02D64">
        <w:rPr>
          <w:rFonts w:ascii="Times New Roman" w:hAnsi="Times New Roman" w:cs="Times New Roman"/>
          <w:color w:val="000000"/>
          <w:sz w:val="24"/>
          <w:szCs w:val="24"/>
          <w:lang w:eastAsia="en-GB"/>
        </w:rPr>
        <w:t>sekoskaitos</w:t>
      </w:r>
      <w:proofErr w:type="spellEnd"/>
      <w:r w:rsidR="00925632" w:rsidRPr="00C02D64">
        <w:rPr>
          <w:rFonts w:ascii="Times New Roman" w:hAnsi="Times New Roman" w:cs="Times New Roman"/>
          <w:color w:val="000000"/>
          <w:sz w:val="24"/>
          <w:szCs w:val="24"/>
          <w:lang w:eastAsia="en-GB"/>
        </w:rPr>
        <w:t xml:space="preserve"> metu sugeneruotiems fragmentams galima tiksliau nustatyti kokiai bakterijai seka priklauso, iki genties ar net rūšies lygmens, o tai įgalina kiek įmanoma detaliau apibūdinti bakterijas. Taip pat </w:t>
      </w:r>
      <w:proofErr w:type="spellStart"/>
      <w:r w:rsidR="00925632" w:rsidRPr="00C02D64">
        <w:rPr>
          <w:rFonts w:ascii="Times New Roman" w:hAnsi="Times New Roman" w:cs="Times New Roman"/>
          <w:color w:val="000000"/>
          <w:sz w:val="24"/>
          <w:szCs w:val="24"/>
          <w:lang w:eastAsia="en-GB"/>
        </w:rPr>
        <w:t>Illumina</w:t>
      </w:r>
      <w:proofErr w:type="spellEnd"/>
      <w:r w:rsidR="00925632" w:rsidRPr="00C02D64">
        <w:rPr>
          <w:rFonts w:ascii="Times New Roman" w:hAnsi="Times New Roman" w:cs="Times New Roman"/>
          <w:color w:val="000000"/>
          <w:sz w:val="24"/>
          <w:szCs w:val="24"/>
          <w:lang w:eastAsia="en-GB"/>
        </w:rPr>
        <w:t xml:space="preserve"> „</w:t>
      </w:r>
      <w:proofErr w:type="spellStart"/>
      <w:r w:rsidR="00925632" w:rsidRPr="00C02D64">
        <w:rPr>
          <w:rFonts w:ascii="Times New Roman" w:hAnsi="Times New Roman" w:cs="Times New Roman"/>
          <w:color w:val="000000"/>
          <w:sz w:val="24"/>
          <w:szCs w:val="24"/>
          <w:lang w:eastAsia="en-GB"/>
        </w:rPr>
        <w:t>MiSeq</w:t>
      </w:r>
      <w:proofErr w:type="spellEnd"/>
      <w:r w:rsidR="00925632" w:rsidRPr="00C02D64">
        <w:rPr>
          <w:rFonts w:ascii="Times New Roman" w:hAnsi="Times New Roman" w:cs="Times New Roman"/>
          <w:color w:val="000000"/>
          <w:sz w:val="24"/>
          <w:szCs w:val="24"/>
          <w:lang w:eastAsia="en-GB"/>
        </w:rPr>
        <w:t xml:space="preserve">“ platformoje sugeneruoti ilgi </w:t>
      </w:r>
      <w:r w:rsidR="00925632" w:rsidRPr="00C02D64">
        <w:rPr>
          <w:rFonts w:ascii="Times New Roman" w:hAnsi="Times New Roman" w:cs="Times New Roman"/>
          <w:color w:val="000000"/>
          <w:sz w:val="24"/>
          <w:szCs w:val="24"/>
          <w:lang w:eastAsia="en-GB"/>
        </w:rPr>
        <w:lastRenderedPageBreak/>
        <w:t xml:space="preserve">bakterinių sekų nuskaitymai leidžia </w:t>
      </w:r>
      <w:r w:rsidR="00925632" w:rsidRPr="00C02D64">
        <w:rPr>
          <w:rFonts w:ascii="Times New Roman" w:hAnsi="Times New Roman" w:cs="Times New Roman"/>
          <w:i/>
          <w:iCs/>
          <w:color w:val="000000"/>
          <w:sz w:val="24"/>
          <w:szCs w:val="24"/>
          <w:lang w:eastAsia="en-GB"/>
        </w:rPr>
        <w:t xml:space="preserve">de </w:t>
      </w:r>
      <w:proofErr w:type="spellStart"/>
      <w:r w:rsidR="00925632" w:rsidRPr="00C02D64">
        <w:rPr>
          <w:rFonts w:ascii="Times New Roman" w:hAnsi="Times New Roman" w:cs="Times New Roman"/>
          <w:i/>
          <w:iCs/>
          <w:color w:val="000000"/>
          <w:sz w:val="24"/>
          <w:szCs w:val="24"/>
          <w:lang w:eastAsia="en-GB"/>
        </w:rPr>
        <w:t>novo</w:t>
      </w:r>
      <w:proofErr w:type="spellEnd"/>
      <w:r w:rsidR="00925632" w:rsidRPr="00C02D64">
        <w:rPr>
          <w:rFonts w:ascii="Times New Roman" w:hAnsi="Times New Roman" w:cs="Times New Roman"/>
          <w:color w:val="000000"/>
          <w:sz w:val="24"/>
          <w:szCs w:val="24"/>
          <w:lang w:eastAsia="en-GB"/>
        </w:rPr>
        <w:t xml:space="preserve"> sekų analizę, kuri leidžia nustatyti visiškai naujas iki tol nežinotas bakterijas</w:t>
      </w:r>
      <w:r w:rsidR="00C02D64" w:rsidRPr="00C02D64">
        <w:rPr>
          <w:rStyle w:val="FootnoteReference"/>
          <w:rFonts w:ascii="Times New Roman" w:hAnsi="Times New Roman" w:cs="Times New Roman"/>
          <w:color w:val="000000"/>
          <w:sz w:val="24"/>
          <w:szCs w:val="24"/>
          <w:lang w:eastAsia="en-GB"/>
        </w:rPr>
        <w:footnoteReference w:id="12"/>
      </w:r>
      <w:r w:rsidR="00925632" w:rsidRPr="00C02D64">
        <w:rPr>
          <w:rFonts w:ascii="Times New Roman" w:hAnsi="Times New Roman" w:cs="Times New Roman"/>
          <w:color w:val="000000"/>
          <w:sz w:val="24"/>
          <w:szCs w:val="24"/>
          <w:lang w:eastAsia="en-GB"/>
        </w:rPr>
        <w:t xml:space="preserve">. </w:t>
      </w:r>
    </w:p>
    <w:p w14:paraId="7E4A3034" w14:textId="01772B4B" w:rsidR="00F70E26" w:rsidRDefault="008728FE" w:rsidP="00DF5DA9">
      <w:pPr>
        <w:tabs>
          <w:tab w:val="left" w:pos="851"/>
        </w:tabs>
        <w:spacing w:after="0" w:line="240" w:lineRule="auto"/>
        <w:jc w:val="both"/>
        <w:rPr>
          <w:rFonts w:ascii="Times New Roman" w:hAnsi="Times New Roman" w:cs="Times New Roman"/>
          <w:color w:val="000000"/>
          <w:sz w:val="24"/>
          <w:szCs w:val="24"/>
          <w:lang w:eastAsia="en-GB"/>
        </w:rPr>
      </w:pPr>
      <w:r w:rsidRPr="00716344">
        <w:rPr>
          <w:rFonts w:ascii="Times New Roman" w:hAnsi="Times New Roman" w:cs="Times New Roman"/>
          <w:color w:val="000000"/>
          <w:sz w:val="24"/>
          <w:szCs w:val="24"/>
          <w:lang w:eastAsia="en-GB"/>
        </w:rPr>
        <w:tab/>
        <w:t xml:space="preserve">Kaip labai svarbią aplinkybę Perkančioji organizacija pažymi ir tai, kad Pirkimu siekiamas įsigyti </w:t>
      </w:r>
      <w:proofErr w:type="spellStart"/>
      <w:r w:rsidR="00C255DD">
        <w:rPr>
          <w:rFonts w:ascii="Times New Roman" w:hAnsi="Times New Roman" w:cs="Times New Roman"/>
          <w:color w:val="000000"/>
          <w:sz w:val="24"/>
          <w:szCs w:val="24"/>
          <w:lang w:eastAsia="en-GB"/>
        </w:rPr>
        <w:t>Sekoskaitos</w:t>
      </w:r>
      <w:proofErr w:type="spellEnd"/>
      <w:r w:rsidR="00C255DD">
        <w:rPr>
          <w:rFonts w:ascii="Times New Roman" w:hAnsi="Times New Roman" w:cs="Times New Roman"/>
          <w:color w:val="000000"/>
          <w:sz w:val="24"/>
          <w:szCs w:val="24"/>
          <w:lang w:eastAsia="en-GB"/>
        </w:rPr>
        <w:t xml:space="preserve"> prietaisas </w:t>
      </w:r>
      <w:r w:rsidRPr="00716344">
        <w:rPr>
          <w:rFonts w:ascii="Times New Roman" w:hAnsi="Times New Roman" w:cs="Times New Roman"/>
          <w:color w:val="000000"/>
          <w:sz w:val="24"/>
          <w:szCs w:val="24"/>
          <w:lang w:eastAsia="en-GB"/>
        </w:rPr>
        <w:t xml:space="preserve">palaiko abiejų grandinių nuskaitymą, kuris leidžia nukleorūgščių fragmentą nuskaityti iš abiejų: priešakinės ir atvirkštinės, pusių. Nurodo, jog ši technologija pasižymi daugeliu privalumų: i) leidžia patikimiau aptikti </w:t>
      </w:r>
      <w:proofErr w:type="spellStart"/>
      <w:r w:rsidRPr="00716344">
        <w:rPr>
          <w:rFonts w:ascii="Times New Roman" w:hAnsi="Times New Roman" w:cs="Times New Roman"/>
          <w:color w:val="000000"/>
          <w:sz w:val="24"/>
          <w:szCs w:val="24"/>
          <w:lang w:eastAsia="en-GB"/>
        </w:rPr>
        <w:t>genominius</w:t>
      </w:r>
      <w:proofErr w:type="spellEnd"/>
      <w:r w:rsidRPr="00716344">
        <w:rPr>
          <w:rFonts w:ascii="Times New Roman" w:hAnsi="Times New Roman" w:cs="Times New Roman"/>
          <w:color w:val="000000"/>
          <w:sz w:val="24"/>
          <w:szCs w:val="24"/>
          <w:lang w:eastAsia="en-GB"/>
        </w:rPr>
        <w:t xml:space="preserve"> persitvarkymus, pasikartojančius sekos elementus, ii) yra efektyvesnė, nes gaunama dvigubai daugiau sekos nuskaitymų ruošiant naujos kartos </w:t>
      </w:r>
      <w:proofErr w:type="spellStart"/>
      <w:r w:rsidRPr="00716344">
        <w:rPr>
          <w:rFonts w:ascii="Times New Roman" w:hAnsi="Times New Roman" w:cs="Times New Roman"/>
          <w:color w:val="000000"/>
          <w:sz w:val="24"/>
          <w:szCs w:val="24"/>
          <w:lang w:eastAsia="en-GB"/>
        </w:rPr>
        <w:t>sekoskaitos</w:t>
      </w:r>
      <w:proofErr w:type="spellEnd"/>
      <w:r w:rsidRPr="00716344">
        <w:rPr>
          <w:rFonts w:ascii="Times New Roman" w:hAnsi="Times New Roman" w:cs="Times New Roman"/>
          <w:color w:val="000000"/>
          <w:sz w:val="24"/>
          <w:szCs w:val="24"/>
          <w:lang w:eastAsia="en-GB"/>
        </w:rPr>
        <w:t xml:space="preserve"> bibliotekas laboratorijoje tuo pačiu metu, ir iii) šie nuskaitymai tiksliau prilyginami prie analizuojamų bakterijų sekų. Abiejų grandinių nuskaitymo metu, analizuojant 16S </w:t>
      </w:r>
      <w:proofErr w:type="spellStart"/>
      <w:r w:rsidRPr="00716344">
        <w:rPr>
          <w:rFonts w:ascii="Times New Roman" w:hAnsi="Times New Roman" w:cs="Times New Roman"/>
          <w:color w:val="000000"/>
          <w:sz w:val="24"/>
          <w:szCs w:val="24"/>
          <w:lang w:eastAsia="en-GB"/>
        </w:rPr>
        <w:t>rRNR</w:t>
      </w:r>
      <w:proofErr w:type="spellEnd"/>
      <w:r w:rsidRPr="00716344">
        <w:rPr>
          <w:rFonts w:ascii="Times New Roman" w:hAnsi="Times New Roman" w:cs="Times New Roman"/>
          <w:color w:val="000000"/>
          <w:sz w:val="24"/>
          <w:szCs w:val="24"/>
          <w:lang w:eastAsia="en-GB"/>
        </w:rPr>
        <w:t xml:space="preserve"> geno </w:t>
      </w:r>
      <w:proofErr w:type="spellStart"/>
      <w:r w:rsidRPr="00716344">
        <w:rPr>
          <w:rFonts w:ascii="Times New Roman" w:hAnsi="Times New Roman" w:cs="Times New Roman"/>
          <w:color w:val="000000"/>
          <w:sz w:val="24"/>
          <w:szCs w:val="24"/>
          <w:lang w:eastAsia="en-GB"/>
        </w:rPr>
        <w:t>variabilųjį</w:t>
      </w:r>
      <w:proofErr w:type="spellEnd"/>
      <w:r w:rsidRPr="00716344">
        <w:rPr>
          <w:rFonts w:ascii="Times New Roman" w:hAnsi="Times New Roman" w:cs="Times New Roman"/>
          <w:color w:val="000000"/>
          <w:sz w:val="24"/>
          <w:szCs w:val="24"/>
          <w:lang w:eastAsia="en-GB"/>
        </w:rPr>
        <w:t xml:space="preserve"> regioną, kurio dydis yra iki 500 </w:t>
      </w:r>
      <w:proofErr w:type="spellStart"/>
      <w:r w:rsidRPr="00716344">
        <w:rPr>
          <w:rFonts w:ascii="Times New Roman" w:hAnsi="Times New Roman" w:cs="Times New Roman"/>
          <w:color w:val="000000"/>
          <w:sz w:val="24"/>
          <w:szCs w:val="24"/>
          <w:lang w:eastAsia="en-GB"/>
        </w:rPr>
        <w:t>bp</w:t>
      </w:r>
      <w:proofErr w:type="spellEnd"/>
      <w:r w:rsidRPr="00716344">
        <w:rPr>
          <w:rFonts w:ascii="Times New Roman" w:hAnsi="Times New Roman" w:cs="Times New Roman"/>
          <w:color w:val="000000"/>
          <w:sz w:val="24"/>
          <w:szCs w:val="24"/>
          <w:lang w:eastAsia="en-GB"/>
        </w:rPr>
        <w:t xml:space="preserve"> porų, gaunamas 100 bazių porų ar didesnis persidengimas. Šis sekų persidengimas ypatingai svarbus, nes perdengiamų sekų nukleotidų seka turi būti identiška ir tai kaip kokybės kontrolė padeda išfiltruoti sekas, kurios yra netinkamos ir būtų klaidingai priskiriamos. Pažymi, jog ši aplikacija yra ypač svarbi kuomet nukleorūgščių sekose yra pasikartojančių nukleotidų, ar sekos pasižymi žemesne kokybe (bakterijų nuolaužos, cirkuliuojančios kraujyje ar kituose organizmo skysčiuose). Taigi abiejų grandinių nuskaitymas padeda žymiai tiksliau priskirti bakterinės nukleorūgšties fragmentą tam tikrai bakterijų genčiai ar rūšiai</w:t>
      </w:r>
      <w:r w:rsidRPr="00716344">
        <w:rPr>
          <w:rStyle w:val="FootnoteReference"/>
          <w:rFonts w:ascii="Times New Roman" w:hAnsi="Times New Roman" w:cs="Times New Roman"/>
          <w:color w:val="000000"/>
          <w:sz w:val="24"/>
          <w:szCs w:val="24"/>
          <w:lang w:eastAsia="en-GB"/>
        </w:rPr>
        <w:footnoteReference w:id="13"/>
      </w:r>
      <w:r w:rsidRPr="00716344">
        <w:rPr>
          <w:rFonts w:ascii="Times New Roman" w:hAnsi="Times New Roman" w:cs="Times New Roman"/>
          <w:color w:val="000000"/>
          <w:sz w:val="24"/>
          <w:szCs w:val="24"/>
          <w:lang w:eastAsia="en-GB"/>
        </w:rPr>
        <w:t>.</w:t>
      </w:r>
      <w:r w:rsidR="00716344" w:rsidRPr="00716344">
        <w:rPr>
          <w:rFonts w:ascii="Times New Roman" w:hAnsi="Times New Roman" w:cs="Times New Roman"/>
          <w:color w:val="000000"/>
          <w:sz w:val="24"/>
          <w:szCs w:val="24"/>
          <w:lang w:eastAsia="en-GB"/>
        </w:rPr>
        <w:t xml:space="preserve"> </w:t>
      </w:r>
      <w:r w:rsidRPr="00716344">
        <w:rPr>
          <w:rFonts w:ascii="Times New Roman" w:hAnsi="Times New Roman" w:cs="Times New Roman"/>
          <w:color w:val="000000"/>
          <w:sz w:val="24"/>
          <w:szCs w:val="24"/>
          <w:lang w:eastAsia="en-GB"/>
        </w:rPr>
        <w:t>Atsižvelgiant į visas išdėstytas aplinkybes, Perkančiosios organizacijos t</w:t>
      </w:r>
      <w:r w:rsidR="00C255DD">
        <w:rPr>
          <w:rFonts w:ascii="Times New Roman" w:hAnsi="Times New Roman" w:cs="Times New Roman"/>
          <w:color w:val="000000"/>
          <w:sz w:val="24"/>
          <w:szCs w:val="24"/>
          <w:lang w:eastAsia="en-GB"/>
        </w:rPr>
        <w:t>eigimu</w:t>
      </w:r>
      <w:r w:rsidRPr="00716344">
        <w:rPr>
          <w:rFonts w:ascii="Times New Roman" w:hAnsi="Times New Roman" w:cs="Times New Roman"/>
          <w:color w:val="000000"/>
          <w:sz w:val="24"/>
          <w:szCs w:val="24"/>
          <w:lang w:eastAsia="en-GB"/>
        </w:rPr>
        <w:t xml:space="preserve">, tik </w:t>
      </w:r>
      <w:proofErr w:type="spellStart"/>
      <w:r w:rsidRPr="00716344">
        <w:rPr>
          <w:rFonts w:ascii="Times New Roman" w:hAnsi="Times New Roman" w:cs="Times New Roman"/>
          <w:color w:val="000000"/>
          <w:sz w:val="24"/>
          <w:szCs w:val="24"/>
          <w:lang w:eastAsia="en-GB"/>
        </w:rPr>
        <w:t>Illumina</w:t>
      </w:r>
      <w:proofErr w:type="spellEnd"/>
      <w:r w:rsidRPr="00716344">
        <w:rPr>
          <w:rFonts w:ascii="Times New Roman" w:hAnsi="Times New Roman" w:cs="Times New Roman"/>
          <w:color w:val="000000"/>
          <w:sz w:val="24"/>
          <w:szCs w:val="24"/>
          <w:lang w:eastAsia="en-GB"/>
        </w:rPr>
        <w:t xml:space="preserve"> </w:t>
      </w:r>
      <w:bookmarkStart w:id="1" w:name="_Hlk70584398"/>
      <w:r w:rsidRPr="00716344">
        <w:rPr>
          <w:rFonts w:ascii="Times New Roman" w:hAnsi="Times New Roman" w:cs="Times New Roman"/>
          <w:color w:val="000000"/>
          <w:sz w:val="24"/>
          <w:szCs w:val="24"/>
          <w:lang w:eastAsia="en-GB"/>
        </w:rPr>
        <w:t>„</w:t>
      </w:r>
      <w:proofErr w:type="spellStart"/>
      <w:r w:rsidRPr="00716344">
        <w:rPr>
          <w:rFonts w:ascii="Times New Roman" w:hAnsi="Times New Roman" w:cs="Times New Roman"/>
          <w:color w:val="000000"/>
          <w:sz w:val="24"/>
          <w:szCs w:val="24"/>
          <w:lang w:eastAsia="en-GB"/>
        </w:rPr>
        <w:t>Miseq</w:t>
      </w:r>
      <w:proofErr w:type="spellEnd"/>
      <w:r w:rsidRPr="00716344">
        <w:rPr>
          <w:rFonts w:ascii="Times New Roman" w:hAnsi="Times New Roman" w:cs="Times New Roman"/>
          <w:color w:val="000000"/>
          <w:sz w:val="24"/>
          <w:szCs w:val="24"/>
          <w:lang w:eastAsia="en-GB"/>
        </w:rPr>
        <w:t xml:space="preserve">“ </w:t>
      </w:r>
      <w:bookmarkEnd w:id="1"/>
      <w:r w:rsidRPr="00716344">
        <w:rPr>
          <w:rFonts w:ascii="Times New Roman" w:hAnsi="Times New Roman" w:cs="Times New Roman"/>
          <w:color w:val="000000"/>
          <w:sz w:val="24"/>
          <w:szCs w:val="24"/>
          <w:lang w:eastAsia="en-GB"/>
        </w:rPr>
        <w:t xml:space="preserve">sistema, palaikanti abiejų grandinių nuskaitymą ir užtikrinanti ilgų fragmentų </w:t>
      </w:r>
      <w:proofErr w:type="spellStart"/>
      <w:r w:rsidRPr="00716344">
        <w:rPr>
          <w:rFonts w:ascii="Times New Roman" w:hAnsi="Times New Roman" w:cs="Times New Roman"/>
          <w:color w:val="000000"/>
          <w:sz w:val="24"/>
          <w:szCs w:val="24"/>
          <w:lang w:eastAsia="en-GB"/>
        </w:rPr>
        <w:t>sekoskaitą</w:t>
      </w:r>
      <w:proofErr w:type="spellEnd"/>
      <w:r w:rsidRPr="00716344">
        <w:rPr>
          <w:rFonts w:ascii="Times New Roman" w:hAnsi="Times New Roman" w:cs="Times New Roman"/>
          <w:color w:val="000000"/>
          <w:sz w:val="24"/>
          <w:szCs w:val="24"/>
          <w:lang w:eastAsia="en-GB"/>
        </w:rPr>
        <w:t xml:space="preserve">, leistų pasiekti </w:t>
      </w:r>
      <w:r w:rsidR="009E0322">
        <w:rPr>
          <w:rFonts w:ascii="Times New Roman" w:hAnsi="Times New Roman" w:cs="Times New Roman"/>
          <w:color w:val="000000"/>
          <w:sz w:val="24"/>
          <w:szCs w:val="24"/>
          <w:lang w:eastAsia="en-GB"/>
        </w:rPr>
        <w:t>P</w:t>
      </w:r>
      <w:r w:rsidRPr="00716344">
        <w:rPr>
          <w:rFonts w:ascii="Times New Roman" w:hAnsi="Times New Roman" w:cs="Times New Roman"/>
          <w:color w:val="000000"/>
          <w:sz w:val="24"/>
          <w:szCs w:val="24"/>
          <w:lang w:eastAsia="en-GB"/>
        </w:rPr>
        <w:t xml:space="preserve">irkimo tikslą – </w:t>
      </w:r>
      <w:proofErr w:type="spellStart"/>
      <w:r w:rsidRPr="00716344">
        <w:rPr>
          <w:rFonts w:ascii="Times New Roman" w:hAnsi="Times New Roman" w:cs="Times New Roman"/>
          <w:color w:val="000000"/>
          <w:sz w:val="24"/>
          <w:szCs w:val="24"/>
          <w:lang w:eastAsia="en-GB"/>
        </w:rPr>
        <w:t>mikrobiomo</w:t>
      </w:r>
      <w:proofErr w:type="spellEnd"/>
      <w:r w:rsidRPr="00716344">
        <w:rPr>
          <w:rFonts w:ascii="Times New Roman" w:hAnsi="Times New Roman" w:cs="Times New Roman"/>
          <w:color w:val="000000"/>
          <w:sz w:val="24"/>
          <w:szCs w:val="24"/>
          <w:lang w:eastAsia="en-GB"/>
        </w:rPr>
        <w:t xml:space="preserve"> tyrimų įgyvendinimą, o tai yra svarbu tolimesnėse eksperimentinės plėtros veiklose, nes žinant konkrečias, kiek įmanoma detaliau apibūdintas bakterijas</w:t>
      </w:r>
      <w:r w:rsidR="00716344" w:rsidRPr="00716344">
        <w:rPr>
          <w:rFonts w:ascii="Times New Roman" w:hAnsi="Times New Roman" w:cs="Times New Roman"/>
          <w:color w:val="000000"/>
          <w:sz w:val="24"/>
          <w:szCs w:val="24"/>
          <w:lang w:eastAsia="en-GB"/>
        </w:rPr>
        <w:t>,</w:t>
      </w:r>
      <w:r w:rsidRPr="00716344">
        <w:rPr>
          <w:rFonts w:ascii="Times New Roman" w:hAnsi="Times New Roman" w:cs="Times New Roman"/>
          <w:color w:val="000000"/>
          <w:sz w:val="24"/>
          <w:szCs w:val="24"/>
          <w:lang w:eastAsia="en-GB"/>
        </w:rPr>
        <w:t xml:space="preserve"> yra sudaroma galimybė kurti rinkai pritaikytus produktus, tokius kaip maisto papildai, gydymo priemonės ar diagnostiniai testai.</w:t>
      </w:r>
    </w:p>
    <w:p w14:paraId="35AB0E2B" w14:textId="5B84B6C5" w:rsidR="00C63CC5" w:rsidRDefault="00F70E26" w:rsidP="00AA4D90">
      <w:pPr>
        <w:tabs>
          <w:tab w:val="left" w:pos="851"/>
        </w:tabs>
        <w:spacing w:after="0" w:line="240" w:lineRule="auto"/>
        <w:jc w:val="both"/>
        <w:rPr>
          <w:rFonts w:ascii="Times New Roman" w:eastAsia="Calibri" w:hAnsi="Times New Roman" w:cs="Times New Roman"/>
          <w:sz w:val="24"/>
          <w:szCs w:val="24"/>
        </w:rPr>
      </w:pPr>
      <w:r w:rsidRPr="00F70E26">
        <w:rPr>
          <w:rFonts w:ascii="Times New Roman" w:hAnsi="Times New Roman" w:cs="Times New Roman"/>
          <w:color w:val="000000"/>
          <w:sz w:val="24"/>
          <w:szCs w:val="24"/>
          <w:lang w:eastAsia="zh-CN"/>
        </w:rPr>
        <w:tab/>
      </w:r>
      <w:r w:rsidR="00C255DD">
        <w:rPr>
          <w:rFonts w:ascii="Times New Roman" w:hAnsi="Times New Roman" w:cs="Times New Roman"/>
          <w:color w:val="000000"/>
          <w:sz w:val="24"/>
          <w:szCs w:val="24"/>
          <w:lang w:eastAsia="en-GB"/>
        </w:rPr>
        <w:t xml:space="preserve">Atsižvelgiant į aukščiau nurodytas aplinkybes, bei įvertinus, </w:t>
      </w:r>
      <w:r w:rsidR="00484732" w:rsidRPr="00445489">
        <w:rPr>
          <w:rFonts w:ascii="Times New Roman" w:eastAsia="Calibri" w:hAnsi="Times New Roman" w:cs="Times New Roman"/>
          <w:sz w:val="24"/>
          <w:szCs w:val="24"/>
        </w:rPr>
        <w:t>kad šiuo konkrečiu atveju</w:t>
      </w:r>
      <w:r w:rsidR="00484732">
        <w:rPr>
          <w:rFonts w:ascii="Times New Roman" w:eastAsia="Calibri" w:hAnsi="Times New Roman" w:cs="Times New Roman"/>
          <w:sz w:val="24"/>
          <w:szCs w:val="24"/>
        </w:rPr>
        <w:t xml:space="preserve"> dėl techninių priežasčių</w:t>
      </w:r>
      <w:r w:rsidR="00484732" w:rsidRPr="00445489">
        <w:rPr>
          <w:rFonts w:ascii="Times New Roman" w:eastAsia="Calibri" w:hAnsi="Times New Roman" w:cs="Times New Roman"/>
          <w:sz w:val="24"/>
          <w:szCs w:val="24"/>
        </w:rPr>
        <w:t xml:space="preserve"> Perkančiosios organizacijos poreikius atitinka tik konkret</w:t>
      </w:r>
      <w:r w:rsidR="00484732">
        <w:rPr>
          <w:rFonts w:ascii="Times New Roman" w:eastAsia="Calibri" w:hAnsi="Times New Roman" w:cs="Times New Roman"/>
          <w:sz w:val="24"/>
          <w:szCs w:val="24"/>
        </w:rPr>
        <w:t>us</w:t>
      </w:r>
      <w:r w:rsidR="00484732" w:rsidRPr="00445489">
        <w:rPr>
          <w:rFonts w:ascii="Times New Roman" w:eastAsia="Calibri" w:hAnsi="Times New Roman" w:cs="Times New Roman"/>
          <w:sz w:val="24"/>
          <w:szCs w:val="24"/>
        </w:rPr>
        <w:t xml:space="preserve"> </w:t>
      </w:r>
      <w:proofErr w:type="spellStart"/>
      <w:r w:rsidR="00C255DD">
        <w:rPr>
          <w:rFonts w:ascii="Times New Roman" w:eastAsia="Calibri" w:hAnsi="Times New Roman" w:cs="Times New Roman"/>
          <w:sz w:val="24"/>
          <w:szCs w:val="24"/>
        </w:rPr>
        <w:t>Sekoskaitos</w:t>
      </w:r>
      <w:proofErr w:type="spellEnd"/>
      <w:r w:rsidR="00C255DD">
        <w:rPr>
          <w:rFonts w:ascii="Times New Roman" w:eastAsia="Calibri" w:hAnsi="Times New Roman" w:cs="Times New Roman"/>
          <w:sz w:val="24"/>
          <w:szCs w:val="24"/>
        </w:rPr>
        <w:t xml:space="preserve"> prietaisas</w:t>
      </w:r>
      <w:r w:rsidR="009E0322">
        <w:rPr>
          <w:rFonts w:ascii="Times New Roman" w:eastAsia="Calibri" w:hAnsi="Times New Roman" w:cs="Times New Roman"/>
          <w:sz w:val="24"/>
          <w:szCs w:val="24"/>
        </w:rPr>
        <w:t xml:space="preserve"> </w:t>
      </w:r>
      <w:r w:rsidR="009E0322" w:rsidRPr="00716344">
        <w:rPr>
          <w:rFonts w:ascii="Times New Roman" w:hAnsi="Times New Roman" w:cs="Times New Roman"/>
          <w:color w:val="000000"/>
          <w:sz w:val="24"/>
          <w:szCs w:val="24"/>
          <w:lang w:eastAsia="en-GB"/>
        </w:rPr>
        <w:t>„</w:t>
      </w:r>
      <w:proofErr w:type="spellStart"/>
      <w:r w:rsidR="009E0322" w:rsidRPr="00716344">
        <w:rPr>
          <w:rFonts w:ascii="Times New Roman" w:hAnsi="Times New Roman" w:cs="Times New Roman"/>
          <w:color w:val="000000"/>
          <w:sz w:val="24"/>
          <w:szCs w:val="24"/>
          <w:lang w:eastAsia="en-GB"/>
        </w:rPr>
        <w:t>Miseq</w:t>
      </w:r>
      <w:proofErr w:type="spellEnd"/>
      <w:r w:rsidR="009E0322" w:rsidRPr="00716344">
        <w:rPr>
          <w:rFonts w:ascii="Times New Roman" w:hAnsi="Times New Roman" w:cs="Times New Roman"/>
          <w:color w:val="000000"/>
          <w:sz w:val="24"/>
          <w:szCs w:val="24"/>
          <w:lang w:eastAsia="en-GB"/>
        </w:rPr>
        <w:t xml:space="preserve">“ </w:t>
      </w:r>
      <w:r w:rsidR="00484732" w:rsidRPr="00445489">
        <w:rPr>
          <w:rFonts w:ascii="Times New Roman" w:eastAsia="Calibri" w:hAnsi="Times New Roman" w:cs="Times New Roman"/>
          <w:sz w:val="24"/>
          <w:szCs w:val="24"/>
        </w:rPr>
        <w:t xml:space="preserve">, </w:t>
      </w:r>
      <w:r w:rsidR="00484732">
        <w:rPr>
          <w:rFonts w:ascii="Times New Roman" w:eastAsia="Calibri" w:hAnsi="Times New Roman" w:cs="Times New Roman"/>
          <w:sz w:val="24"/>
          <w:szCs w:val="24"/>
        </w:rPr>
        <w:t>kurį</w:t>
      </w:r>
      <w:r w:rsidR="00484732" w:rsidRPr="00445489">
        <w:rPr>
          <w:rFonts w:ascii="Times New Roman" w:eastAsia="Calibri" w:hAnsi="Times New Roman" w:cs="Times New Roman"/>
          <w:sz w:val="24"/>
          <w:szCs w:val="24"/>
        </w:rPr>
        <w:t xml:space="preserve"> pa</w:t>
      </w:r>
      <w:r w:rsidR="00C255DD">
        <w:rPr>
          <w:rFonts w:ascii="Times New Roman" w:eastAsia="Calibri" w:hAnsi="Times New Roman" w:cs="Times New Roman"/>
          <w:sz w:val="24"/>
          <w:szCs w:val="24"/>
        </w:rPr>
        <w:t>teikti</w:t>
      </w:r>
      <w:r w:rsidR="00484732" w:rsidRPr="00445489">
        <w:rPr>
          <w:rFonts w:ascii="Times New Roman" w:eastAsia="Calibri" w:hAnsi="Times New Roman" w:cs="Times New Roman"/>
          <w:sz w:val="24"/>
          <w:szCs w:val="24"/>
        </w:rPr>
        <w:t xml:space="preserve"> gali tik tos </w:t>
      </w:r>
      <w:bookmarkStart w:id="2" w:name="_Hlk70584576"/>
      <w:r w:rsidR="00484732" w:rsidRPr="00445489">
        <w:rPr>
          <w:rFonts w:ascii="Times New Roman" w:eastAsia="Calibri" w:hAnsi="Times New Roman" w:cs="Times New Roman"/>
          <w:sz w:val="24"/>
          <w:szCs w:val="24"/>
        </w:rPr>
        <w:t>įrangos</w:t>
      </w:r>
      <w:r w:rsidR="00484732">
        <w:rPr>
          <w:rFonts w:ascii="Times New Roman" w:eastAsia="Calibri" w:hAnsi="Times New Roman" w:cs="Times New Roman"/>
          <w:sz w:val="24"/>
          <w:szCs w:val="24"/>
        </w:rPr>
        <w:t xml:space="preserve"> gamintojas </w:t>
      </w:r>
      <w:r w:rsidR="00484732">
        <w:rPr>
          <w:rFonts w:ascii="Times New Roman" w:hAnsi="Times New Roman" w:cs="Times New Roman"/>
          <w:sz w:val="24"/>
          <w:szCs w:val="24"/>
        </w:rPr>
        <w:t>„</w:t>
      </w:r>
      <w:proofErr w:type="spellStart"/>
      <w:r w:rsidR="00484732">
        <w:rPr>
          <w:rFonts w:ascii="Times New Roman" w:hAnsi="Times New Roman" w:cs="Times New Roman"/>
          <w:sz w:val="24"/>
          <w:szCs w:val="24"/>
        </w:rPr>
        <w:t>Illumina</w:t>
      </w:r>
      <w:proofErr w:type="spellEnd"/>
      <w:r w:rsidR="00484732">
        <w:rPr>
          <w:rFonts w:ascii="Times New Roman" w:hAnsi="Times New Roman" w:cs="Times New Roman"/>
          <w:sz w:val="24"/>
          <w:szCs w:val="24"/>
        </w:rPr>
        <w:t>“</w:t>
      </w:r>
      <w:bookmarkEnd w:id="2"/>
      <w:r w:rsidR="00983D2E">
        <w:rPr>
          <w:rStyle w:val="FootnoteReference"/>
          <w:rFonts w:ascii="Times New Roman" w:hAnsi="Times New Roman" w:cs="Times New Roman"/>
          <w:sz w:val="24"/>
          <w:szCs w:val="24"/>
        </w:rPr>
        <w:footnoteReference w:id="14"/>
      </w:r>
      <w:r w:rsidR="00484732" w:rsidRPr="00445489">
        <w:rPr>
          <w:rFonts w:ascii="Times New Roman" w:eastAsia="Calibri" w:hAnsi="Times New Roman" w:cs="Times New Roman"/>
          <w:sz w:val="24"/>
          <w:szCs w:val="24"/>
        </w:rPr>
        <w:t xml:space="preserve">, nes tik </w:t>
      </w:r>
      <w:r w:rsidR="00484732">
        <w:rPr>
          <w:rFonts w:ascii="Times New Roman" w:eastAsia="Calibri" w:hAnsi="Times New Roman" w:cs="Times New Roman"/>
          <w:sz w:val="24"/>
          <w:szCs w:val="24"/>
        </w:rPr>
        <w:t>šis</w:t>
      </w:r>
      <w:r w:rsidR="00484732" w:rsidRPr="00445489">
        <w:rPr>
          <w:rFonts w:ascii="Times New Roman" w:eastAsia="Calibri" w:hAnsi="Times New Roman" w:cs="Times New Roman"/>
          <w:sz w:val="24"/>
          <w:szCs w:val="24"/>
        </w:rPr>
        <w:t xml:space="preserve"> gamintoja</w:t>
      </w:r>
      <w:r w:rsidR="00484732">
        <w:rPr>
          <w:rFonts w:ascii="Times New Roman" w:eastAsia="Calibri" w:hAnsi="Times New Roman" w:cs="Times New Roman"/>
          <w:sz w:val="24"/>
          <w:szCs w:val="24"/>
        </w:rPr>
        <w:t xml:space="preserve">s </w:t>
      </w:r>
      <w:r w:rsidR="00484732" w:rsidRPr="00445489">
        <w:rPr>
          <w:rFonts w:ascii="Times New Roman" w:eastAsia="Calibri" w:hAnsi="Times New Roman" w:cs="Times New Roman"/>
          <w:sz w:val="24"/>
          <w:szCs w:val="24"/>
        </w:rPr>
        <w:t>yra įdiegę</w:t>
      </w:r>
      <w:r w:rsidR="00484732">
        <w:rPr>
          <w:rFonts w:ascii="Times New Roman" w:eastAsia="Calibri" w:hAnsi="Times New Roman" w:cs="Times New Roman"/>
          <w:sz w:val="24"/>
          <w:szCs w:val="24"/>
        </w:rPr>
        <w:t>s</w:t>
      </w:r>
      <w:r w:rsidR="00484732" w:rsidRPr="00445489">
        <w:rPr>
          <w:rFonts w:ascii="Times New Roman" w:eastAsia="Calibri" w:hAnsi="Times New Roman" w:cs="Times New Roman"/>
          <w:sz w:val="24"/>
          <w:szCs w:val="24"/>
        </w:rPr>
        <w:t xml:space="preserve"> aptartus technologinius sprendinius</w:t>
      </w:r>
      <w:r w:rsidR="00484732">
        <w:rPr>
          <w:rStyle w:val="FootnoteReference"/>
          <w:rFonts w:ascii="Times New Roman" w:eastAsia="Calibri" w:hAnsi="Times New Roman" w:cs="Times New Roman"/>
          <w:sz w:val="24"/>
          <w:szCs w:val="24"/>
        </w:rPr>
        <w:footnoteReference w:id="15"/>
      </w:r>
      <w:r w:rsidR="00484732" w:rsidRPr="00445489">
        <w:rPr>
          <w:rFonts w:ascii="Times New Roman" w:eastAsia="Calibri" w:hAnsi="Times New Roman" w:cs="Times New Roman"/>
          <w:sz w:val="24"/>
          <w:szCs w:val="24"/>
        </w:rPr>
        <w:t xml:space="preserve">, taip pat tai, jog </w:t>
      </w:r>
      <w:r w:rsidR="00F8146F">
        <w:rPr>
          <w:rFonts w:ascii="Times New Roman" w:eastAsia="Calibri" w:hAnsi="Times New Roman" w:cs="Times New Roman"/>
          <w:sz w:val="24"/>
          <w:szCs w:val="24"/>
        </w:rPr>
        <w:t xml:space="preserve">šio gamintojo išimtinės teisės saugomos </w:t>
      </w:r>
      <w:r w:rsidR="00484732" w:rsidRPr="00445489">
        <w:rPr>
          <w:rFonts w:ascii="Times New Roman" w:hAnsi="Times New Roman" w:cs="Times New Roman"/>
          <w:sz w:val="24"/>
          <w:szCs w:val="24"/>
        </w:rPr>
        <w:t>tarptautiniais patentais</w:t>
      </w:r>
      <w:r w:rsidR="00F8146F">
        <w:rPr>
          <w:rStyle w:val="FootnoteReference"/>
          <w:rFonts w:ascii="Times New Roman" w:hAnsi="Times New Roman" w:cs="Times New Roman"/>
          <w:sz w:val="24"/>
          <w:szCs w:val="24"/>
        </w:rPr>
        <w:footnoteReference w:id="16"/>
      </w:r>
      <w:r w:rsidR="00484732" w:rsidRPr="00445489">
        <w:rPr>
          <w:rFonts w:ascii="Times New Roman" w:hAnsi="Times New Roman" w:cs="Times New Roman"/>
          <w:sz w:val="24"/>
          <w:szCs w:val="24"/>
        </w:rPr>
        <w:t xml:space="preserve">, </w:t>
      </w:r>
      <w:r w:rsidR="00F8146F">
        <w:rPr>
          <w:rFonts w:ascii="Times New Roman" w:eastAsia="Calibri" w:hAnsi="Times New Roman" w:cs="Times New Roman"/>
          <w:sz w:val="24"/>
          <w:szCs w:val="24"/>
        </w:rPr>
        <w:t>Perkančioji organizacija</w:t>
      </w:r>
      <w:r w:rsidR="00484732" w:rsidRPr="00445489">
        <w:rPr>
          <w:rFonts w:ascii="Times New Roman" w:eastAsia="Calibri" w:hAnsi="Times New Roman" w:cs="Times New Roman"/>
          <w:sz w:val="24"/>
          <w:szCs w:val="24"/>
        </w:rPr>
        <w:t xml:space="preserve"> nusprendė </w:t>
      </w:r>
      <w:r w:rsidR="00484732">
        <w:rPr>
          <w:rFonts w:ascii="Times New Roman" w:eastAsia="Calibri" w:hAnsi="Times New Roman" w:cs="Times New Roman"/>
          <w:sz w:val="24"/>
          <w:szCs w:val="24"/>
        </w:rPr>
        <w:t xml:space="preserve">Pirkimą </w:t>
      </w:r>
      <w:r w:rsidR="00484732" w:rsidRPr="00445489">
        <w:rPr>
          <w:rFonts w:ascii="Times New Roman" w:eastAsia="Calibri" w:hAnsi="Times New Roman" w:cs="Times New Roman"/>
          <w:sz w:val="24"/>
          <w:szCs w:val="24"/>
        </w:rPr>
        <w:t xml:space="preserve">vykdyti neskelbiamų derybų būdu vadovaujantis Įstatymo 71 straipsnio 1 dalies 2 punkto </w:t>
      </w:r>
      <w:r w:rsidR="00F8146F">
        <w:rPr>
          <w:rFonts w:ascii="Times New Roman" w:eastAsia="Calibri" w:hAnsi="Times New Roman" w:cs="Times New Roman"/>
          <w:sz w:val="24"/>
          <w:szCs w:val="24"/>
        </w:rPr>
        <w:t xml:space="preserve">(b) ir </w:t>
      </w:r>
      <w:r w:rsidR="00484732" w:rsidRPr="00445489">
        <w:rPr>
          <w:rFonts w:ascii="Times New Roman" w:eastAsia="Calibri" w:hAnsi="Times New Roman" w:cs="Times New Roman"/>
          <w:sz w:val="24"/>
          <w:szCs w:val="24"/>
        </w:rPr>
        <w:t>(c) papunkči</w:t>
      </w:r>
      <w:r w:rsidR="00F8146F">
        <w:rPr>
          <w:rFonts w:ascii="Times New Roman" w:eastAsia="Calibri" w:hAnsi="Times New Roman" w:cs="Times New Roman"/>
          <w:sz w:val="24"/>
          <w:szCs w:val="24"/>
        </w:rPr>
        <w:t>ų</w:t>
      </w:r>
      <w:r w:rsidR="00484732" w:rsidRPr="00445489">
        <w:rPr>
          <w:rFonts w:ascii="Times New Roman" w:eastAsia="Calibri" w:hAnsi="Times New Roman" w:cs="Times New Roman"/>
          <w:sz w:val="24"/>
          <w:szCs w:val="24"/>
        </w:rPr>
        <w:t xml:space="preserve"> nuostatomis ir kreiptis į Tarnybą sutikimo dėl tokio pirkimo būdo pasirinkimo</w:t>
      </w:r>
      <w:r w:rsidR="00484732" w:rsidRPr="00445489">
        <w:rPr>
          <w:rStyle w:val="FootnoteReference"/>
          <w:rFonts w:ascii="Times New Roman" w:eastAsia="Calibri" w:hAnsi="Times New Roman" w:cs="Times New Roman"/>
          <w:sz w:val="24"/>
          <w:szCs w:val="24"/>
        </w:rPr>
        <w:footnoteReference w:id="17"/>
      </w:r>
      <w:r w:rsidR="00760531">
        <w:rPr>
          <w:rFonts w:ascii="Times New Roman" w:eastAsia="Calibri" w:hAnsi="Times New Roman" w:cs="Times New Roman"/>
          <w:sz w:val="24"/>
          <w:szCs w:val="24"/>
        </w:rPr>
        <w:t xml:space="preserve">. </w:t>
      </w:r>
      <w:r w:rsidR="0016719B" w:rsidRPr="00B923E3">
        <w:rPr>
          <w:rFonts w:ascii="Times New Roman" w:hAnsi="Times New Roman" w:cs="Times New Roman"/>
          <w:sz w:val="24"/>
          <w:szCs w:val="24"/>
          <w:shd w:val="clear" w:color="auto" w:fill="FFFFFF"/>
        </w:rPr>
        <w:t xml:space="preserve">Numatomas maksimalus lėšų poreikis šiam Pirkimui – </w:t>
      </w:r>
      <w:r w:rsidR="0016719B">
        <w:rPr>
          <w:rFonts w:ascii="Times New Roman" w:hAnsi="Times New Roman" w:cs="Times New Roman"/>
          <w:sz w:val="24"/>
          <w:szCs w:val="24"/>
          <w:shd w:val="clear" w:color="auto" w:fill="FFFFFF"/>
        </w:rPr>
        <w:t>168 981,00</w:t>
      </w:r>
      <w:r w:rsidR="0016719B" w:rsidRPr="00B923E3">
        <w:rPr>
          <w:rFonts w:ascii="Times New Roman" w:hAnsi="Times New Roman" w:cs="Times New Roman"/>
          <w:sz w:val="24"/>
          <w:szCs w:val="24"/>
        </w:rPr>
        <w:t xml:space="preserve"> Eur be PVM</w:t>
      </w:r>
      <w:r w:rsidR="0016719B">
        <w:rPr>
          <w:rFonts w:ascii="Times New Roman" w:hAnsi="Times New Roman" w:cs="Times New Roman"/>
          <w:sz w:val="24"/>
          <w:szCs w:val="24"/>
        </w:rPr>
        <w:t xml:space="preserve"> (204 467,10 Eur su PVM)</w:t>
      </w:r>
      <w:r w:rsidR="0016719B">
        <w:rPr>
          <w:rStyle w:val="FootnoteReference"/>
          <w:rFonts w:ascii="Times New Roman" w:hAnsi="Times New Roman" w:cs="Times New Roman"/>
          <w:sz w:val="24"/>
          <w:szCs w:val="24"/>
        </w:rPr>
        <w:footnoteReference w:id="18"/>
      </w:r>
      <w:r w:rsidR="0016719B" w:rsidRPr="00B923E3">
        <w:rPr>
          <w:rFonts w:ascii="Times New Roman" w:hAnsi="Times New Roman" w:cs="Times New Roman"/>
          <w:sz w:val="24"/>
          <w:szCs w:val="24"/>
        </w:rPr>
        <w:t xml:space="preserve">. </w:t>
      </w:r>
    </w:p>
    <w:p w14:paraId="33AFF923" w14:textId="6CC632DB" w:rsidR="008C7DC6" w:rsidRPr="00123F44" w:rsidRDefault="00AA4D90" w:rsidP="00123F44">
      <w:pPr>
        <w:tabs>
          <w:tab w:val="left" w:pos="851"/>
        </w:tabs>
        <w:spacing w:after="0" w:line="240" w:lineRule="auto"/>
        <w:ind w:firstLine="851"/>
        <w:jc w:val="both"/>
        <w:rPr>
          <w:rFonts w:eastAsia="Calibri"/>
          <w:szCs w:val="24"/>
        </w:rPr>
      </w:pPr>
      <w:r w:rsidRPr="00606288">
        <w:rPr>
          <w:rFonts w:ascii="Times New Roman" w:eastAsia="Times New Roman" w:hAnsi="Times New Roman" w:cs="Times New Roman"/>
          <w:sz w:val="24"/>
          <w:szCs w:val="24"/>
        </w:rPr>
        <w:lastRenderedPageBreak/>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punkto </w:t>
      </w:r>
      <w:r w:rsidR="008C7DC6">
        <w:rPr>
          <w:rFonts w:ascii="Times New Roman" w:eastAsia="Times New Roman" w:hAnsi="Times New Roman" w:cs="Times New Roman"/>
          <w:sz w:val="24"/>
          <w:szCs w:val="24"/>
        </w:rPr>
        <w:t>(b) ir</w:t>
      </w:r>
      <w:r w:rsidR="008C7DC6" w:rsidRPr="00606288">
        <w:rPr>
          <w:rFonts w:ascii="Times New Roman" w:eastAsia="Times New Roman" w:hAnsi="Times New Roman" w:cs="Times New Roman"/>
          <w:sz w:val="24"/>
          <w:szCs w:val="24"/>
        </w:rPr>
        <w:t xml:space="preserve"> </w:t>
      </w:r>
      <w:r w:rsidR="008C7DC6">
        <w:rPr>
          <w:rFonts w:ascii="Times New Roman" w:eastAsia="Times New Roman" w:hAnsi="Times New Roman" w:cs="Times New Roman"/>
          <w:sz w:val="24"/>
          <w:szCs w:val="24"/>
        </w:rPr>
        <w:t xml:space="preserve">(c) papunkčių </w:t>
      </w:r>
      <w:r w:rsidRPr="00606288">
        <w:rPr>
          <w:rFonts w:ascii="Times New Roman" w:eastAsia="Times New Roman" w:hAnsi="Times New Roman" w:cs="Times New Roman"/>
          <w:sz w:val="24"/>
          <w:szCs w:val="24"/>
        </w:rPr>
        <w:t>nuostatos</w:t>
      </w:r>
      <w:r>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aslaugos ar darbai </w:t>
      </w:r>
      <w:r w:rsidRPr="00606288">
        <w:rPr>
          <w:rFonts w:ascii="Times New Roman" w:eastAsia="Times New Roman" w:hAnsi="Times New Roman" w:cs="Times New Roman"/>
          <w:sz w:val="24"/>
          <w:szCs w:val="24"/>
        </w:rPr>
        <w:t>neskelbiamų derybų būdu gali būti perkam</w:t>
      </w:r>
      <w:r>
        <w:rPr>
          <w:rFonts w:ascii="Times New Roman" w:eastAsia="Times New Roman" w:hAnsi="Times New Roman" w:cs="Times New Roman"/>
          <w:sz w:val="24"/>
          <w:szCs w:val="24"/>
        </w:rPr>
        <w:t>i</w:t>
      </w:r>
      <w:r w:rsidRPr="00606288">
        <w:rPr>
          <w:rFonts w:ascii="Times New Roman" w:eastAsia="Times New Roman" w:hAnsi="Times New Roman" w:cs="Times New Roman"/>
          <w:sz w:val="24"/>
          <w:szCs w:val="24"/>
        </w:rPr>
        <w:t xml:space="preserve">: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prekes patiekti, paslaugas teikti ar darbus atlikti gali tik konkretus tiekėjas dėl vienos iš šių priežasčių: &lt;...&gt; b) konkurencijos nėra dėl techninių priežasčių</w:t>
      </w:r>
      <w:r w:rsidR="00DB40E8">
        <w:rPr>
          <w:rFonts w:ascii="Times New Roman" w:eastAsia="Times New Roman" w:hAnsi="Times New Roman" w:cs="Times New Roman"/>
          <w:i/>
          <w:sz w:val="24"/>
          <w:szCs w:val="24"/>
        </w:rPr>
        <w:t xml:space="preserve">; </w:t>
      </w:r>
      <w:r w:rsidR="008C7DC6">
        <w:rPr>
          <w:rFonts w:ascii="Times New Roman" w:eastAsia="Times New Roman" w:hAnsi="Times New Roman" w:cs="Times New Roman"/>
          <w:i/>
          <w:sz w:val="24"/>
          <w:szCs w:val="24"/>
        </w:rPr>
        <w:t>c) dėl išimtinių teisių, įskaitant intelektinės nuosavybės teises, apsaugos.“</w:t>
      </w:r>
      <w:r>
        <w:rPr>
          <w:rFonts w:eastAsia="Calibri"/>
          <w:szCs w:val="24"/>
        </w:rPr>
        <w:t xml:space="preserve"> </w:t>
      </w:r>
    </w:p>
    <w:p w14:paraId="6497BDD8" w14:textId="4A724AFB" w:rsidR="00123F44" w:rsidRPr="00123F44" w:rsidRDefault="00AA4D90" w:rsidP="00AA4D90">
      <w:pPr>
        <w:tabs>
          <w:tab w:val="left" w:pos="851"/>
        </w:tabs>
        <w:spacing w:after="0" w:line="240" w:lineRule="auto"/>
        <w:jc w:val="both"/>
        <w:rPr>
          <w:rFonts w:ascii="Times New Roman" w:eastAsia="Calibri" w:hAnsi="Times New Roman" w:cs="Times New Roman"/>
          <w:sz w:val="24"/>
          <w:szCs w:val="24"/>
        </w:rPr>
      </w:pPr>
      <w:r w:rsidRPr="007F4A37">
        <w:rPr>
          <w:rFonts w:ascii="Times New Roman" w:eastAsia="Calibri" w:hAnsi="Times New Roman" w:cs="Times New Roman"/>
          <w:sz w:val="24"/>
          <w:szCs w:val="24"/>
        </w:rPr>
        <w:tab/>
        <w:t xml:space="preserve">Įvertinus prašyme nurodytas aplinkybes ir pateiktus argumentus, darytina išvada, jog Perkančiosios organizacijos poreikius atitinkantį (užtikrinama galimybė </w:t>
      </w:r>
      <w:r w:rsidR="008C7DC6" w:rsidRPr="007F4A37">
        <w:rPr>
          <w:rFonts w:ascii="Times New Roman" w:hAnsi="Times New Roman" w:cs="Times New Roman"/>
          <w:color w:val="000000"/>
          <w:sz w:val="24"/>
          <w:szCs w:val="24"/>
          <w:lang w:eastAsia="en-GB"/>
        </w:rPr>
        <w:t xml:space="preserve">nuskaityti abu DNR galus sugeneruojant fragmentą, kurio maksimalus ilgis: 2 </w:t>
      </w:r>
      <w:r w:rsidR="008C7DC6" w:rsidRPr="007F4A37">
        <w:rPr>
          <w:rFonts w:ascii="Times New Roman" w:hAnsi="Times New Roman" w:cs="Times New Roman"/>
          <w:b/>
          <w:bCs/>
          <w:color w:val="000000"/>
          <w:sz w:val="24"/>
          <w:szCs w:val="24"/>
          <w:lang w:eastAsia="en-GB"/>
        </w:rPr>
        <w:t>×</w:t>
      </w:r>
      <w:r w:rsidR="008C7DC6" w:rsidRPr="007F4A37">
        <w:rPr>
          <w:rFonts w:ascii="Times New Roman" w:hAnsi="Times New Roman" w:cs="Times New Roman"/>
          <w:color w:val="000000"/>
          <w:sz w:val="24"/>
          <w:szCs w:val="24"/>
          <w:lang w:eastAsia="en-GB"/>
        </w:rPr>
        <w:t xml:space="preserve"> 300 </w:t>
      </w:r>
      <w:proofErr w:type="spellStart"/>
      <w:r w:rsidR="008C7DC6" w:rsidRPr="007F4A37">
        <w:rPr>
          <w:rFonts w:ascii="Times New Roman" w:hAnsi="Times New Roman" w:cs="Times New Roman"/>
          <w:color w:val="000000"/>
          <w:sz w:val="24"/>
          <w:szCs w:val="24"/>
          <w:lang w:eastAsia="en-GB"/>
        </w:rPr>
        <w:t>bp</w:t>
      </w:r>
      <w:proofErr w:type="spellEnd"/>
      <w:r w:rsidR="008C7DC6" w:rsidRPr="007F4A37">
        <w:rPr>
          <w:rFonts w:ascii="Times New Roman" w:hAnsi="Times New Roman" w:cs="Times New Roman"/>
          <w:color w:val="000000"/>
          <w:sz w:val="24"/>
          <w:szCs w:val="24"/>
          <w:lang w:eastAsia="en-GB"/>
        </w:rPr>
        <w:t xml:space="preserve">, t. y. 600 </w:t>
      </w:r>
      <w:proofErr w:type="spellStart"/>
      <w:r w:rsidR="008C7DC6" w:rsidRPr="007F4A37">
        <w:rPr>
          <w:rFonts w:ascii="Times New Roman" w:hAnsi="Times New Roman" w:cs="Times New Roman"/>
          <w:color w:val="000000"/>
          <w:sz w:val="24"/>
          <w:szCs w:val="24"/>
          <w:lang w:eastAsia="en-GB"/>
        </w:rPr>
        <w:t>bp</w:t>
      </w:r>
      <w:proofErr w:type="spellEnd"/>
      <w:r w:rsidRPr="007F4A37">
        <w:rPr>
          <w:rFonts w:ascii="Times New Roman" w:eastAsia="Calibri" w:hAnsi="Times New Roman" w:cs="Times New Roman"/>
          <w:sz w:val="24"/>
          <w:szCs w:val="24"/>
        </w:rPr>
        <w:t xml:space="preserve">) bei techninius parametrus (technologinį išskirtinumą) turintį prietaisą – </w:t>
      </w:r>
      <w:proofErr w:type="spellStart"/>
      <w:r w:rsidR="008C7DC6" w:rsidRPr="007F4A37">
        <w:rPr>
          <w:rFonts w:ascii="Times New Roman" w:hAnsi="Times New Roman" w:cs="Times New Roman"/>
          <w:i/>
          <w:iCs/>
          <w:sz w:val="24"/>
          <w:szCs w:val="24"/>
        </w:rPr>
        <w:t>Illumina</w:t>
      </w:r>
      <w:proofErr w:type="spellEnd"/>
      <w:r w:rsidR="008C7DC6" w:rsidRPr="007F4A37">
        <w:rPr>
          <w:rFonts w:ascii="Times New Roman" w:hAnsi="Times New Roman" w:cs="Times New Roman"/>
          <w:i/>
          <w:iCs/>
          <w:sz w:val="24"/>
          <w:szCs w:val="24"/>
        </w:rPr>
        <w:t xml:space="preserve"> „</w:t>
      </w:r>
      <w:proofErr w:type="spellStart"/>
      <w:r w:rsidR="008C7DC6" w:rsidRPr="007F4A37">
        <w:rPr>
          <w:rFonts w:ascii="Times New Roman" w:hAnsi="Times New Roman" w:cs="Times New Roman"/>
          <w:i/>
          <w:iCs/>
          <w:sz w:val="24"/>
          <w:szCs w:val="24"/>
        </w:rPr>
        <w:t>Miseq</w:t>
      </w:r>
      <w:proofErr w:type="spellEnd"/>
      <w:r w:rsidR="008C7DC6" w:rsidRPr="007F4A37">
        <w:rPr>
          <w:rFonts w:ascii="Times New Roman" w:hAnsi="Times New Roman" w:cs="Times New Roman"/>
          <w:i/>
          <w:iCs/>
          <w:sz w:val="24"/>
          <w:szCs w:val="24"/>
        </w:rPr>
        <w:t xml:space="preserve">“ naujos kartos </w:t>
      </w:r>
      <w:proofErr w:type="spellStart"/>
      <w:r w:rsidR="008C7DC6" w:rsidRPr="007F4A37">
        <w:rPr>
          <w:rFonts w:ascii="Times New Roman" w:hAnsi="Times New Roman" w:cs="Times New Roman"/>
          <w:i/>
          <w:iCs/>
          <w:sz w:val="24"/>
          <w:szCs w:val="24"/>
        </w:rPr>
        <w:t>sekoskaitos</w:t>
      </w:r>
      <w:proofErr w:type="spellEnd"/>
      <w:r w:rsidR="008C7DC6" w:rsidRPr="007F4A37">
        <w:rPr>
          <w:rFonts w:ascii="Times New Roman" w:hAnsi="Times New Roman" w:cs="Times New Roman"/>
          <w:i/>
          <w:iCs/>
          <w:sz w:val="24"/>
          <w:szCs w:val="24"/>
        </w:rPr>
        <w:t xml:space="preserve"> įrenginį</w:t>
      </w:r>
      <w:r w:rsidRPr="007F4A37">
        <w:rPr>
          <w:rFonts w:ascii="Times New Roman" w:hAnsi="Times New Roman" w:cs="Times New Roman"/>
          <w:i/>
          <w:sz w:val="24"/>
          <w:szCs w:val="24"/>
        </w:rPr>
        <w:t xml:space="preserve"> </w:t>
      </w:r>
      <w:r w:rsidRPr="007F4A37">
        <w:rPr>
          <w:rFonts w:ascii="Times New Roman" w:hAnsi="Times New Roman" w:cs="Times New Roman"/>
          <w:iCs/>
          <w:sz w:val="24"/>
          <w:szCs w:val="24"/>
        </w:rPr>
        <w:t xml:space="preserve">gali pateikti tik konkretus gamintojas </w:t>
      </w:r>
      <w:r w:rsidR="008C7DC6" w:rsidRPr="007F4A37">
        <w:rPr>
          <w:rFonts w:ascii="Times New Roman" w:hAnsi="Times New Roman" w:cs="Times New Roman"/>
          <w:sz w:val="24"/>
          <w:szCs w:val="24"/>
        </w:rPr>
        <w:t>„</w:t>
      </w:r>
      <w:proofErr w:type="spellStart"/>
      <w:r w:rsidR="008C7DC6" w:rsidRPr="007F4A37">
        <w:rPr>
          <w:rFonts w:ascii="Times New Roman" w:hAnsi="Times New Roman" w:cs="Times New Roman"/>
          <w:sz w:val="24"/>
          <w:szCs w:val="24"/>
        </w:rPr>
        <w:t>Illumina</w:t>
      </w:r>
      <w:proofErr w:type="spellEnd"/>
      <w:r w:rsidR="008C7DC6" w:rsidRPr="007F4A37">
        <w:rPr>
          <w:rFonts w:ascii="Times New Roman" w:hAnsi="Times New Roman" w:cs="Times New Roman"/>
          <w:sz w:val="24"/>
          <w:szCs w:val="24"/>
        </w:rPr>
        <w:t>“</w:t>
      </w:r>
      <w:r w:rsidRPr="007F4A37">
        <w:rPr>
          <w:rFonts w:ascii="Times New Roman" w:hAnsi="Times New Roman" w:cs="Times New Roman"/>
          <w:sz w:val="24"/>
          <w:szCs w:val="24"/>
        </w:rPr>
        <w:t xml:space="preserve">, todėl nagrinėjamu atveju </w:t>
      </w:r>
      <w:r w:rsidRPr="007F4A37">
        <w:rPr>
          <w:rFonts w:ascii="Times New Roman" w:eastAsia="Calibri" w:hAnsi="Times New Roman" w:cs="Times New Roman"/>
          <w:sz w:val="24"/>
          <w:szCs w:val="24"/>
        </w:rPr>
        <w:t>yra tenkinamos neskelbiamų derybų sąlygos, nurodytos Įstatymo 71 straipsnio 1 dalies 2 punkto (b) papunktyje.</w:t>
      </w:r>
      <w:r w:rsidR="00790B76" w:rsidRPr="007F4A37">
        <w:rPr>
          <w:rFonts w:ascii="Times New Roman" w:eastAsia="Calibri" w:hAnsi="Times New Roman" w:cs="Times New Roman"/>
          <w:sz w:val="24"/>
          <w:szCs w:val="24"/>
        </w:rPr>
        <w:t xml:space="preserve"> </w:t>
      </w:r>
      <w:r w:rsidR="007F4A37" w:rsidRPr="007F4A37">
        <w:rPr>
          <w:rFonts w:ascii="Times New Roman" w:eastAsia="Calibri" w:hAnsi="Times New Roman" w:cs="Times New Roman"/>
          <w:sz w:val="24"/>
          <w:szCs w:val="24"/>
        </w:rPr>
        <w:t>Taip pat nustatyta, kad k</w:t>
      </w:r>
      <w:r w:rsidR="007F4A37" w:rsidRPr="007F4A37">
        <w:rPr>
          <w:rFonts w:ascii="Times New Roman" w:hAnsi="Times New Roman" w:cs="Times New Roman"/>
          <w:sz w:val="24"/>
          <w:szCs w:val="24"/>
        </w:rPr>
        <w:t xml:space="preserve">omponentai bei metodai, naudojami </w:t>
      </w:r>
      <w:r w:rsidR="009E0322" w:rsidRPr="00445489">
        <w:rPr>
          <w:rFonts w:ascii="Times New Roman" w:eastAsia="Calibri" w:hAnsi="Times New Roman" w:cs="Times New Roman"/>
          <w:sz w:val="24"/>
          <w:szCs w:val="24"/>
        </w:rPr>
        <w:t>įrangos</w:t>
      </w:r>
      <w:r w:rsidR="009E0322">
        <w:rPr>
          <w:rFonts w:ascii="Times New Roman" w:eastAsia="Calibri" w:hAnsi="Times New Roman" w:cs="Times New Roman"/>
          <w:sz w:val="24"/>
          <w:szCs w:val="24"/>
        </w:rPr>
        <w:t xml:space="preserve"> gamintojo </w:t>
      </w:r>
      <w:r w:rsidR="009E0322">
        <w:rPr>
          <w:rFonts w:ascii="Times New Roman" w:hAnsi="Times New Roman" w:cs="Times New Roman"/>
          <w:sz w:val="24"/>
          <w:szCs w:val="24"/>
        </w:rPr>
        <w:t>„</w:t>
      </w:r>
      <w:proofErr w:type="spellStart"/>
      <w:r w:rsidR="009E0322">
        <w:rPr>
          <w:rFonts w:ascii="Times New Roman" w:hAnsi="Times New Roman" w:cs="Times New Roman"/>
          <w:sz w:val="24"/>
          <w:szCs w:val="24"/>
        </w:rPr>
        <w:t>Illumina</w:t>
      </w:r>
      <w:proofErr w:type="spellEnd"/>
      <w:r w:rsidR="009E0322">
        <w:rPr>
          <w:rFonts w:ascii="Times New Roman" w:hAnsi="Times New Roman" w:cs="Times New Roman"/>
          <w:sz w:val="24"/>
          <w:szCs w:val="24"/>
        </w:rPr>
        <w:t>“ sukurtose</w:t>
      </w:r>
      <w:r w:rsidR="007F4A37" w:rsidRPr="007F4A37">
        <w:rPr>
          <w:rFonts w:ascii="Times New Roman" w:hAnsi="Times New Roman" w:cs="Times New Roman"/>
          <w:sz w:val="24"/>
          <w:szCs w:val="24"/>
        </w:rPr>
        <w:t xml:space="preserve"> sistemose </w:t>
      </w:r>
      <w:r w:rsidR="008C7DC6" w:rsidRPr="007F4A37">
        <w:rPr>
          <w:rFonts w:ascii="Times New Roman" w:hAnsi="Times New Roman" w:cs="Times New Roman"/>
          <w:sz w:val="24"/>
          <w:szCs w:val="24"/>
        </w:rPr>
        <w:t>yra patentuot</w:t>
      </w:r>
      <w:r w:rsidR="007F4A37" w:rsidRPr="007F4A37">
        <w:rPr>
          <w:rFonts w:ascii="Times New Roman" w:hAnsi="Times New Roman" w:cs="Times New Roman"/>
          <w:sz w:val="24"/>
          <w:szCs w:val="24"/>
        </w:rPr>
        <w:t>i</w:t>
      </w:r>
      <w:r w:rsidR="008C7DC6" w:rsidRPr="007F4A37">
        <w:rPr>
          <w:rFonts w:ascii="Times New Roman" w:hAnsi="Times New Roman" w:cs="Times New Roman"/>
          <w:sz w:val="24"/>
          <w:szCs w:val="24"/>
        </w:rPr>
        <w:t xml:space="preserve"> tarptautiniais patentais, todėl </w:t>
      </w:r>
      <w:r w:rsidR="008C7DC6" w:rsidRPr="007F4A37">
        <w:rPr>
          <w:rFonts w:ascii="Times New Roman" w:eastAsia="Calibri" w:hAnsi="Times New Roman" w:cs="Times New Roman"/>
          <w:sz w:val="24"/>
          <w:szCs w:val="24"/>
        </w:rPr>
        <w:t xml:space="preserve">yra tenkinamos neskelbiamų derybų sąlygos, nurodytos </w:t>
      </w:r>
      <w:r w:rsidR="007F4A37" w:rsidRPr="007F4A37">
        <w:rPr>
          <w:rFonts w:ascii="Times New Roman" w:eastAsia="Calibri" w:hAnsi="Times New Roman" w:cs="Times New Roman"/>
          <w:sz w:val="24"/>
          <w:szCs w:val="24"/>
        </w:rPr>
        <w:t xml:space="preserve">ir </w:t>
      </w:r>
      <w:r w:rsidR="008C7DC6" w:rsidRPr="007F4A37">
        <w:rPr>
          <w:rFonts w:ascii="Times New Roman" w:eastAsia="Calibri" w:hAnsi="Times New Roman" w:cs="Times New Roman"/>
          <w:sz w:val="24"/>
          <w:szCs w:val="24"/>
        </w:rPr>
        <w:t>Įstatymo 71 straipsnio 1 dalies 2 punkto (c) papunktyje.</w:t>
      </w:r>
      <w:r w:rsidR="00123F44">
        <w:rPr>
          <w:rFonts w:ascii="Times New Roman" w:eastAsia="Calibri" w:hAnsi="Times New Roman" w:cs="Times New Roman"/>
          <w:sz w:val="24"/>
          <w:szCs w:val="24"/>
        </w:rPr>
        <w:t xml:space="preserve"> </w:t>
      </w:r>
      <w:r w:rsidR="007F4A37">
        <w:rPr>
          <w:rFonts w:ascii="Times New Roman" w:eastAsia="Calibri" w:hAnsi="Times New Roman" w:cs="Times New Roman"/>
          <w:sz w:val="24"/>
          <w:szCs w:val="24"/>
        </w:rPr>
        <w:t xml:space="preserve">Be to, kaip </w:t>
      </w:r>
      <w:r w:rsidR="009E0322">
        <w:rPr>
          <w:rFonts w:ascii="Times New Roman" w:eastAsia="Calibri" w:hAnsi="Times New Roman" w:cs="Times New Roman"/>
          <w:sz w:val="24"/>
          <w:szCs w:val="24"/>
        </w:rPr>
        <w:t>pažymėjo</w:t>
      </w:r>
      <w:r>
        <w:rPr>
          <w:rFonts w:ascii="Times New Roman" w:eastAsia="Calibri" w:hAnsi="Times New Roman" w:cs="Times New Roman"/>
          <w:sz w:val="24"/>
          <w:szCs w:val="24"/>
        </w:rPr>
        <w:t xml:space="preserve"> </w:t>
      </w:r>
      <w:r>
        <w:rPr>
          <w:rFonts w:ascii="Times New Roman" w:hAnsi="Times New Roman" w:cs="Times New Roman"/>
          <w:sz w:val="24"/>
          <w:szCs w:val="24"/>
        </w:rPr>
        <w:t>Perkančio</w:t>
      </w:r>
      <w:r w:rsidR="007F4A37">
        <w:rPr>
          <w:rFonts w:ascii="Times New Roman" w:hAnsi="Times New Roman" w:cs="Times New Roman"/>
          <w:sz w:val="24"/>
          <w:szCs w:val="24"/>
        </w:rPr>
        <w:t xml:space="preserve">ji organizacija, </w:t>
      </w:r>
      <w:r>
        <w:rPr>
          <w:rFonts w:ascii="Times New Roman" w:hAnsi="Times New Roman" w:cs="Times New Roman"/>
          <w:sz w:val="24"/>
          <w:szCs w:val="24"/>
        </w:rPr>
        <w:t>Pirkim</w:t>
      </w:r>
      <w:r w:rsidR="00790B76">
        <w:rPr>
          <w:rFonts w:ascii="Times New Roman" w:hAnsi="Times New Roman" w:cs="Times New Roman"/>
          <w:sz w:val="24"/>
          <w:szCs w:val="24"/>
        </w:rPr>
        <w:t xml:space="preserve">u </w:t>
      </w:r>
      <w:r>
        <w:rPr>
          <w:rFonts w:ascii="Times New Roman" w:hAnsi="Times New Roman" w:cs="Times New Roman"/>
          <w:sz w:val="24"/>
          <w:szCs w:val="24"/>
        </w:rPr>
        <w:t>siekiama įsigyti</w:t>
      </w:r>
      <w:r w:rsidRPr="008524F7">
        <w:rPr>
          <w:rFonts w:ascii="Times New Roman" w:hAnsi="Times New Roman" w:cs="Times New Roman"/>
          <w:sz w:val="24"/>
          <w:szCs w:val="24"/>
        </w:rPr>
        <w:t xml:space="preserve"> įranga </w:t>
      </w:r>
      <w:r w:rsidR="007F4A37">
        <w:rPr>
          <w:rFonts w:ascii="Times New Roman" w:hAnsi="Times New Roman" w:cs="Times New Roman"/>
          <w:sz w:val="24"/>
          <w:szCs w:val="24"/>
        </w:rPr>
        <w:t>būtų naudojama tik</w:t>
      </w:r>
      <w:r w:rsidRPr="008524F7">
        <w:rPr>
          <w:rFonts w:ascii="Times New Roman" w:hAnsi="Times New Roman" w:cs="Times New Roman"/>
          <w:sz w:val="24"/>
          <w:szCs w:val="24"/>
        </w:rPr>
        <w:t xml:space="preserve"> mokslinių tyrimų</w:t>
      </w:r>
      <w:r w:rsidR="00123F44" w:rsidRPr="00DF5DA9">
        <w:rPr>
          <w:rFonts w:ascii="Times New Roman" w:hAnsi="Times New Roman" w:cs="Times New Roman"/>
          <w:color w:val="000000"/>
          <w:sz w:val="24"/>
          <w:szCs w:val="24"/>
          <w:lang w:eastAsia="zh-CN"/>
        </w:rPr>
        <w:t>, eksperimentų, studijų ir eksperimentinės plėtros tikslais – įsigijus prietaisą tyrėjams atsiras galimybė vykdyti modernius kompleksinius mokslinius tyrimus Lietuvoje</w:t>
      </w:r>
      <w:r>
        <w:rPr>
          <w:rFonts w:ascii="Times New Roman" w:hAnsi="Times New Roman" w:cs="Times New Roman"/>
          <w:sz w:val="24"/>
          <w:szCs w:val="24"/>
        </w:rPr>
        <w:t>.</w:t>
      </w:r>
      <w:r>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 xml:space="preserve">Įstatymo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sidR="00123F44">
        <w:rPr>
          <w:rFonts w:ascii="Times New Roman" w:eastAsia="Calibri" w:hAnsi="Times New Roman" w:cs="Times New Roman"/>
          <w:sz w:val="24"/>
          <w:szCs w:val="24"/>
        </w:rPr>
        <w:t>Lietuvos sveikatos mokslų</w:t>
      </w:r>
      <w:r>
        <w:rPr>
          <w:rFonts w:ascii="Times New Roman" w:eastAsia="Calibri" w:hAnsi="Times New Roman" w:cs="Times New Roman"/>
          <w:sz w:val="24"/>
          <w:szCs w:val="24"/>
        </w:rPr>
        <w:t xml:space="preserve"> universitetas </w:t>
      </w:r>
      <w:r w:rsidR="00445489">
        <w:rPr>
          <w:rFonts w:ascii="Times New Roman" w:eastAsia="Calibri" w:hAnsi="Times New Roman" w:cs="Times New Roman"/>
          <w:i/>
          <w:sz w:val="24"/>
          <w:szCs w:val="24"/>
          <w:lang w:eastAsia="lt-LT"/>
        </w:rPr>
        <w:t xml:space="preserve">Pirkimą </w:t>
      </w:r>
      <w:r w:rsidRPr="000B350C">
        <w:rPr>
          <w:rFonts w:ascii="Times New Roman" w:eastAsia="Calibri" w:hAnsi="Times New Roman" w:cs="Times New Roman"/>
          <w:sz w:val="24"/>
          <w:szCs w:val="24"/>
          <w:lang w:eastAsia="lt-LT"/>
        </w:rPr>
        <w:t>vykdytų neskelbiamų derybų būdu, vadovaujantis Įstatymo 71 straipsnio 1 dalies 2 punkto (</w:t>
      </w:r>
      <w:r>
        <w:rPr>
          <w:rFonts w:ascii="Times New Roman" w:eastAsia="Calibri" w:hAnsi="Times New Roman" w:cs="Times New Roman"/>
          <w:sz w:val="24"/>
          <w:szCs w:val="24"/>
          <w:lang w:eastAsia="lt-LT"/>
        </w:rPr>
        <w:t>b</w:t>
      </w:r>
      <w:r w:rsidRPr="000B350C">
        <w:rPr>
          <w:rFonts w:ascii="Times New Roman" w:eastAsia="Calibri" w:hAnsi="Times New Roman" w:cs="Times New Roman"/>
          <w:sz w:val="24"/>
          <w:szCs w:val="24"/>
          <w:lang w:eastAsia="lt-LT"/>
        </w:rPr>
        <w:t>)</w:t>
      </w:r>
      <w:r w:rsidR="00123F44">
        <w:rPr>
          <w:rFonts w:ascii="Times New Roman" w:eastAsia="Calibri" w:hAnsi="Times New Roman" w:cs="Times New Roman"/>
          <w:sz w:val="24"/>
          <w:szCs w:val="24"/>
          <w:lang w:eastAsia="lt-LT"/>
        </w:rPr>
        <w:t xml:space="preserve"> ir (c)</w:t>
      </w:r>
      <w:r>
        <w:rPr>
          <w:rFonts w:ascii="Times New Roman" w:eastAsia="Calibri" w:hAnsi="Times New Roman" w:cs="Times New Roman"/>
          <w:sz w:val="24"/>
          <w:szCs w:val="24"/>
          <w:lang w:eastAsia="lt-LT"/>
        </w:rPr>
        <w:t xml:space="preserve"> </w:t>
      </w:r>
      <w:r w:rsidRPr="000B350C">
        <w:rPr>
          <w:rFonts w:ascii="Times New Roman" w:eastAsia="Calibri" w:hAnsi="Times New Roman" w:cs="Times New Roman"/>
          <w:sz w:val="24"/>
          <w:szCs w:val="24"/>
          <w:lang w:eastAsia="lt-LT"/>
        </w:rPr>
        <w:t>papunkči</w:t>
      </w:r>
      <w:r w:rsidR="00123F44">
        <w:rPr>
          <w:rFonts w:ascii="Times New Roman" w:eastAsia="Calibri" w:hAnsi="Times New Roman" w:cs="Times New Roman"/>
          <w:sz w:val="24"/>
          <w:szCs w:val="24"/>
          <w:lang w:eastAsia="lt-LT"/>
        </w:rPr>
        <w:t>ų</w:t>
      </w:r>
      <w:r w:rsidRPr="000B350C">
        <w:rPr>
          <w:rFonts w:ascii="Times New Roman" w:eastAsia="Calibri" w:hAnsi="Times New Roman" w:cs="Times New Roman"/>
          <w:sz w:val="24"/>
          <w:szCs w:val="24"/>
          <w:lang w:eastAsia="lt-LT"/>
        </w:rPr>
        <w:t xml:space="preserve"> nuostatomis</w:t>
      </w:r>
      <w:r>
        <w:rPr>
          <w:rFonts w:ascii="Times New Roman" w:eastAsia="Calibri" w:hAnsi="Times New Roman" w:cs="Times New Roman"/>
          <w:sz w:val="24"/>
          <w:szCs w:val="24"/>
          <w:lang w:eastAsia="lt-LT"/>
        </w:rPr>
        <w:t xml:space="preserve"> į derybas kviečian</w:t>
      </w:r>
      <w:r>
        <w:rPr>
          <w:rFonts w:ascii="Times New Roman" w:eastAsia="Times New Roman" w:hAnsi="Times New Roman" w:cs="Times New Roman"/>
          <w:sz w:val="24"/>
          <w:szCs w:val="24"/>
        </w:rPr>
        <w:t>t</w:t>
      </w:r>
      <w:r w:rsidR="000849B5">
        <w:rPr>
          <w:rFonts w:ascii="Times New Roman" w:hAnsi="Times New Roman" w:cs="Times New Roman"/>
          <w:sz w:val="24"/>
          <w:szCs w:val="24"/>
        </w:rPr>
        <w:t xml:space="preserve"> </w:t>
      </w:r>
      <w:r w:rsidR="00123F44">
        <w:rPr>
          <w:rFonts w:ascii="Times New Roman" w:eastAsia="Times New Roman" w:hAnsi="Times New Roman" w:cs="Times New Roman"/>
          <w:sz w:val="24"/>
          <w:szCs w:val="24"/>
        </w:rPr>
        <w:t>gamintojo</w:t>
      </w:r>
      <w:r w:rsidR="00123F44">
        <w:rPr>
          <w:rFonts w:ascii="Times New Roman" w:hAnsi="Times New Roman" w:cs="Times New Roman"/>
          <w:sz w:val="24"/>
          <w:szCs w:val="24"/>
        </w:rPr>
        <w:t xml:space="preserve"> „</w:t>
      </w:r>
      <w:proofErr w:type="spellStart"/>
      <w:r w:rsidR="00123F44" w:rsidRPr="00123F44">
        <w:rPr>
          <w:rFonts w:ascii="Times New Roman" w:eastAsia="Times New Roman" w:hAnsi="Times New Roman" w:cs="Times New Roman"/>
          <w:sz w:val="24"/>
          <w:szCs w:val="24"/>
        </w:rPr>
        <w:t>Illumina</w:t>
      </w:r>
      <w:proofErr w:type="spellEnd"/>
      <w:r w:rsidR="00123F44" w:rsidRPr="00123F44">
        <w:rPr>
          <w:rFonts w:ascii="Times New Roman" w:eastAsia="Times New Roman" w:hAnsi="Times New Roman" w:cs="Times New Roman"/>
          <w:sz w:val="24"/>
          <w:szCs w:val="24"/>
        </w:rPr>
        <w:t xml:space="preserve">“ atstovą – </w:t>
      </w:r>
      <w:proofErr w:type="spellStart"/>
      <w:r w:rsidR="00123F44" w:rsidRPr="00123F44">
        <w:rPr>
          <w:rFonts w:ascii="Times New Roman" w:eastAsia="Times New Roman" w:hAnsi="Times New Roman" w:cs="Times New Roman"/>
          <w:sz w:val="24"/>
          <w:szCs w:val="24"/>
          <w:shd w:val="clear" w:color="auto" w:fill="FFFFFF"/>
        </w:rPr>
        <w:t>Illumina</w:t>
      </w:r>
      <w:proofErr w:type="spellEnd"/>
      <w:r w:rsidR="00123F44" w:rsidRPr="00123F44">
        <w:rPr>
          <w:rFonts w:ascii="Times New Roman" w:eastAsia="Times New Roman" w:hAnsi="Times New Roman" w:cs="Times New Roman"/>
          <w:sz w:val="24"/>
          <w:szCs w:val="24"/>
          <w:shd w:val="clear" w:color="auto" w:fill="FFFFFF"/>
        </w:rPr>
        <w:t xml:space="preserve"> </w:t>
      </w:r>
      <w:proofErr w:type="spellStart"/>
      <w:r w:rsidR="00123F44" w:rsidRPr="00123F44">
        <w:rPr>
          <w:rFonts w:ascii="Times New Roman" w:eastAsia="Times New Roman" w:hAnsi="Times New Roman" w:cs="Times New Roman"/>
          <w:sz w:val="24"/>
          <w:szCs w:val="24"/>
          <w:shd w:val="clear" w:color="auto" w:fill="FFFFFF"/>
        </w:rPr>
        <w:t>Netherlands</w:t>
      </w:r>
      <w:proofErr w:type="spellEnd"/>
      <w:r w:rsidR="00123F44" w:rsidRPr="00123F44">
        <w:rPr>
          <w:rFonts w:ascii="Times New Roman" w:eastAsia="Times New Roman" w:hAnsi="Times New Roman" w:cs="Times New Roman"/>
          <w:sz w:val="24"/>
          <w:szCs w:val="24"/>
          <w:shd w:val="clear" w:color="auto" w:fill="FFFFFF"/>
        </w:rPr>
        <w:t xml:space="preserve"> B. V. </w:t>
      </w:r>
    </w:p>
    <w:p w14:paraId="52C45BBA" w14:textId="357FE9BB" w:rsidR="00D54AAF" w:rsidRPr="00445489" w:rsidRDefault="00905321" w:rsidP="00D54AAF">
      <w:pPr>
        <w:tabs>
          <w:tab w:val="left" w:pos="851"/>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p>
    <w:p w14:paraId="0A724913" w14:textId="16910101" w:rsidR="000C6C36" w:rsidRDefault="000C6C36" w:rsidP="000C6C36">
      <w:pPr>
        <w:tabs>
          <w:tab w:val="left" w:pos="1134"/>
        </w:tabs>
        <w:spacing w:after="0"/>
        <w:jc w:val="both"/>
        <w:rPr>
          <w:rFonts w:ascii="Times New Roman" w:eastAsia="Calibri" w:hAnsi="Times New Roman" w:cs="Times New Roman"/>
          <w:sz w:val="24"/>
          <w:szCs w:val="24"/>
        </w:rPr>
      </w:pPr>
    </w:p>
    <w:p w14:paraId="53E050FD" w14:textId="77777777" w:rsidR="00123F44" w:rsidRPr="000C6C36" w:rsidRDefault="00123F44" w:rsidP="000C6C36">
      <w:pPr>
        <w:tabs>
          <w:tab w:val="left" w:pos="1134"/>
        </w:tabs>
        <w:spacing w:after="0"/>
        <w:jc w:val="both"/>
        <w:rPr>
          <w:rFonts w:ascii="Times New Roman" w:eastAsia="Calibri" w:hAnsi="Times New Roman" w:cs="Times New Roman"/>
          <w:sz w:val="24"/>
          <w:szCs w:val="24"/>
        </w:rPr>
      </w:pPr>
    </w:p>
    <w:p w14:paraId="3898DD45" w14:textId="7CADCB9A" w:rsidR="008B2380" w:rsidRDefault="00EF24E0" w:rsidP="000C6C36">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Direktori</w:t>
      </w:r>
      <w:r w:rsidR="00123F44">
        <w:rPr>
          <w:rFonts w:ascii="Times New Roman" w:hAnsi="Times New Roman" w:cs="Times New Roman"/>
          <w:sz w:val="24"/>
          <w:szCs w:val="24"/>
        </w:rPr>
        <w:t>us</w:t>
      </w:r>
      <w:r w:rsidR="00123F44">
        <w:rPr>
          <w:rFonts w:ascii="Times New Roman" w:hAnsi="Times New Roman" w:cs="Times New Roman"/>
          <w:sz w:val="24"/>
          <w:szCs w:val="24"/>
        </w:rPr>
        <w:tab/>
      </w:r>
      <w:r w:rsidR="00123F44">
        <w:rPr>
          <w:rFonts w:ascii="Times New Roman" w:hAnsi="Times New Roman" w:cs="Times New Roman"/>
          <w:sz w:val="24"/>
          <w:szCs w:val="24"/>
        </w:rPr>
        <w:tab/>
      </w:r>
      <w:r w:rsidR="00123F44">
        <w:rPr>
          <w:rFonts w:ascii="Times New Roman" w:hAnsi="Times New Roman" w:cs="Times New Roman"/>
          <w:sz w:val="24"/>
          <w:szCs w:val="24"/>
        </w:rPr>
        <w:tab/>
      </w:r>
      <w:r w:rsidR="00123F44">
        <w:rPr>
          <w:rFonts w:ascii="Times New Roman" w:hAnsi="Times New Roman" w:cs="Times New Roman"/>
          <w:sz w:val="24"/>
          <w:szCs w:val="24"/>
        </w:rPr>
        <w:tab/>
      </w:r>
      <w:r w:rsidR="00123F44">
        <w:rPr>
          <w:rFonts w:ascii="Times New Roman" w:hAnsi="Times New Roman" w:cs="Times New Roman"/>
          <w:sz w:val="24"/>
          <w:szCs w:val="24"/>
        </w:rPr>
        <w:tab/>
      </w:r>
      <w:r w:rsidR="00123F44">
        <w:rPr>
          <w:rFonts w:ascii="Times New Roman" w:hAnsi="Times New Roman" w:cs="Times New Roman"/>
          <w:sz w:val="24"/>
          <w:szCs w:val="24"/>
        </w:rPr>
        <w:tab/>
      </w:r>
      <w:r w:rsidR="00123F44">
        <w:rPr>
          <w:rFonts w:ascii="Times New Roman" w:hAnsi="Times New Roman" w:cs="Times New Roman"/>
          <w:sz w:val="24"/>
          <w:szCs w:val="24"/>
        </w:rPr>
        <w:tab/>
        <w:t>Darius Vedrickas</w:t>
      </w:r>
    </w:p>
    <w:p w14:paraId="10ED9656" w14:textId="05AD25A8" w:rsidR="008B2380" w:rsidRDefault="008B2380" w:rsidP="000C6C36">
      <w:pPr>
        <w:tabs>
          <w:tab w:val="left" w:pos="1134"/>
        </w:tabs>
        <w:spacing w:after="0"/>
        <w:jc w:val="both"/>
        <w:rPr>
          <w:rFonts w:ascii="Times New Roman" w:eastAsia="Times New Roman" w:hAnsi="Times New Roman" w:cs="Times New Roman"/>
          <w:sz w:val="24"/>
          <w:szCs w:val="24"/>
        </w:rPr>
      </w:pPr>
    </w:p>
    <w:p w14:paraId="5E8A4B49" w14:textId="7A7724A1" w:rsidR="008B2380" w:rsidRDefault="008B2380" w:rsidP="000C6C36">
      <w:pPr>
        <w:tabs>
          <w:tab w:val="left" w:pos="1134"/>
        </w:tabs>
        <w:spacing w:after="0"/>
        <w:jc w:val="both"/>
        <w:rPr>
          <w:rFonts w:ascii="Times New Roman" w:eastAsia="Times New Roman" w:hAnsi="Times New Roman" w:cs="Times New Roman"/>
          <w:sz w:val="24"/>
          <w:szCs w:val="24"/>
        </w:rPr>
      </w:pPr>
    </w:p>
    <w:p w14:paraId="47C53105" w14:textId="72F66275" w:rsidR="008B2380" w:rsidRDefault="008B2380" w:rsidP="000C6C36">
      <w:pPr>
        <w:tabs>
          <w:tab w:val="left" w:pos="1134"/>
        </w:tabs>
        <w:spacing w:after="0"/>
        <w:jc w:val="both"/>
        <w:rPr>
          <w:rFonts w:ascii="Times New Roman" w:eastAsia="Times New Roman" w:hAnsi="Times New Roman" w:cs="Times New Roman"/>
          <w:sz w:val="24"/>
          <w:szCs w:val="24"/>
        </w:rPr>
      </w:pPr>
    </w:p>
    <w:p w14:paraId="0E871E0C" w14:textId="3268C7C3" w:rsidR="00D04D9D" w:rsidRDefault="00D04D9D" w:rsidP="000C6C36">
      <w:pPr>
        <w:tabs>
          <w:tab w:val="left" w:pos="1134"/>
        </w:tabs>
        <w:spacing w:after="0"/>
        <w:jc w:val="both"/>
        <w:rPr>
          <w:rFonts w:ascii="Times New Roman" w:eastAsia="Times New Roman" w:hAnsi="Times New Roman" w:cs="Times New Roman"/>
          <w:sz w:val="24"/>
          <w:szCs w:val="24"/>
        </w:rPr>
      </w:pPr>
    </w:p>
    <w:p w14:paraId="22BE0673" w14:textId="6F0A2C3C" w:rsidR="00D04D9D" w:rsidRDefault="00D04D9D" w:rsidP="000C6C36">
      <w:pPr>
        <w:tabs>
          <w:tab w:val="left" w:pos="1134"/>
        </w:tabs>
        <w:spacing w:after="0"/>
        <w:jc w:val="both"/>
        <w:rPr>
          <w:rFonts w:ascii="Times New Roman" w:eastAsia="Times New Roman" w:hAnsi="Times New Roman" w:cs="Times New Roman"/>
          <w:sz w:val="24"/>
          <w:szCs w:val="24"/>
        </w:rPr>
      </w:pPr>
    </w:p>
    <w:p w14:paraId="744FFE6B" w14:textId="3BE03C31" w:rsidR="00D04D9D" w:rsidRDefault="00D04D9D" w:rsidP="000C6C36">
      <w:pPr>
        <w:tabs>
          <w:tab w:val="left" w:pos="1134"/>
        </w:tabs>
        <w:spacing w:after="0"/>
        <w:jc w:val="both"/>
        <w:rPr>
          <w:rFonts w:ascii="Times New Roman" w:eastAsia="Times New Roman" w:hAnsi="Times New Roman" w:cs="Times New Roman"/>
          <w:sz w:val="24"/>
          <w:szCs w:val="24"/>
        </w:rPr>
      </w:pPr>
    </w:p>
    <w:p w14:paraId="2471FE3E" w14:textId="44334D37" w:rsidR="00D04D9D" w:rsidRDefault="00D04D9D" w:rsidP="000C6C36">
      <w:pPr>
        <w:tabs>
          <w:tab w:val="left" w:pos="1134"/>
        </w:tabs>
        <w:spacing w:after="0"/>
        <w:jc w:val="both"/>
        <w:rPr>
          <w:rFonts w:ascii="Times New Roman" w:eastAsia="Times New Roman" w:hAnsi="Times New Roman" w:cs="Times New Roman"/>
          <w:sz w:val="24"/>
          <w:szCs w:val="24"/>
        </w:rPr>
      </w:pPr>
    </w:p>
    <w:p w14:paraId="59F8188A" w14:textId="77777777" w:rsidR="00D04D9D" w:rsidRDefault="00D04D9D" w:rsidP="000C6C36">
      <w:pPr>
        <w:tabs>
          <w:tab w:val="left" w:pos="1134"/>
        </w:tabs>
        <w:spacing w:after="0"/>
        <w:jc w:val="both"/>
        <w:rPr>
          <w:rFonts w:ascii="Times New Roman" w:eastAsia="Times New Roman" w:hAnsi="Times New Roman" w:cs="Times New Roman"/>
          <w:sz w:val="24"/>
          <w:szCs w:val="24"/>
        </w:rPr>
      </w:pPr>
    </w:p>
    <w:p w14:paraId="4A2B6621" w14:textId="26692C9E" w:rsidR="001D6BE8" w:rsidRDefault="001D6BE8" w:rsidP="000C6C36">
      <w:pPr>
        <w:tabs>
          <w:tab w:val="left" w:pos="1134"/>
        </w:tabs>
        <w:spacing w:after="0"/>
        <w:jc w:val="both"/>
        <w:rPr>
          <w:rFonts w:ascii="Times New Roman" w:eastAsia="Times New Roman" w:hAnsi="Times New Roman" w:cs="Times New Roman"/>
          <w:sz w:val="24"/>
          <w:szCs w:val="24"/>
        </w:rPr>
      </w:pPr>
    </w:p>
    <w:p w14:paraId="2BE1614C" w14:textId="005E676C" w:rsidR="003317D9" w:rsidRDefault="003317D9" w:rsidP="000C6C36">
      <w:pPr>
        <w:tabs>
          <w:tab w:val="left" w:pos="1134"/>
        </w:tabs>
        <w:spacing w:after="0"/>
        <w:jc w:val="both"/>
        <w:rPr>
          <w:rFonts w:ascii="Times New Roman" w:eastAsia="Times New Roman" w:hAnsi="Times New Roman" w:cs="Times New Roman"/>
          <w:sz w:val="24"/>
          <w:szCs w:val="24"/>
        </w:rPr>
      </w:pPr>
    </w:p>
    <w:p w14:paraId="40B2404C" w14:textId="115987F1" w:rsidR="003317D9" w:rsidRDefault="003317D9" w:rsidP="000C6C36">
      <w:pPr>
        <w:tabs>
          <w:tab w:val="left" w:pos="1134"/>
        </w:tabs>
        <w:spacing w:after="0"/>
        <w:jc w:val="both"/>
        <w:rPr>
          <w:rFonts w:ascii="Times New Roman" w:eastAsia="Times New Roman" w:hAnsi="Times New Roman" w:cs="Times New Roman"/>
          <w:sz w:val="24"/>
          <w:szCs w:val="24"/>
        </w:rPr>
      </w:pPr>
    </w:p>
    <w:p w14:paraId="32C0F2BB" w14:textId="2F2CC308" w:rsidR="003317D9" w:rsidRDefault="003317D9" w:rsidP="000C6C36">
      <w:pPr>
        <w:tabs>
          <w:tab w:val="left" w:pos="1134"/>
        </w:tabs>
        <w:spacing w:after="0"/>
        <w:jc w:val="both"/>
        <w:rPr>
          <w:rFonts w:ascii="Times New Roman" w:eastAsia="Times New Roman" w:hAnsi="Times New Roman" w:cs="Times New Roman"/>
          <w:sz w:val="24"/>
          <w:szCs w:val="24"/>
        </w:rPr>
      </w:pPr>
    </w:p>
    <w:p w14:paraId="6342CE3D" w14:textId="14EEED2E" w:rsidR="003317D9" w:rsidRDefault="003317D9" w:rsidP="000C6C36">
      <w:pPr>
        <w:tabs>
          <w:tab w:val="left" w:pos="1134"/>
        </w:tabs>
        <w:spacing w:after="0"/>
        <w:jc w:val="both"/>
        <w:rPr>
          <w:rFonts w:ascii="Times New Roman" w:eastAsia="Times New Roman" w:hAnsi="Times New Roman" w:cs="Times New Roman"/>
          <w:sz w:val="24"/>
          <w:szCs w:val="24"/>
        </w:rPr>
      </w:pPr>
    </w:p>
    <w:p w14:paraId="2D0DAA38" w14:textId="0047FC24" w:rsidR="003317D9" w:rsidRDefault="003317D9" w:rsidP="000C6C36">
      <w:pPr>
        <w:tabs>
          <w:tab w:val="left" w:pos="1134"/>
        </w:tabs>
        <w:spacing w:after="0"/>
        <w:jc w:val="both"/>
        <w:rPr>
          <w:rFonts w:ascii="Times New Roman" w:eastAsia="Times New Roman" w:hAnsi="Times New Roman" w:cs="Times New Roman"/>
          <w:sz w:val="24"/>
          <w:szCs w:val="24"/>
        </w:rPr>
      </w:pPr>
    </w:p>
    <w:p w14:paraId="64A0A3BA" w14:textId="01B60EB0" w:rsidR="003317D9" w:rsidRDefault="003317D9" w:rsidP="000C6C36">
      <w:pPr>
        <w:tabs>
          <w:tab w:val="left" w:pos="1134"/>
        </w:tabs>
        <w:spacing w:after="0"/>
        <w:jc w:val="both"/>
        <w:rPr>
          <w:rFonts w:ascii="Times New Roman" w:eastAsia="Times New Roman" w:hAnsi="Times New Roman" w:cs="Times New Roman"/>
          <w:sz w:val="24"/>
          <w:szCs w:val="24"/>
        </w:rPr>
      </w:pPr>
    </w:p>
    <w:p w14:paraId="405E17F5" w14:textId="74C9D750" w:rsidR="003317D9" w:rsidRDefault="003317D9" w:rsidP="000C6C36">
      <w:pPr>
        <w:tabs>
          <w:tab w:val="left" w:pos="1134"/>
        </w:tabs>
        <w:spacing w:after="0"/>
        <w:jc w:val="both"/>
        <w:rPr>
          <w:rFonts w:ascii="Times New Roman" w:eastAsia="Times New Roman" w:hAnsi="Times New Roman" w:cs="Times New Roman"/>
          <w:sz w:val="24"/>
          <w:szCs w:val="24"/>
        </w:rPr>
      </w:pPr>
    </w:p>
    <w:p w14:paraId="7E560993" w14:textId="45BA53CC" w:rsidR="003317D9" w:rsidRDefault="003317D9" w:rsidP="000C6C36">
      <w:pPr>
        <w:tabs>
          <w:tab w:val="left" w:pos="1134"/>
        </w:tabs>
        <w:spacing w:after="0"/>
        <w:jc w:val="both"/>
        <w:rPr>
          <w:rFonts w:ascii="Times New Roman" w:eastAsia="Times New Roman" w:hAnsi="Times New Roman" w:cs="Times New Roman"/>
          <w:sz w:val="24"/>
          <w:szCs w:val="24"/>
        </w:rPr>
      </w:pPr>
    </w:p>
    <w:p w14:paraId="182D9BA5" w14:textId="28B8B6F3" w:rsidR="003317D9" w:rsidRDefault="003317D9" w:rsidP="000C6C36">
      <w:pPr>
        <w:tabs>
          <w:tab w:val="left" w:pos="1134"/>
        </w:tabs>
        <w:spacing w:after="0"/>
        <w:jc w:val="both"/>
        <w:rPr>
          <w:rFonts w:ascii="Times New Roman" w:eastAsia="Times New Roman" w:hAnsi="Times New Roman" w:cs="Times New Roman"/>
          <w:sz w:val="24"/>
          <w:szCs w:val="24"/>
        </w:rPr>
      </w:pPr>
    </w:p>
    <w:p w14:paraId="514F4FFC" w14:textId="77777777" w:rsidR="003317D9" w:rsidRDefault="003317D9" w:rsidP="000C6C36">
      <w:pPr>
        <w:tabs>
          <w:tab w:val="left" w:pos="1134"/>
        </w:tabs>
        <w:spacing w:after="0"/>
        <w:jc w:val="both"/>
        <w:rPr>
          <w:rFonts w:ascii="Times New Roman" w:eastAsia="Times New Roman" w:hAnsi="Times New Roman" w:cs="Times New Roman"/>
          <w:sz w:val="24"/>
          <w:szCs w:val="24"/>
        </w:rPr>
      </w:pPr>
    </w:p>
    <w:p w14:paraId="60CA56E7" w14:textId="77777777" w:rsidR="000C6C36" w:rsidRPr="000C6C36" w:rsidRDefault="000C6C36" w:rsidP="000C6C36">
      <w:pPr>
        <w:tabs>
          <w:tab w:val="left" w:pos="1134"/>
        </w:tabs>
        <w:spacing w:after="0"/>
        <w:jc w:val="both"/>
        <w:rPr>
          <w:rFonts w:ascii="Times New Roman" w:eastAsia="Times New Roman" w:hAnsi="Times New Roman" w:cs="Times New Roman"/>
          <w:sz w:val="24"/>
          <w:szCs w:val="24"/>
        </w:rPr>
      </w:pPr>
    </w:p>
    <w:p w14:paraId="70859CAB" w14:textId="77777777" w:rsidR="000F7AD1" w:rsidRPr="00D57C0D" w:rsidRDefault="00B2320C" w:rsidP="00D57C0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B1AE" w14:textId="77777777" w:rsidR="00C508AE" w:rsidRDefault="00C508AE">
      <w:pPr>
        <w:spacing w:after="0" w:line="240" w:lineRule="auto"/>
      </w:pPr>
      <w:r>
        <w:separator/>
      </w:r>
    </w:p>
  </w:endnote>
  <w:endnote w:type="continuationSeparator" w:id="0">
    <w:p w14:paraId="495EE4FE" w14:textId="77777777" w:rsidR="00C508AE" w:rsidRDefault="00C5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1E27" w14:textId="77777777" w:rsidR="006C06BD" w:rsidRDefault="00C508AE">
    <w:pPr>
      <w:pStyle w:val="Footer"/>
    </w:pPr>
  </w:p>
  <w:p w14:paraId="028287AD" w14:textId="77777777" w:rsidR="006C06BD" w:rsidRDefault="00C508AE">
    <w:pPr>
      <w:pStyle w:val="Footer"/>
    </w:pPr>
  </w:p>
  <w:p w14:paraId="649BB297" w14:textId="77777777" w:rsidR="006C06BD" w:rsidRDefault="00C50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F71" w14:textId="19C33365" w:rsidR="008049BB" w:rsidRPr="004948EF" w:rsidRDefault="008049BB" w:rsidP="00314D91">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w:t>
    </w:r>
    <w:r w:rsidR="00314D91">
      <w:rPr>
        <w:rFonts w:ascii="Times New Roman" w:hAnsi="Times New Roman" w:cs="Times New Roman"/>
        <w:sz w:val="20"/>
        <w:szCs w:val="20"/>
      </w:rPr>
      <w:tab/>
    </w:r>
    <w:r w:rsidRPr="004948EF">
      <w:rPr>
        <w:rFonts w:ascii="Times New Roman" w:hAnsi="Times New Roman" w:cs="Times New Roman"/>
        <w:sz w:val="20"/>
        <w:szCs w:val="20"/>
      </w:rPr>
      <w:t xml:space="preserve">Tel. (8 5) 219 7001               </w:t>
    </w:r>
    <w:r w:rsidR="00314D91">
      <w:rPr>
        <w:rFonts w:ascii="Times New Roman" w:hAnsi="Times New Roman" w:cs="Times New Roman"/>
        <w:sz w:val="20"/>
        <w:szCs w:val="20"/>
      </w:rPr>
      <w:tab/>
      <w:t xml:space="preserve"> </w:t>
    </w:r>
    <w:r w:rsidRPr="004948EF">
      <w:rPr>
        <w:rFonts w:ascii="Times New Roman" w:hAnsi="Times New Roman" w:cs="Times New Roman"/>
        <w:sz w:val="20"/>
        <w:szCs w:val="20"/>
      </w:rPr>
      <w:t xml:space="preserve">Duomenys kaupiami ir saugomi              </w:t>
    </w:r>
  </w:p>
  <w:p w14:paraId="46F71C60" w14:textId="7097687B" w:rsidR="008049BB" w:rsidRPr="004948EF" w:rsidRDefault="008049BB" w:rsidP="00314D91">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w:t>
    </w:r>
    <w:r w:rsidR="00314D91">
      <w:rPr>
        <w:rFonts w:ascii="Times New Roman" w:hAnsi="Times New Roman" w:cs="Times New Roman"/>
        <w:sz w:val="20"/>
        <w:szCs w:val="20"/>
      </w:rPr>
      <w:tab/>
    </w:r>
    <w:r w:rsidRPr="004948EF">
      <w:rPr>
        <w:rFonts w:ascii="Times New Roman" w:hAnsi="Times New Roman" w:cs="Times New Roman"/>
        <w:sz w:val="20"/>
        <w:szCs w:val="20"/>
      </w:rPr>
      <w:t xml:space="preserve"> Faks. (8 5) 213 6213             </w:t>
    </w:r>
    <w:r w:rsidR="00314D91">
      <w:rPr>
        <w:rFonts w:ascii="Times New Roman" w:hAnsi="Times New Roman" w:cs="Times New Roman"/>
        <w:sz w:val="20"/>
        <w:szCs w:val="20"/>
      </w:rPr>
      <w:tab/>
      <w:t xml:space="preserve"> </w:t>
    </w:r>
    <w:r w:rsidRPr="004948EF">
      <w:rPr>
        <w:rFonts w:ascii="Times New Roman" w:hAnsi="Times New Roman" w:cs="Times New Roman"/>
        <w:sz w:val="20"/>
        <w:szCs w:val="20"/>
      </w:rPr>
      <w:t xml:space="preserve">Juridinių asmenų registre </w:t>
    </w:r>
  </w:p>
  <w:p w14:paraId="11085F0D" w14:textId="7B9018C3" w:rsidR="008049BB" w:rsidRPr="004948EF" w:rsidRDefault="00C508AE" w:rsidP="00314D91">
    <w:pPr>
      <w:pBdr>
        <w:top w:val="single" w:sz="4" w:space="1" w:color="auto"/>
      </w:pBdr>
      <w:spacing w:after="0" w:line="240" w:lineRule="auto"/>
      <w:jc w:val="both"/>
      <w:rPr>
        <w:rFonts w:ascii="Times New Roman" w:hAnsi="Times New Roman" w:cs="Times New Roman"/>
        <w:sz w:val="20"/>
        <w:szCs w:val="20"/>
      </w:rPr>
    </w:pPr>
    <w:hyperlink r:id="rId1"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w:t>
    </w:r>
    <w:r w:rsidR="00314D91">
      <w:rPr>
        <w:rFonts w:ascii="Times New Roman" w:hAnsi="Times New Roman" w:cs="Times New Roman"/>
        <w:sz w:val="20"/>
        <w:szCs w:val="20"/>
      </w:rPr>
      <w:tab/>
    </w:r>
    <w:r w:rsidR="008049BB" w:rsidRPr="004948EF">
      <w:rPr>
        <w:rFonts w:ascii="Times New Roman" w:hAnsi="Times New Roman" w:cs="Times New Roman"/>
        <w:sz w:val="20"/>
        <w:szCs w:val="20"/>
      </w:rPr>
      <w:t xml:space="preserve"> El. p. </w:t>
    </w:r>
    <w:hyperlink r:id="rId2"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w:t>
    </w:r>
    <w:r w:rsidR="00314D91">
      <w:rPr>
        <w:rFonts w:ascii="Times New Roman" w:hAnsi="Times New Roman" w:cs="Times New Roman"/>
        <w:sz w:val="20"/>
        <w:szCs w:val="20"/>
      </w:rPr>
      <w:tab/>
    </w:r>
    <w:r w:rsidR="008049BB" w:rsidRPr="004948EF">
      <w:rPr>
        <w:rFonts w:ascii="Times New Roman" w:hAnsi="Times New Roman" w:cs="Times New Roman"/>
        <w:sz w:val="20"/>
        <w:szCs w:val="20"/>
      </w:rPr>
      <w:t xml:space="preserve"> Kodas 188656261                                   </w:t>
    </w:r>
  </w:p>
  <w:p w14:paraId="093336D7" w14:textId="77777777" w:rsidR="008049BB" w:rsidRPr="004948EF" w:rsidRDefault="008049BB" w:rsidP="00314D91">
    <w:pPr>
      <w:pStyle w:val="Footer"/>
      <w:jc w:val="both"/>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C508AE"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19F4" w14:textId="77777777" w:rsidR="00C508AE" w:rsidRDefault="00C508AE">
      <w:pPr>
        <w:spacing w:after="0" w:line="240" w:lineRule="auto"/>
      </w:pPr>
      <w:r>
        <w:separator/>
      </w:r>
    </w:p>
  </w:footnote>
  <w:footnote w:type="continuationSeparator" w:id="0">
    <w:p w14:paraId="53FB1BCC" w14:textId="77777777" w:rsidR="00C508AE" w:rsidRDefault="00C508AE">
      <w:pPr>
        <w:spacing w:after="0" w:line="240" w:lineRule="auto"/>
      </w:pPr>
      <w:r>
        <w:continuationSeparator/>
      </w:r>
    </w:p>
  </w:footnote>
  <w:footnote w:id="1">
    <w:p w14:paraId="646DF12C" w14:textId="491FA7A0" w:rsidR="00D52942" w:rsidRPr="00D52942" w:rsidRDefault="00D52942" w:rsidP="00D52942">
      <w:pPr>
        <w:pStyle w:val="FootnoteText"/>
        <w:jc w:val="both"/>
        <w:rPr>
          <w:rFonts w:ascii="Times New Roman" w:hAnsi="Times New Roman" w:cs="Times New Roman"/>
        </w:rPr>
      </w:pPr>
      <w:r w:rsidRPr="00D52942">
        <w:rPr>
          <w:rStyle w:val="FootnoteReference"/>
          <w:rFonts w:ascii="Times New Roman" w:hAnsi="Times New Roman" w:cs="Times New Roman"/>
        </w:rPr>
        <w:footnoteRef/>
      </w:r>
      <w:r w:rsidRPr="00D52942">
        <w:rPr>
          <w:rFonts w:ascii="Times New Roman" w:hAnsi="Times New Roman" w:cs="Times New Roman"/>
        </w:rPr>
        <w:t xml:space="preserve"> Siekiama įsigyti Integruotą nukleorūgščių </w:t>
      </w:r>
      <w:proofErr w:type="spellStart"/>
      <w:r w:rsidRPr="00D52942">
        <w:rPr>
          <w:rFonts w:ascii="Times New Roman" w:hAnsi="Times New Roman" w:cs="Times New Roman"/>
        </w:rPr>
        <w:t>sekoskaitos</w:t>
      </w:r>
      <w:proofErr w:type="spellEnd"/>
      <w:r w:rsidRPr="00D52942">
        <w:rPr>
          <w:rFonts w:ascii="Times New Roman" w:hAnsi="Times New Roman" w:cs="Times New Roman"/>
        </w:rPr>
        <w:t xml:space="preserve"> sistemą, kurią sudaro aparatinė ir programinė įranga, taip pat kartu su įranga būtų </w:t>
      </w:r>
      <w:r w:rsidR="0002381E">
        <w:rPr>
          <w:rFonts w:ascii="Times New Roman" w:hAnsi="Times New Roman" w:cs="Times New Roman"/>
        </w:rPr>
        <w:t>įsigytas</w:t>
      </w:r>
      <w:r w:rsidR="0002381E" w:rsidRPr="00D52942">
        <w:rPr>
          <w:rFonts w:ascii="Times New Roman" w:hAnsi="Times New Roman" w:cs="Times New Roman"/>
        </w:rPr>
        <w:t xml:space="preserve"> </w:t>
      </w:r>
      <w:r w:rsidRPr="00D52942">
        <w:rPr>
          <w:rFonts w:ascii="Times New Roman" w:hAnsi="Times New Roman" w:cs="Times New Roman"/>
        </w:rPr>
        <w:t xml:space="preserve">startinis </w:t>
      </w:r>
      <w:proofErr w:type="spellStart"/>
      <w:r w:rsidRPr="00D52942">
        <w:rPr>
          <w:rFonts w:ascii="Times New Roman" w:hAnsi="Times New Roman" w:cs="Times New Roman"/>
        </w:rPr>
        <w:t>sekoskaitos</w:t>
      </w:r>
      <w:proofErr w:type="spellEnd"/>
      <w:r w:rsidRPr="00D52942">
        <w:rPr>
          <w:rFonts w:ascii="Times New Roman" w:hAnsi="Times New Roman" w:cs="Times New Roman"/>
        </w:rPr>
        <w:t xml:space="preserve"> reagentų paketas mokymams atlikti (reagentų paketą sudarytų reagentai skirti skirtingo ilgio fragmentų </w:t>
      </w:r>
      <w:proofErr w:type="spellStart"/>
      <w:r w:rsidRPr="00D52942">
        <w:rPr>
          <w:rFonts w:ascii="Times New Roman" w:hAnsi="Times New Roman" w:cs="Times New Roman"/>
        </w:rPr>
        <w:t>amplifikacijai</w:t>
      </w:r>
      <w:proofErr w:type="spellEnd"/>
      <w:r w:rsidRPr="00D52942">
        <w:rPr>
          <w:rFonts w:ascii="Times New Roman" w:hAnsi="Times New Roman" w:cs="Times New Roman"/>
        </w:rPr>
        <w:t xml:space="preserve">, DNR/RNR praturtinimui, bibliotekų ruošimui ir </w:t>
      </w:r>
      <w:proofErr w:type="spellStart"/>
      <w:r w:rsidRPr="00D52942">
        <w:rPr>
          <w:rFonts w:ascii="Times New Roman" w:hAnsi="Times New Roman" w:cs="Times New Roman"/>
        </w:rPr>
        <w:t>kt</w:t>
      </w:r>
      <w:proofErr w:type="spellEnd"/>
      <w:r w:rsidR="0002381E">
        <w:rPr>
          <w:rFonts w:ascii="Times New Roman" w:hAnsi="Times New Roman" w:cs="Times New Roman"/>
        </w:rPr>
        <w:t>)</w:t>
      </w:r>
      <w:r w:rsidRPr="00D52942">
        <w:rPr>
          <w:rFonts w:ascii="Times New Roman" w:hAnsi="Times New Roman" w:cs="Times New Roman"/>
        </w:rPr>
        <w:t>;</w:t>
      </w:r>
    </w:p>
  </w:footnote>
  <w:footnote w:id="2">
    <w:p w14:paraId="13D945FA" w14:textId="0C7EAAFA" w:rsidR="00CC1495" w:rsidRPr="00BB5907" w:rsidRDefault="00CC1495">
      <w:pPr>
        <w:pStyle w:val="FootnoteText"/>
        <w:rPr>
          <w:rFonts w:ascii="Times New Roman" w:hAnsi="Times New Roman" w:cs="Times New Roman"/>
        </w:rPr>
      </w:pPr>
      <w:r w:rsidRPr="00BB5907">
        <w:rPr>
          <w:rStyle w:val="FootnoteReference"/>
          <w:rFonts w:ascii="Times New Roman" w:hAnsi="Times New Roman" w:cs="Times New Roman"/>
        </w:rPr>
        <w:footnoteRef/>
      </w:r>
      <w:r w:rsidRPr="00BB5907">
        <w:rPr>
          <w:rFonts w:ascii="Times New Roman" w:hAnsi="Times New Roman" w:cs="Times New Roman"/>
        </w:rPr>
        <w:t xml:space="preserve"> </w:t>
      </w:r>
      <w:proofErr w:type="spellStart"/>
      <w:r w:rsidRPr="00BB5907">
        <w:rPr>
          <w:rFonts w:ascii="Times New Roman" w:hAnsi="Times New Roman" w:cs="Times New Roman"/>
          <w:color w:val="000000"/>
          <w:lang w:eastAsia="en-GB"/>
        </w:rPr>
        <w:t>Goodwin</w:t>
      </w:r>
      <w:proofErr w:type="spellEnd"/>
      <w:r w:rsidRPr="00BB5907">
        <w:rPr>
          <w:rFonts w:ascii="Times New Roman" w:hAnsi="Times New Roman" w:cs="Times New Roman"/>
          <w:color w:val="000000"/>
          <w:lang w:eastAsia="en-GB"/>
        </w:rPr>
        <w:t xml:space="preserve"> S ir kt., </w:t>
      </w:r>
      <w:proofErr w:type="spellStart"/>
      <w:r w:rsidRPr="00BB5907">
        <w:rPr>
          <w:rFonts w:ascii="Times New Roman" w:hAnsi="Times New Roman" w:cs="Times New Roman"/>
          <w:color w:val="000000"/>
          <w:lang w:eastAsia="en-GB"/>
        </w:rPr>
        <w:t>Nat</w:t>
      </w:r>
      <w:proofErr w:type="spellEnd"/>
      <w:r w:rsidRPr="00BB5907">
        <w:rPr>
          <w:rFonts w:ascii="Times New Roman" w:hAnsi="Times New Roman" w:cs="Times New Roman"/>
          <w:color w:val="000000"/>
          <w:lang w:eastAsia="en-GB"/>
        </w:rPr>
        <w:t xml:space="preserve"> </w:t>
      </w:r>
      <w:proofErr w:type="spellStart"/>
      <w:r w:rsidRPr="00BB5907">
        <w:rPr>
          <w:rFonts w:ascii="Times New Roman" w:hAnsi="Times New Roman" w:cs="Times New Roman"/>
          <w:color w:val="000000"/>
          <w:lang w:eastAsia="en-GB"/>
        </w:rPr>
        <w:t>Rev</w:t>
      </w:r>
      <w:proofErr w:type="spellEnd"/>
      <w:r w:rsidRPr="00BB5907">
        <w:rPr>
          <w:rFonts w:ascii="Times New Roman" w:hAnsi="Times New Roman" w:cs="Times New Roman"/>
          <w:color w:val="000000"/>
          <w:lang w:eastAsia="en-GB"/>
        </w:rPr>
        <w:t xml:space="preserve"> </w:t>
      </w:r>
      <w:proofErr w:type="spellStart"/>
      <w:r w:rsidRPr="00BB5907">
        <w:rPr>
          <w:rFonts w:ascii="Times New Roman" w:hAnsi="Times New Roman" w:cs="Times New Roman"/>
          <w:color w:val="000000"/>
          <w:lang w:eastAsia="en-GB"/>
        </w:rPr>
        <w:t>Genet</w:t>
      </w:r>
      <w:proofErr w:type="spellEnd"/>
      <w:r w:rsidRPr="00BB5907">
        <w:rPr>
          <w:rFonts w:ascii="Times New Roman" w:hAnsi="Times New Roman" w:cs="Times New Roman"/>
          <w:color w:val="000000"/>
          <w:lang w:eastAsia="en-GB"/>
        </w:rPr>
        <w:t>. 2016;</w:t>
      </w:r>
    </w:p>
  </w:footnote>
  <w:footnote w:id="3">
    <w:p w14:paraId="259A22CB" w14:textId="6F2C669D" w:rsidR="004B0567" w:rsidRPr="004B0567" w:rsidRDefault="004B0567">
      <w:pPr>
        <w:pStyle w:val="FootnoteText"/>
        <w:rPr>
          <w:rFonts w:ascii="Times New Roman" w:hAnsi="Times New Roman" w:cs="Times New Roman"/>
        </w:rPr>
      </w:pPr>
      <w:r w:rsidRPr="004B0567">
        <w:rPr>
          <w:rStyle w:val="FootnoteReference"/>
          <w:rFonts w:ascii="Times New Roman" w:hAnsi="Times New Roman" w:cs="Times New Roman"/>
        </w:rPr>
        <w:footnoteRef/>
      </w:r>
      <w:r w:rsidRPr="004B0567">
        <w:rPr>
          <w:rFonts w:ascii="Times New Roman" w:hAnsi="Times New Roman" w:cs="Times New Roman"/>
        </w:rPr>
        <w:t xml:space="preserve"> </w:t>
      </w:r>
      <w:hyperlink r:id="rId1" w:history="1">
        <w:r w:rsidRPr="004B0567">
          <w:rPr>
            <w:rFonts w:ascii="Times New Roman" w:hAnsi="Times New Roman" w:cs="Times New Roman"/>
            <w:color w:val="0000FF"/>
            <w:u w:val="single"/>
            <w:lang w:eastAsia="en-GB"/>
          </w:rPr>
          <w:t>https://www.illumina.com/systems/sequencing-platforms/miseq.html</w:t>
        </w:r>
      </w:hyperlink>
      <w:r w:rsidRPr="004B0567">
        <w:rPr>
          <w:rFonts w:ascii="Times New Roman" w:hAnsi="Times New Roman" w:cs="Times New Roman"/>
          <w:color w:val="0000FF"/>
          <w:u w:val="single"/>
          <w:lang w:eastAsia="en-GB"/>
        </w:rPr>
        <w:t>;</w:t>
      </w:r>
    </w:p>
  </w:footnote>
  <w:footnote w:id="4">
    <w:p w14:paraId="0D3CEEEF" w14:textId="4E1A7FF0" w:rsidR="00BB5907" w:rsidRPr="00BB5907" w:rsidRDefault="00BB5907">
      <w:pPr>
        <w:pStyle w:val="FootnoteText"/>
        <w:rPr>
          <w:rFonts w:ascii="Times New Roman" w:hAnsi="Times New Roman" w:cs="Times New Roman"/>
        </w:rPr>
      </w:pPr>
      <w:r w:rsidRPr="00BB5907">
        <w:rPr>
          <w:rStyle w:val="FootnoteReference"/>
          <w:rFonts w:ascii="Times New Roman" w:hAnsi="Times New Roman" w:cs="Times New Roman"/>
        </w:rPr>
        <w:footnoteRef/>
      </w:r>
      <w:r w:rsidRPr="00BB5907">
        <w:rPr>
          <w:rFonts w:ascii="Times New Roman" w:hAnsi="Times New Roman" w:cs="Times New Roman"/>
        </w:rPr>
        <w:t xml:space="preserve"> </w:t>
      </w:r>
      <w:proofErr w:type="spellStart"/>
      <w:r w:rsidRPr="00BB5907">
        <w:rPr>
          <w:rFonts w:ascii="Times New Roman" w:hAnsi="Times New Roman" w:cs="Times New Roman"/>
          <w:color w:val="000000"/>
          <w:lang w:eastAsia="en-GB"/>
        </w:rPr>
        <w:t>Quail</w:t>
      </w:r>
      <w:proofErr w:type="spellEnd"/>
      <w:r w:rsidRPr="00BB5907">
        <w:rPr>
          <w:rFonts w:ascii="Times New Roman" w:hAnsi="Times New Roman" w:cs="Times New Roman"/>
          <w:color w:val="000000"/>
          <w:lang w:eastAsia="en-GB"/>
        </w:rPr>
        <w:t xml:space="preserve"> MA, it kt. BMC </w:t>
      </w:r>
      <w:proofErr w:type="spellStart"/>
      <w:r w:rsidRPr="00BB5907">
        <w:rPr>
          <w:rFonts w:ascii="Times New Roman" w:hAnsi="Times New Roman" w:cs="Times New Roman"/>
          <w:color w:val="000000"/>
          <w:lang w:eastAsia="en-GB"/>
        </w:rPr>
        <w:t>Genomics</w:t>
      </w:r>
      <w:proofErr w:type="spellEnd"/>
      <w:r w:rsidRPr="00BB5907">
        <w:rPr>
          <w:rFonts w:ascii="Times New Roman" w:hAnsi="Times New Roman" w:cs="Times New Roman"/>
          <w:color w:val="000000"/>
          <w:lang w:eastAsia="en-GB"/>
        </w:rPr>
        <w:t xml:space="preserve"> 2012; </w:t>
      </w:r>
      <w:proofErr w:type="spellStart"/>
      <w:r w:rsidRPr="00BB5907">
        <w:rPr>
          <w:rFonts w:ascii="Times New Roman" w:hAnsi="Times New Roman" w:cs="Times New Roman"/>
          <w:color w:val="000000"/>
          <w:lang w:eastAsia="en-GB"/>
        </w:rPr>
        <w:t>Loman</w:t>
      </w:r>
      <w:proofErr w:type="spellEnd"/>
      <w:r w:rsidRPr="00BB5907">
        <w:rPr>
          <w:rFonts w:ascii="Times New Roman" w:hAnsi="Times New Roman" w:cs="Times New Roman"/>
          <w:color w:val="000000"/>
          <w:lang w:eastAsia="en-GB"/>
        </w:rPr>
        <w:t xml:space="preserve"> NJ, ir kt. </w:t>
      </w:r>
      <w:proofErr w:type="spellStart"/>
      <w:r w:rsidRPr="00BB5907">
        <w:rPr>
          <w:rFonts w:ascii="Times New Roman" w:hAnsi="Times New Roman" w:cs="Times New Roman"/>
          <w:color w:val="000000"/>
          <w:lang w:eastAsia="en-GB"/>
        </w:rPr>
        <w:t>Nat</w:t>
      </w:r>
      <w:proofErr w:type="spellEnd"/>
      <w:r w:rsidRPr="00BB5907">
        <w:rPr>
          <w:rFonts w:ascii="Times New Roman" w:hAnsi="Times New Roman" w:cs="Times New Roman"/>
          <w:color w:val="000000"/>
          <w:lang w:eastAsia="en-GB"/>
        </w:rPr>
        <w:t xml:space="preserve"> </w:t>
      </w:r>
      <w:proofErr w:type="spellStart"/>
      <w:r w:rsidRPr="00BB5907">
        <w:rPr>
          <w:rFonts w:ascii="Times New Roman" w:hAnsi="Times New Roman" w:cs="Times New Roman"/>
          <w:color w:val="000000"/>
          <w:lang w:eastAsia="en-GB"/>
        </w:rPr>
        <w:t>Biotechnol</w:t>
      </w:r>
      <w:proofErr w:type="spellEnd"/>
      <w:r w:rsidRPr="00BB5907">
        <w:rPr>
          <w:rFonts w:ascii="Times New Roman" w:hAnsi="Times New Roman" w:cs="Times New Roman"/>
          <w:color w:val="000000"/>
          <w:lang w:eastAsia="en-GB"/>
        </w:rPr>
        <w:t>. 2012;</w:t>
      </w:r>
    </w:p>
  </w:footnote>
  <w:footnote w:id="5">
    <w:p w14:paraId="13EA477D" w14:textId="437F4B8D" w:rsidR="00BB5907" w:rsidRPr="00BB5907" w:rsidRDefault="00BB5907">
      <w:pPr>
        <w:pStyle w:val="FootnoteText"/>
        <w:rPr>
          <w:rFonts w:ascii="Times New Roman" w:hAnsi="Times New Roman" w:cs="Times New Roman"/>
        </w:rPr>
      </w:pPr>
      <w:r w:rsidRPr="00BB5907">
        <w:rPr>
          <w:rStyle w:val="FootnoteReference"/>
          <w:rFonts w:ascii="Times New Roman" w:hAnsi="Times New Roman" w:cs="Times New Roman"/>
        </w:rPr>
        <w:footnoteRef/>
      </w:r>
      <w:r w:rsidRPr="00BB5907">
        <w:rPr>
          <w:rFonts w:ascii="Times New Roman" w:hAnsi="Times New Roman" w:cs="Times New Roman"/>
        </w:rPr>
        <w:t xml:space="preserve"> </w:t>
      </w:r>
      <w:proofErr w:type="spellStart"/>
      <w:r w:rsidRPr="00BB5907">
        <w:rPr>
          <w:rFonts w:ascii="Times New Roman" w:hAnsi="Times New Roman" w:cs="Times New Roman"/>
          <w:color w:val="000000"/>
          <w:lang w:eastAsia="en-GB"/>
        </w:rPr>
        <w:t>Schirmer</w:t>
      </w:r>
      <w:proofErr w:type="spellEnd"/>
      <w:r w:rsidRPr="00BB5907">
        <w:rPr>
          <w:rFonts w:ascii="Times New Roman" w:hAnsi="Times New Roman" w:cs="Times New Roman"/>
          <w:color w:val="000000"/>
          <w:lang w:eastAsia="en-GB"/>
        </w:rPr>
        <w:t xml:space="preserve"> M, ir kt. BMC </w:t>
      </w:r>
      <w:proofErr w:type="spellStart"/>
      <w:r w:rsidRPr="00BB5907">
        <w:rPr>
          <w:rFonts w:ascii="Times New Roman" w:hAnsi="Times New Roman" w:cs="Times New Roman"/>
          <w:color w:val="000000"/>
          <w:lang w:eastAsia="en-GB"/>
        </w:rPr>
        <w:t>Bioinformatics</w:t>
      </w:r>
      <w:proofErr w:type="spellEnd"/>
      <w:r w:rsidRPr="00BB5907">
        <w:rPr>
          <w:rFonts w:ascii="Times New Roman" w:hAnsi="Times New Roman" w:cs="Times New Roman"/>
          <w:color w:val="000000"/>
          <w:lang w:eastAsia="en-GB"/>
        </w:rPr>
        <w:t>. 2016;</w:t>
      </w:r>
    </w:p>
  </w:footnote>
  <w:footnote w:id="6">
    <w:p w14:paraId="1891D213" w14:textId="7FF6710D" w:rsidR="00532C61" w:rsidRPr="00013ADA" w:rsidRDefault="00532C61" w:rsidP="00013ADA">
      <w:pPr>
        <w:pStyle w:val="FootnoteText"/>
        <w:jc w:val="both"/>
        <w:rPr>
          <w:rFonts w:ascii="Times New Roman" w:hAnsi="Times New Roman" w:cs="Times New Roman"/>
        </w:rPr>
      </w:pPr>
      <w:r w:rsidRPr="00532C61">
        <w:rPr>
          <w:rStyle w:val="FootnoteReference"/>
          <w:rFonts w:ascii="Times New Roman" w:hAnsi="Times New Roman" w:cs="Times New Roman"/>
        </w:rPr>
        <w:footnoteRef/>
      </w:r>
      <w:r w:rsidRPr="00532C61">
        <w:rPr>
          <w:rFonts w:ascii="Times New Roman" w:hAnsi="Times New Roman" w:cs="Times New Roman"/>
        </w:rPr>
        <w:t xml:space="preserve"> </w:t>
      </w:r>
      <w:proofErr w:type="spellStart"/>
      <w:r w:rsidRPr="00532C61">
        <w:rPr>
          <w:rFonts w:ascii="Times New Roman" w:hAnsi="Times New Roman" w:cs="Times New Roman"/>
          <w:color w:val="000000"/>
          <w:shd w:val="clear" w:color="auto" w:fill="FFFFFF"/>
          <w:lang w:eastAsia="en-GB"/>
        </w:rPr>
        <w:t>Yatsunenko</w:t>
      </w:r>
      <w:proofErr w:type="spellEnd"/>
      <w:r w:rsidRPr="00532C61">
        <w:rPr>
          <w:rFonts w:ascii="Times New Roman" w:hAnsi="Times New Roman" w:cs="Times New Roman"/>
          <w:color w:val="000000"/>
          <w:shd w:val="clear" w:color="auto" w:fill="FFFFFF"/>
          <w:lang w:eastAsia="en-GB"/>
        </w:rPr>
        <w:t xml:space="preserve"> T ir kt. </w:t>
      </w:r>
      <w:proofErr w:type="spellStart"/>
      <w:r w:rsidRPr="00532C61">
        <w:rPr>
          <w:rFonts w:ascii="Times New Roman" w:hAnsi="Times New Roman" w:cs="Times New Roman"/>
          <w:color w:val="000000"/>
          <w:shd w:val="clear" w:color="auto" w:fill="FFFFFF"/>
          <w:lang w:eastAsia="en-GB"/>
        </w:rPr>
        <w:t>Nature</w:t>
      </w:r>
      <w:proofErr w:type="spellEnd"/>
      <w:r w:rsidRPr="00532C61">
        <w:rPr>
          <w:rFonts w:ascii="Times New Roman" w:hAnsi="Times New Roman" w:cs="Times New Roman"/>
          <w:color w:val="000000"/>
          <w:shd w:val="clear" w:color="auto" w:fill="FFFFFF"/>
          <w:lang w:eastAsia="en-GB"/>
        </w:rPr>
        <w:t xml:space="preserve"> 2012; </w:t>
      </w:r>
      <w:proofErr w:type="spellStart"/>
      <w:r w:rsidRPr="00532C61">
        <w:rPr>
          <w:rFonts w:ascii="Times New Roman" w:hAnsi="Times New Roman" w:cs="Times New Roman"/>
          <w:color w:val="000000"/>
          <w:shd w:val="clear" w:color="auto" w:fill="FFFFFF"/>
          <w:lang w:eastAsia="en-GB"/>
        </w:rPr>
        <w:t>Stewart</w:t>
      </w:r>
      <w:proofErr w:type="spellEnd"/>
      <w:r w:rsidRPr="00532C61">
        <w:rPr>
          <w:rFonts w:ascii="Times New Roman" w:hAnsi="Times New Roman" w:cs="Times New Roman"/>
          <w:color w:val="000000"/>
          <w:shd w:val="clear" w:color="auto" w:fill="FFFFFF"/>
          <w:lang w:eastAsia="en-GB"/>
        </w:rPr>
        <w:t xml:space="preserve"> CJ</w:t>
      </w:r>
      <w:r w:rsidRPr="00532C61">
        <w:rPr>
          <w:rFonts w:ascii="Times New Roman" w:hAnsi="Times New Roman" w:cs="Times New Roman"/>
          <w:color w:val="000000"/>
          <w:lang w:eastAsia="en-GB"/>
        </w:rPr>
        <w:t xml:space="preserve"> ir kt. </w:t>
      </w:r>
      <w:proofErr w:type="spellStart"/>
      <w:r w:rsidRPr="00532C61">
        <w:rPr>
          <w:rFonts w:ascii="Times New Roman" w:hAnsi="Times New Roman" w:cs="Times New Roman"/>
          <w:color w:val="000000"/>
          <w:lang w:eastAsia="en-GB"/>
        </w:rPr>
        <w:t>Nature</w:t>
      </w:r>
      <w:proofErr w:type="spellEnd"/>
      <w:r w:rsidRPr="00532C61">
        <w:rPr>
          <w:rFonts w:ascii="Times New Roman" w:hAnsi="Times New Roman" w:cs="Times New Roman"/>
          <w:color w:val="000000"/>
          <w:lang w:eastAsia="en-GB"/>
        </w:rPr>
        <w:t xml:space="preserve"> 2018; </w:t>
      </w:r>
      <w:proofErr w:type="spellStart"/>
      <w:r w:rsidRPr="00532C61">
        <w:rPr>
          <w:rFonts w:ascii="Times New Roman" w:hAnsi="Times New Roman" w:cs="Times New Roman"/>
          <w:color w:val="000000"/>
          <w:shd w:val="clear" w:color="auto" w:fill="FFFFFF"/>
          <w:lang w:eastAsia="en-GB"/>
        </w:rPr>
        <w:t>Rothschild</w:t>
      </w:r>
      <w:proofErr w:type="spellEnd"/>
      <w:r w:rsidRPr="00532C61">
        <w:rPr>
          <w:rFonts w:ascii="Times New Roman" w:hAnsi="Times New Roman" w:cs="Times New Roman"/>
          <w:color w:val="000000"/>
          <w:shd w:val="clear" w:color="auto" w:fill="FFFFFF"/>
          <w:lang w:eastAsia="en-GB"/>
        </w:rPr>
        <w:t xml:space="preserve"> D</w:t>
      </w:r>
      <w:r w:rsidRPr="00532C61">
        <w:rPr>
          <w:rFonts w:ascii="Times New Roman" w:hAnsi="Times New Roman" w:cs="Times New Roman"/>
          <w:color w:val="000000"/>
          <w:lang w:eastAsia="en-GB"/>
        </w:rPr>
        <w:t xml:space="preserve"> ir kt. </w:t>
      </w:r>
      <w:proofErr w:type="spellStart"/>
      <w:r w:rsidRPr="00532C61">
        <w:rPr>
          <w:rFonts w:ascii="Times New Roman" w:hAnsi="Times New Roman" w:cs="Times New Roman"/>
          <w:color w:val="000000"/>
          <w:lang w:eastAsia="en-GB"/>
        </w:rPr>
        <w:t>Nature</w:t>
      </w:r>
      <w:proofErr w:type="spellEnd"/>
      <w:r w:rsidRPr="00532C61">
        <w:rPr>
          <w:rFonts w:ascii="Times New Roman" w:hAnsi="Times New Roman" w:cs="Times New Roman"/>
          <w:color w:val="000000"/>
          <w:lang w:eastAsia="en-GB"/>
        </w:rPr>
        <w:t xml:space="preserve"> 2018; </w:t>
      </w:r>
      <w:proofErr w:type="spellStart"/>
      <w:r w:rsidRPr="00532C61">
        <w:rPr>
          <w:rFonts w:ascii="Times New Roman" w:hAnsi="Times New Roman" w:cs="Times New Roman"/>
          <w:color w:val="000000"/>
          <w:shd w:val="clear" w:color="auto" w:fill="FFFFFF"/>
          <w:lang w:eastAsia="en-GB"/>
        </w:rPr>
        <w:t>Matson</w:t>
      </w:r>
      <w:proofErr w:type="spellEnd"/>
      <w:r w:rsidRPr="00532C61">
        <w:rPr>
          <w:rFonts w:ascii="Times New Roman" w:hAnsi="Times New Roman" w:cs="Times New Roman"/>
          <w:color w:val="000000"/>
          <w:shd w:val="clear" w:color="auto" w:fill="FFFFFF"/>
          <w:lang w:eastAsia="en-GB"/>
        </w:rPr>
        <w:t xml:space="preserve"> V</w:t>
      </w:r>
      <w:r w:rsidRPr="00532C61">
        <w:rPr>
          <w:rFonts w:ascii="Times New Roman" w:hAnsi="Times New Roman" w:cs="Times New Roman"/>
          <w:color w:val="000000"/>
          <w:lang w:eastAsia="en-GB"/>
        </w:rPr>
        <w:t xml:space="preserve"> ir kt. </w:t>
      </w:r>
      <w:proofErr w:type="spellStart"/>
      <w:r w:rsidRPr="00532C61">
        <w:rPr>
          <w:rFonts w:ascii="Times New Roman" w:hAnsi="Times New Roman" w:cs="Times New Roman"/>
          <w:color w:val="000000"/>
          <w:lang w:eastAsia="en-GB"/>
        </w:rPr>
        <w:t>Science</w:t>
      </w:r>
      <w:proofErr w:type="spellEnd"/>
      <w:r w:rsidRPr="00532C61">
        <w:rPr>
          <w:rFonts w:ascii="Times New Roman" w:hAnsi="Times New Roman" w:cs="Times New Roman"/>
          <w:color w:val="000000"/>
          <w:lang w:eastAsia="en-GB"/>
        </w:rPr>
        <w:t xml:space="preserve"> 2018; </w:t>
      </w:r>
      <w:proofErr w:type="spellStart"/>
      <w:r w:rsidRPr="00532C61">
        <w:rPr>
          <w:rFonts w:ascii="Times New Roman" w:hAnsi="Times New Roman" w:cs="Times New Roman"/>
          <w:color w:val="000000"/>
          <w:lang w:eastAsia="en-GB"/>
        </w:rPr>
        <w:t>Wang</w:t>
      </w:r>
      <w:proofErr w:type="spellEnd"/>
      <w:r w:rsidRPr="00532C61">
        <w:rPr>
          <w:rFonts w:ascii="Times New Roman" w:hAnsi="Times New Roman" w:cs="Times New Roman"/>
          <w:color w:val="000000"/>
          <w:lang w:eastAsia="en-GB"/>
        </w:rPr>
        <w:t xml:space="preserve"> J ir kt. </w:t>
      </w:r>
      <w:proofErr w:type="spellStart"/>
      <w:r w:rsidRPr="00532C61">
        <w:rPr>
          <w:rFonts w:ascii="Times New Roman" w:hAnsi="Times New Roman" w:cs="Times New Roman"/>
          <w:color w:val="000000"/>
          <w:lang w:eastAsia="en-GB"/>
        </w:rPr>
        <w:t>Nat</w:t>
      </w:r>
      <w:proofErr w:type="spellEnd"/>
      <w:r w:rsidRPr="00532C61">
        <w:rPr>
          <w:rFonts w:ascii="Times New Roman" w:hAnsi="Times New Roman" w:cs="Times New Roman"/>
          <w:color w:val="000000"/>
          <w:lang w:eastAsia="en-GB"/>
        </w:rPr>
        <w:t xml:space="preserve"> </w:t>
      </w:r>
      <w:proofErr w:type="spellStart"/>
      <w:r w:rsidRPr="00532C61">
        <w:rPr>
          <w:rFonts w:ascii="Times New Roman" w:hAnsi="Times New Roman" w:cs="Times New Roman"/>
          <w:color w:val="000000"/>
          <w:lang w:eastAsia="en-GB"/>
        </w:rPr>
        <w:t>Genet</w:t>
      </w:r>
      <w:proofErr w:type="spellEnd"/>
      <w:r w:rsidRPr="00532C61">
        <w:rPr>
          <w:rFonts w:ascii="Times New Roman" w:hAnsi="Times New Roman" w:cs="Times New Roman"/>
          <w:color w:val="000000"/>
          <w:lang w:eastAsia="en-GB"/>
        </w:rPr>
        <w:t xml:space="preserve"> 2016; </w:t>
      </w:r>
      <w:proofErr w:type="spellStart"/>
      <w:r w:rsidRPr="00532C61">
        <w:rPr>
          <w:rFonts w:ascii="Times New Roman" w:hAnsi="Times New Roman" w:cs="Times New Roman"/>
          <w:color w:val="000000"/>
          <w:shd w:val="clear" w:color="auto" w:fill="FFFFFF"/>
          <w:lang w:eastAsia="en-GB"/>
        </w:rPr>
        <w:t>Ma</w:t>
      </w:r>
      <w:proofErr w:type="spellEnd"/>
      <w:r w:rsidRPr="00532C61">
        <w:rPr>
          <w:rFonts w:ascii="Times New Roman" w:hAnsi="Times New Roman" w:cs="Times New Roman"/>
          <w:color w:val="000000"/>
          <w:shd w:val="clear" w:color="auto" w:fill="FFFFFF"/>
          <w:lang w:eastAsia="en-GB"/>
        </w:rPr>
        <w:t xml:space="preserve"> B ir kt. </w:t>
      </w:r>
      <w:proofErr w:type="spellStart"/>
      <w:r w:rsidRPr="00532C61">
        <w:rPr>
          <w:rFonts w:ascii="Times New Roman" w:hAnsi="Times New Roman" w:cs="Times New Roman"/>
          <w:color w:val="000000"/>
          <w:shd w:val="clear" w:color="auto" w:fill="FFFFFF"/>
          <w:lang w:eastAsia="en-GB"/>
        </w:rPr>
        <w:t>Microbiome</w:t>
      </w:r>
      <w:proofErr w:type="spellEnd"/>
      <w:r w:rsidRPr="00532C61">
        <w:rPr>
          <w:rFonts w:ascii="Times New Roman" w:hAnsi="Times New Roman" w:cs="Times New Roman"/>
          <w:color w:val="000000"/>
          <w:shd w:val="clear" w:color="auto" w:fill="FFFFFF"/>
          <w:lang w:eastAsia="en-GB"/>
        </w:rPr>
        <w:t xml:space="preserve">. 2020; </w:t>
      </w:r>
      <w:proofErr w:type="spellStart"/>
      <w:r w:rsidRPr="00532C61">
        <w:rPr>
          <w:rFonts w:ascii="Times New Roman" w:hAnsi="Times New Roman" w:cs="Times New Roman"/>
          <w:color w:val="000000"/>
          <w:shd w:val="clear" w:color="auto" w:fill="FFFFFF"/>
          <w:lang w:eastAsia="en-GB"/>
        </w:rPr>
        <w:t>Tremblay</w:t>
      </w:r>
      <w:proofErr w:type="spellEnd"/>
      <w:r w:rsidRPr="00532C61">
        <w:rPr>
          <w:rFonts w:ascii="Times New Roman" w:hAnsi="Times New Roman" w:cs="Times New Roman"/>
          <w:color w:val="000000"/>
          <w:shd w:val="clear" w:color="auto" w:fill="FFFFFF"/>
          <w:lang w:eastAsia="en-GB"/>
        </w:rPr>
        <w:t xml:space="preserve"> J, ir kt. </w:t>
      </w:r>
      <w:proofErr w:type="spellStart"/>
      <w:r w:rsidRPr="00532C61">
        <w:rPr>
          <w:rFonts w:ascii="Times New Roman" w:hAnsi="Times New Roman" w:cs="Times New Roman"/>
          <w:color w:val="000000"/>
          <w:shd w:val="clear" w:color="auto" w:fill="FFFFFF"/>
          <w:lang w:eastAsia="en-GB"/>
        </w:rPr>
        <w:t>Front</w:t>
      </w:r>
      <w:proofErr w:type="spellEnd"/>
      <w:r w:rsidRPr="00532C61">
        <w:rPr>
          <w:rFonts w:ascii="Times New Roman" w:hAnsi="Times New Roman" w:cs="Times New Roman"/>
          <w:color w:val="000000"/>
          <w:shd w:val="clear" w:color="auto" w:fill="FFFFFF"/>
          <w:lang w:eastAsia="en-GB"/>
        </w:rPr>
        <w:t xml:space="preserve"> </w:t>
      </w:r>
      <w:proofErr w:type="spellStart"/>
      <w:r w:rsidRPr="00532C61">
        <w:rPr>
          <w:rFonts w:ascii="Times New Roman" w:hAnsi="Times New Roman" w:cs="Times New Roman"/>
          <w:color w:val="000000"/>
          <w:shd w:val="clear" w:color="auto" w:fill="FFFFFF"/>
          <w:lang w:eastAsia="en-GB"/>
        </w:rPr>
        <w:t>Microbiol</w:t>
      </w:r>
      <w:proofErr w:type="spellEnd"/>
      <w:r w:rsidRPr="00532C61">
        <w:rPr>
          <w:rFonts w:ascii="Times New Roman" w:hAnsi="Times New Roman" w:cs="Times New Roman"/>
          <w:color w:val="000000"/>
          <w:shd w:val="clear" w:color="auto" w:fill="FFFFFF"/>
          <w:lang w:eastAsia="en-GB"/>
        </w:rPr>
        <w:t xml:space="preserve">. 2015; </w:t>
      </w:r>
      <w:proofErr w:type="spellStart"/>
      <w:r w:rsidRPr="00532C61">
        <w:rPr>
          <w:rFonts w:ascii="Times New Roman" w:hAnsi="Times New Roman" w:cs="Times New Roman"/>
          <w:color w:val="000000"/>
          <w:shd w:val="clear" w:color="auto" w:fill="FFFFFF"/>
          <w:lang w:eastAsia="en-GB"/>
        </w:rPr>
        <w:t>Binyamin</w:t>
      </w:r>
      <w:proofErr w:type="spellEnd"/>
      <w:r w:rsidRPr="00532C61">
        <w:rPr>
          <w:rFonts w:ascii="Times New Roman" w:hAnsi="Times New Roman" w:cs="Times New Roman"/>
          <w:color w:val="000000"/>
          <w:shd w:val="clear" w:color="auto" w:fill="FFFFFF"/>
          <w:lang w:eastAsia="en-GB"/>
        </w:rPr>
        <w:t xml:space="preserve"> D, ir kt. BMC </w:t>
      </w:r>
      <w:proofErr w:type="spellStart"/>
      <w:r w:rsidRPr="00532C61">
        <w:rPr>
          <w:rFonts w:ascii="Times New Roman" w:hAnsi="Times New Roman" w:cs="Times New Roman"/>
          <w:color w:val="000000"/>
          <w:shd w:val="clear" w:color="auto" w:fill="FFFFFF"/>
          <w:lang w:eastAsia="en-GB"/>
        </w:rPr>
        <w:t>Gastroenterol</w:t>
      </w:r>
      <w:proofErr w:type="spellEnd"/>
      <w:r w:rsidRPr="00532C61">
        <w:rPr>
          <w:rFonts w:ascii="Times New Roman" w:hAnsi="Times New Roman" w:cs="Times New Roman"/>
          <w:color w:val="000000"/>
          <w:shd w:val="clear" w:color="auto" w:fill="FFFFFF"/>
          <w:lang w:eastAsia="en-GB"/>
        </w:rPr>
        <w:t xml:space="preserve">. 2021; </w:t>
      </w:r>
      <w:proofErr w:type="spellStart"/>
      <w:r w:rsidRPr="00532C61">
        <w:rPr>
          <w:rFonts w:ascii="Times New Roman" w:hAnsi="Times New Roman" w:cs="Times New Roman"/>
          <w:color w:val="000000"/>
          <w:shd w:val="clear" w:color="auto" w:fill="FFFFFF"/>
          <w:lang w:eastAsia="en-GB"/>
        </w:rPr>
        <w:t>Wu</w:t>
      </w:r>
      <w:proofErr w:type="spellEnd"/>
      <w:r w:rsidRPr="00532C61">
        <w:rPr>
          <w:rFonts w:ascii="Times New Roman" w:hAnsi="Times New Roman" w:cs="Times New Roman"/>
          <w:color w:val="000000"/>
          <w:shd w:val="clear" w:color="auto" w:fill="FFFFFF"/>
          <w:lang w:eastAsia="en-GB"/>
        </w:rPr>
        <w:t xml:space="preserve"> H, ir kt. </w:t>
      </w:r>
      <w:proofErr w:type="spellStart"/>
      <w:r w:rsidRPr="00532C61">
        <w:rPr>
          <w:rFonts w:ascii="Times New Roman" w:hAnsi="Times New Roman" w:cs="Times New Roman"/>
          <w:color w:val="000000"/>
          <w:shd w:val="clear" w:color="auto" w:fill="FFFFFF"/>
          <w:lang w:eastAsia="en-GB"/>
        </w:rPr>
        <w:t>Front</w:t>
      </w:r>
      <w:proofErr w:type="spellEnd"/>
      <w:r w:rsidRPr="00532C61">
        <w:rPr>
          <w:rFonts w:ascii="Times New Roman" w:hAnsi="Times New Roman" w:cs="Times New Roman"/>
          <w:color w:val="000000"/>
          <w:shd w:val="clear" w:color="auto" w:fill="FFFFFF"/>
          <w:lang w:eastAsia="en-GB"/>
        </w:rPr>
        <w:t xml:space="preserve"> </w:t>
      </w:r>
      <w:proofErr w:type="spellStart"/>
      <w:r w:rsidRPr="00532C61">
        <w:rPr>
          <w:rFonts w:ascii="Times New Roman" w:hAnsi="Times New Roman" w:cs="Times New Roman"/>
          <w:color w:val="000000"/>
          <w:shd w:val="clear" w:color="auto" w:fill="FFFFFF"/>
          <w:lang w:eastAsia="en-GB"/>
        </w:rPr>
        <w:t>Microbiol</w:t>
      </w:r>
      <w:proofErr w:type="spellEnd"/>
      <w:r w:rsidRPr="00532C61">
        <w:rPr>
          <w:rFonts w:ascii="Times New Roman" w:hAnsi="Times New Roman" w:cs="Times New Roman"/>
          <w:color w:val="000000"/>
          <w:shd w:val="clear" w:color="auto" w:fill="FFFFFF"/>
          <w:lang w:eastAsia="en-GB"/>
        </w:rPr>
        <w:t xml:space="preserve">. 2021; </w:t>
      </w:r>
      <w:proofErr w:type="spellStart"/>
      <w:r w:rsidRPr="00532C61">
        <w:rPr>
          <w:rFonts w:ascii="Times New Roman" w:hAnsi="Times New Roman" w:cs="Times New Roman"/>
          <w:color w:val="000000"/>
          <w:shd w:val="clear" w:color="auto" w:fill="FFFFFF"/>
          <w:lang w:eastAsia="en-GB"/>
        </w:rPr>
        <w:t>Kurilshikov</w:t>
      </w:r>
      <w:proofErr w:type="spellEnd"/>
      <w:r w:rsidRPr="00532C61">
        <w:rPr>
          <w:rFonts w:ascii="Times New Roman" w:hAnsi="Times New Roman" w:cs="Times New Roman"/>
          <w:color w:val="000000"/>
          <w:shd w:val="clear" w:color="auto" w:fill="FFFFFF"/>
          <w:lang w:eastAsia="en-GB"/>
        </w:rPr>
        <w:t xml:space="preserve"> A, ir kt. </w:t>
      </w:r>
      <w:proofErr w:type="spellStart"/>
      <w:r w:rsidRPr="00532C61">
        <w:rPr>
          <w:rFonts w:ascii="Times New Roman" w:hAnsi="Times New Roman" w:cs="Times New Roman"/>
          <w:color w:val="000000"/>
          <w:shd w:val="clear" w:color="auto" w:fill="FFFFFF"/>
          <w:lang w:eastAsia="en-GB"/>
        </w:rPr>
        <w:t>Nat</w:t>
      </w:r>
      <w:proofErr w:type="spellEnd"/>
      <w:r w:rsidRPr="00532C61">
        <w:rPr>
          <w:rFonts w:ascii="Times New Roman" w:hAnsi="Times New Roman" w:cs="Times New Roman"/>
          <w:color w:val="000000"/>
          <w:shd w:val="clear" w:color="auto" w:fill="FFFFFF"/>
          <w:lang w:eastAsia="en-GB"/>
        </w:rPr>
        <w:t xml:space="preserve"> </w:t>
      </w:r>
      <w:proofErr w:type="spellStart"/>
      <w:r w:rsidRPr="00532C61">
        <w:rPr>
          <w:rFonts w:ascii="Times New Roman" w:hAnsi="Times New Roman" w:cs="Times New Roman"/>
          <w:color w:val="000000"/>
          <w:shd w:val="clear" w:color="auto" w:fill="FFFFFF"/>
          <w:lang w:eastAsia="en-GB"/>
        </w:rPr>
        <w:t>Genet</w:t>
      </w:r>
      <w:proofErr w:type="spellEnd"/>
      <w:r w:rsidRPr="00532C61">
        <w:rPr>
          <w:rFonts w:ascii="Times New Roman" w:hAnsi="Times New Roman" w:cs="Times New Roman"/>
          <w:color w:val="000000"/>
          <w:shd w:val="clear" w:color="auto" w:fill="FFFFFF"/>
          <w:lang w:eastAsia="en-GB"/>
        </w:rPr>
        <w:t xml:space="preserve">. 2021; </w:t>
      </w:r>
      <w:proofErr w:type="spellStart"/>
      <w:r w:rsidRPr="00532C61">
        <w:rPr>
          <w:rFonts w:ascii="Times New Roman" w:hAnsi="Times New Roman" w:cs="Times New Roman"/>
          <w:color w:val="000000"/>
          <w:shd w:val="clear" w:color="auto" w:fill="FFFFFF"/>
          <w:lang w:eastAsia="en-GB"/>
        </w:rPr>
        <w:t>Videvall</w:t>
      </w:r>
      <w:proofErr w:type="spellEnd"/>
      <w:r w:rsidRPr="00532C61">
        <w:rPr>
          <w:rFonts w:ascii="Times New Roman" w:hAnsi="Times New Roman" w:cs="Times New Roman"/>
          <w:color w:val="000000"/>
          <w:shd w:val="clear" w:color="auto" w:fill="FFFFFF"/>
          <w:lang w:eastAsia="en-GB"/>
        </w:rPr>
        <w:t xml:space="preserve"> E ir kt. </w:t>
      </w:r>
      <w:proofErr w:type="spellStart"/>
      <w:r w:rsidRPr="00532C61">
        <w:rPr>
          <w:rFonts w:ascii="Times New Roman" w:hAnsi="Times New Roman" w:cs="Times New Roman"/>
          <w:color w:val="000000"/>
          <w:shd w:val="clear" w:color="auto" w:fill="FFFFFF"/>
          <w:lang w:eastAsia="en-GB"/>
        </w:rPr>
        <w:t>Microbiome</w:t>
      </w:r>
      <w:proofErr w:type="spellEnd"/>
      <w:r w:rsidRPr="00532C61">
        <w:rPr>
          <w:rFonts w:ascii="Times New Roman" w:hAnsi="Times New Roman" w:cs="Times New Roman"/>
          <w:color w:val="000000"/>
          <w:shd w:val="clear" w:color="auto" w:fill="FFFFFF"/>
          <w:lang w:eastAsia="en-GB"/>
        </w:rPr>
        <w:t xml:space="preserve">. 2020; </w:t>
      </w:r>
      <w:proofErr w:type="spellStart"/>
      <w:r w:rsidRPr="00532C61">
        <w:rPr>
          <w:rFonts w:ascii="Times New Roman" w:hAnsi="Times New Roman" w:cs="Times New Roman"/>
          <w:color w:val="000000"/>
          <w:shd w:val="clear" w:color="auto" w:fill="FFFFFF"/>
          <w:lang w:eastAsia="en-GB"/>
        </w:rPr>
        <w:t>Goodrich</w:t>
      </w:r>
      <w:proofErr w:type="spellEnd"/>
      <w:r w:rsidRPr="00532C61">
        <w:rPr>
          <w:rFonts w:ascii="Times New Roman" w:hAnsi="Times New Roman" w:cs="Times New Roman"/>
          <w:color w:val="000000"/>
          <w:shd w:val="clear" w:color="auto" w:fill="FFFFFF"/>
          <w:lang w:eastAsia="en-GB"/>
        </w:rPr>
        <w:t xml:space="preserve"> </w:t>
      </w:r>
      <w:r w:rsidRPr="00013ADA">
        <w:rPr>
          <w:rFonts w:ascii="Times New Roman" w:hAnsi="Times New Roman" w:cs="Times New Roman"/>
          <w:color w:val="000000"/>
          <w:shd w:val="clear" w:color="auto" w:fill="FFFFFF"/>
          <w:lang w:eastAsia="en-GB"/>
        </w:rPr>
        <w:t xml:space="preserve">JK ir kt. </w:t>
      </w:r>
      <w:proofErr w:type="spellStart"/>
      <w:r w:rsidRPr="00013ADA">
        <w:rPr>
          <w:rFonts w:ascii="Times New Roman" w:hAnsi="Times New Roman" w:cs="Times New Roman"/>
          <w:color w:val="000000"/>
          <w:shd w:val="clear" w:color="auto" w:fill="FFFFFF"/>
          <w:lang w:eastAsia="en-GB"/>
        </w:rPr>
        <w:t>Cell</w:t>
      </w:r>
      <w:proofErr w:type="spellEnd"/>
      <w:r w:rsidRPr="00013ADA">
        <w:rPr>
          <w:rFonts w:ascii="Times New Roman" w:hAnsi="Times New Roman" w:cs="Times New Roman"/>
          <w:color w:val="000000"/>
          <w:shd w:val="clear" w:color="auto" w:fill="FFFFFF"/>
          <w:lang w:eastAsia="en-GB"/>
        </w:rPr>
        <w:t xml:space="preserve"> </w:t>
      </w:r>
      <w:proofErr w:type="spellStart"/>
      <w:r w:rsidRPr="00013ADA">
        <w:rPr>
          <w:rFonts w:ascii="Times New Roman" w:hAnsi="Times New Roman" w:cs="Times New Roman"/>
          <w:color w:val="000000"/>
          <w:shd w:val="clear" w:color="auto" w:fill="FFFFFF"/>
          <w:lang w:eastAsia="en-GB"/>
        </w:rPr>
        <w:t>Host</w:t>
      </w:r>
      <w:proofErr w:type="spellEnd"/>
      <w:r w:rsidRPr="00013ADA">
        <w:rPr>
          <w:rFonts w:ascii="Times New Roman" w:hAnsi="Times New Roman" w:cs="Times New Roman"/>
          <w:color w:val="000000"/>
          <w:shd w:val="clear" w:color="auto" w:fill="FFFFFF"/>
          <w:lang w:eastAsia="en-GB"/>
        </w:rPr>
        <w:t xml:space="preserve"> </w:t>
      </w:r>
      <w:proofErr w:type="spellStart"/>
      <w:r w:rsidRPr="00013ADA">
        <w:rPr>
          <w:rFonts w:ascii="Times New Roman" w:hAnsi="Times New Roman" w:cs="Times New Roman"/>
          <w:color w:val="000000"/>
          <w:shd w:val="clear" w:color="auto" w:fill="FFFFFF"/>
          <w:lang w:eastAsia="en-GB"/>
        </w:rPr>
        <w:t>Microbe</w:t>
      </w:r>
      <w:proofErr w:type="spellEnd"/>
      <w:r w:rsidRPr="00013ADA">
        <w:rPr>
          <w:rFonts w:ascii="Times New Roman" w:hAnsi="Times New Roman" w:cs="Times New Roman"/>
          <w:color w:val="000000"/>
          <w:shd w:val="clear" w:color="auto" w:fill="FFFFFF"/>
          <w:lang w:eastAsia="en-GB"/>
        </w:rPr>
        <w:t>. 2016;</w:t>
      </w:r>
    </w:p>
  </w:footnote>
  <w:footnote w:id="7">
    <w:p w14:paraId="121F0969" w14:textId="3A51E4D0" w:rsidR="00013ADA" w:rsidRPr="00013ADA" w:rsidRDefault="00013ADA" w:rsidP="00013ADA">
      <w:pPr>
        <w:pStyle w:val="FootnoteText"/>
        <w:jc w:val="both"/>
        <w:rPr>
          <w:rFonts w:ascii="Times New Roman" w:hAnsi="Times New Roman" w:cs="Times New Roman"/>
        </w:rPr>
      </w:pPr>
      <w:r w:rsidRPr="00013ADA">
        <w:rPr>
          <w:rStyle w:val="FootnoteReference"/>
          <w:rFonts w:ascii="Times New Roman" w:hAnsi="Times New Roman" w:cs="Times New Roman"/>
        </w:rPr>
        <w:footnoteRef/>
      </w:r>
      <w:r w:rsidRPr="00013ADA">
        <w:rPr>
          <w:rFonts w:ascii="Times New Roman" w:hAnsi="Times New Roman" w:cs="Times New Roman"/>
        </w:rPr>
        <w:t xml:space="preserve"> </w:t>
      </w:r>
      <w:proofErr w:type="spellStart"/>
      <w:r w:rsidRPr="00013ADA">
        <w:rPr>
          <w:rFonts w:ascii="Times New Roman" w:hAnsi="Times New Roman" w:cs="Times New Roman"/>
          <w:color w:val="000000"/>
          <w:shd w:val="clear" w:color="auto" w:fill="FFFFFF"/>
          <w:lang w:eastAsia="en-GB"/>
        </w:rPr>
        <w:t>Abellan-Schneyder</w:t>
      </w:r>
      <w:proofErr w:type="spellEnd"/>
      <w:r w:rsidRPr="00013ADA">
        <w:rPr>
          <w:rFonts w:ascii="Times New Roman" w:hAnsi="Times New Roman" w:cs="Times New Roman"/>
          <w:color w:val="000000"/>
          <w:shd w:val="clear" w:color="auto" w:fill="FFFFFF"/>
          <w:lang w:eastAsia="en-GB"/>
        </w:rPr>
        <w:t xml:space="preserve"> I ir kt. </w:t>
      </w:r>
      <w:proofErr w:type="spellStart"/>
      <w:r w:rsidRPr="00013ADA">
        <w:rPr>
          <w:rFonts w:ascii="Times New Roman" w:hAnsi="Times New Roman" w:cs="Times New Roman"/>
          <w:color w:val="000000"/>
          <w:shd w:val="clear" w:color="auto" w:fill="FFFFFF"/>
          <w:lang w:eastAsia="en-GB"/>
        </w:rPr>
        <w:t>mSphere</w:t>
      </w:r>
      <w:proofErr w:type="spellEnd"/>
      <w:r w:rsidRPr="00013ADA">
        <w:rPr>
          <w:rFonts w:ascii="Times New Roman" w:hAnsi="Times New Roman" w:cs="Times New Roman"/>
          <w:color w:val="000000"/>
          <w:shd w:val="clear" w:color="auto" w:fill="FFFFFF"/>
          <w:lang w:eastAsia="en-GB"/>
        </w:rPr>
        <w:t>. 2021;</w:t>
      </w:r>
    </w:p>
  </w:footnote>
  <w:footnote w:id="8">
    <w:p w14:paraId="586CD193" w14:textId="4F53B185" w:rsidR="00013ADA" w:rsidRDefault="00013ADA" w:rsidP="00013ADA">
      <w:pPr>
        <w:pStyle w:val="FootnoteText"/>
        <w:jc w:val="both"/>
      </w:pPr>
      <w:r w:rsidRPr="00013ADA">
        <w:rPr>
          <w:rStyle w:val="FootnoteReference"/>
          <w:rFonts w:ascii="Times New Roman" w:hAnsi="Times New Roman" w:cs="Times New Roman"/>
        </w:rPr>
        <w:footnoteRef/>
      </w:r>
      <w:r w:rsidRPr="00013ADA">
        <w:rPr>
          <w:rFonts w:ascii="Times New Roman" w:hAnsi="Times New Roman" w:cs="Times New Roman"/>
        </w:rPr>
        <w:t xml:space="preserve"> </w:t>
      </w:r>
      <w:r w:rsidRPr="00013ADA">
        <w:rPr>
          <w:rFonts w:ascii="Times New Roman" w:hAnsi="Times New Roman" w:cs="Times New Roman"/>
          <w:color w:val="000000"/>
          <w:lang w:eastAsia="en-GB"/>
        </w:rPr>
        <w:t>QIIME2 (</w:t>
      </w:r>
      <w:proofErr w:type="spellStart"/>
      <w:r w:rsidRPr="00013ADA">
        <w:rPr>
          <w:rFonts w:ascii="Times New Roman" w:hAnsi="Times New Roman" w:cs="Times New Roman"/>
          <w:color w:val="000000"/>
          <w:lang w:eastAsia="en-GB"/>
        </w:rPr>
        <w:t>Bolyen</w:t>
      </w:r>
      <w:proofErr w:type="spellEnd"/>
      <w:r w:rsidRPr="00013ADA">
        <w:rPr>
          <w:rFonts w:ascii="Times New Roman" w:hAnsi="Times New Roman" w:cs="Times New Roman"/>
          <w:color w:val="000000"/>
          <w:lang w:eastAsia="en-GB"/>
        </w:rPr>
        <w:t xml:space="preserve"> E ir kt. </w:t>
      </w:r>
      <w:proofErr w:type="spellStart"/>
      <w:r w:rsidRPr="00013ADA">
        <w:rPr>
          <w:rFonts w:ascii="Times New Roman" w:hAnsi="Times New Roman" w:cs="Times New Roman"/>
          <w:color w:val="000000"/>
          <w:shd w:val="clear" w:color="auto" w:fill="FFFFFF"/>
          <w:lang w:eastAsia="en-GB"/>
        </w:rPr>
        <w:t>Nat</w:t>
      </w:r>
      <w:proofErr w:type="spellEnd"/>
      <w:r w:rsidRPr="00013ADA">
        <w:rPr>
          <w:rFonts w:ascii="Times New Roman" w:hAnsi="Times New Roman" w:cs="Times New Roman"/>
          <w:color w:val="000000"/>
          <w:shd w:val="clear" w:color="auto" w:fill="FFFFFF"/>
          <w:lang w:eastAsia="en-GB"/>
        </w:rPr>
        <w:t xml:space="preserve"> </w:t>
      </w:r>
      <w:proofErr w:type="spellStart"/>
      <w:r w:rsidRPr="00013ADA">
        <w:rPr>
          <w:rFonts w:ascii="Times New Roman" w:hAnsi="Times New Roman" w:cs="Times New Roman"/>
          <w:color w:val="000000"/>
          <w:shd w:val="clear" w:color="auto" w:fill="FFFFFF"/>
          <w:lang w:eastAsia="en-GB"/>
        </w:rPr>
        <w:t>Biotechnol</w:t>
      </w:r>
      <w:proofErr w:type="spellEnd"/>
      <w:r w:rsidRPr="00013ADA">
        <w:rPr>
          <w:rFonts w:ascii="Times New Roman" w:hAnsi="Times New Roman" w:cs="Times New Roman"/>
          <w:color w:val="000000"/>
          <w:shd w:val="clear" w:color="auto" w:fill="FFFFFF"/>
          <w:lang w:eastAsia="en-GB"/>
        </w:rPr>
        <w:t>. 2019</w:t>
      </w:r>
      <w:r w:rsidRPr="00013ADA">
        <w:rPr>
          <w:rFonts w:ascii="Times New Roman" w:hAnsi="Times New Roman" w:cs="Times New Roman"/>
          <w:color w:val="000000"/>
          <w:lang w:eastAsia="en-GB"/>
        </w:rPr>
        <w:t>), DADA2 (</w:t>
      </w:r>
      <w:proofErr w:type="spellStart"/>
      <w:r w:rsidRPr="00013ADA">
        <w:rPr>
          <w:rFonts w:ascii="Times New Roman" w:hAnsi="Times New Roman" w:cs="Times New Roman"/>
          <w:color w:val="000000"/>
          <w:shd w:val="clear" w:color="auto" w:fill="FFFFFF"/>
          <w:lang w:eastAsia="en-GB"/>
        </w:rPr>
        <w:t>Callahan</w:t>
      </w:r>
      <w:proofErr w:type="spellEnd"/>
      <w:r w:rsidRPr="00013ADA">
        <w:rPr>
          <w:rFonts w:ascii="Times New Roman" w:hAnsi="Times New Roman" w:cs="Times New Roman"/>
          <w:color w:val="000000"/>
          <w:shd w:val="clear" w:color="auto" w:fill="FFFFFF"/>
          <w:lang w:eastAsia="en-GB"/>
        </w:rPr>
        <w:t xml:space="preserve"> BJ ir kt. </w:t>
      </w:r>
      <w:proofErr w:type="spellStart"/>
      <w:r w:rsidRPr="00013ADA">
        <w:rPr>
          <w:rFonts w:ascii="Times New Roman" w:hAnsi="Times New Roman" w:cs="Times New Roman"/>
          <w:color w:val="000000"/>
          <w:shd w:val="clear" w:color="auto" w:fill="FFFFFF"/>
          <w:lang w:eastAsia="en-GB"/>
        </w:rPr>
        <w:t>Nat</w:t>
      </w:r>
      <w:proofErr w:type="spellEnd"/>
      <w:r w:rsidRPr="00013ADA">
        <w:rPr>
          <w:rFonts w:ascii="Times New Roman" w:hAnsi="Times New Roman" w:cs="Times New Roman"/>
          <w:color w:val="000000"/>
          <w:shd w:val="clear" w:color="auto" w:fill="FFFFFF"/>
          <w:lang w:eastAsia="en-GB"/>
        </w:rPr>
        <w:t xml:space="preserve"> </w:t>
      </w:r>
      <w:proofErr w:type="spellStart"/>
      <w:r w:rsidRPr="00013ADA">
        <w:rPr>
          <w:rFonts w:ascii="Times New Roman" w:hAnsi="Times New Roman" w:cs="Times New Roman"/>
          <w:color w:val="000000"/>
          <w:shd w:val="clear" w:color="auto" w:fill="FFFFFF"/>
          <w:lang w:eastAsia="en-GB"/>
        </w:rPr>
        <w:t>Methods</w:t>
      </w:r>
      <w:proofErr w:type="spellEnd"/>
      <w:r w:rsidRPr="00013ADA">
        <w:rPr>
          <w:rFonts w:ascii="Times New Roman" w:hAnsi="Times New Roman" w:cs="Times New Roman"/>
          <w:color w:val="000000"/>
          <w:shd w:val="clear" w:color="auto" w:fill="FFFFFF"/>
          <w:lang w:eastAsia="en-GB"/>
        </w:rPr>
        <w:t xml:space="preserve">. 2016), </w:t>
      </w:r>
      <w:proofErr w:type="spellStart"/>
      <w:r w:rsidRPr="00013ADA">
        <w:rPr>
          <w:rFonts w:ascii="Times New Roman" w:hAnsi="Times New Roman" w:cs="Times New Roman"/>
          <w:color w:val="000000"/>
          <w:shd w:val="clear" w:color="auto" w:fill="FFFFFF"/>
          <w:lang w:eastAsia="en-GB"/>
        </w:rPr>
        <w:t>mothur</w:t>
      </w:r>
      <w:proofErr w:type="spellEnd"/>
      <w:r w:rsidRPr="00013ADA">
        <w:rPr>
          <w:rFonts w:ascii="Times New Roman" w:hAnsi="Times New Roman" w:cs="Times New Roman"/>
          <w:color w:val="000000"/>
          <w:shd w:val="clear" w:color="auto" w:fill="FFFFFF"/>
          <w:lang w:eastAsia="en-GB"/>
        </w:rPr>
        <w:t xml:space="preserve"> (</w:t>
      </w:r>
      <w:proofErr w:type="spellStart"/>
      <w:r w:rsidRPr="00013ADA">
        <w:rPr>
          <w:rFonts w:ascii="Times New Roman" w:hAnsi="Times New Roman" w:cs="Times New Roman"/>
          <w:color w:val="000000"/>
          <w:shd w:val="clear" w:color="auto" w:fill="FFFFFF"/>
          <w:lang w:eastAsia="en-GB"/>
        </w:rPr>
        <w:t>Kozich</w:t>
      </w:r>
      <w:proofErr w:type="spellEnd"/>
      <w:r w:rsidRPr="00013ADA">
        <w:rPr>
          <w:rFonts w:ascii="Times New Roman" w:hAnsi="Times New Roman" w:cs="Times New Roman"/>
          <w:color w:val="000000"/>
          <w:shd w:val="clear" w:color="auto" w:fill="FFFFFF"/>
          <w:lang w:eastAsia="en-GB"/>
        </w:rPr>
        <w:t xml:space="preserve"> JJ ir kt. </w:t>
      </w:r>
      <w:proofErr w:type="spellStart"/>
      <w:r w:rsidRPr="00013ADA">
        <w:rPr>
          <w:rFonts w:ascii="Times New Roman" w:hAnsi="Times New Roman" w:cs="Times New Roman"/>
          <w:color w:val="000000"/>
          <w:shd w:val="clear" w:color="auto" w:fill="FFFFFF"/>
          <w:lang w:eastAsia="en-GB"/>
        </w:rPr>
        <w:t>Appl</w:t>
      </w:r>
      <w:proofErr w:type="spellEnd"/>
      <w:r w:rsidRPr="00013ADA">
        <w:rPr>
          <w:rFonts w:ascii="Times New Roman" w:hAnsi="Times New Roman" w:cs="Times New Roman"/>
          <w:color w:val="000000"/>
          <w:shd w:val="clear" w:color="auto" w:fill="FFFFFF"/>
          <w:lang w:eastAsia="en-GB"/>
        </w:rPr>
        <w:t xml:space="preserve"> </w:t>
      </w:r>
      <w:proofErr w:type="spellStart"/>
      <w:r w:rsidRPr="00013ADA">
        <w:rPr>
          <w:rFonts w:ascii="Times New Roman" w:hAnsi="Times New Roman" w:cs="Times New Roman"/>
          <w:color w:val="000000"/>
          <w:shd w:val="clear" w:color="auto" w:fill="FFFFFF"/>
          <w:lang w:eastAsia="en-GB"/>
        </w:rPr>
        <w:t>Environ</w:t>
      </w:r>
      <w:proofErr w:type="spellEnd"/>
      <w:r w:rsidRPr="00013ADA">
        <w:rPr>
          <w:rFonts w:ascii="Times New Roman" w:hAnsi="Times New Roman" w:cs="Times New Roman"/>
          <w:color w:val="000000"/>
          <w:shd w:val="clear" w:color="auto" w:fill="FFFFFF"/>
          <w:lang w:eastAsia="en-GB"/>
        </w:rPr>
        <w:t xml:space="preserve"> </w:t>
      </w:r>
      <w:proofErr w:type="spellStart"/>
      <w:r w:rsidRPr="00013ADA">
        <w:rPr>
          <w:rFonts w:ascii="Times New Roman" w:hAnsi="Times New Roman" w:cs="Times New Roman"/>
          <w:color w:val="000000"/>
          <w:shd w:val="clear" w:color="auto" w:fill="FFFFFF"/>
          <w:lang w:eastAsia="en-GB"/>
        </w:rPr>
        <w:t>Microbiol</w:t>
      </w:r>
      <w:proofErr w:type="spellEnd"/>
      <w:r w:rsidRPr="00013ADA">
        <w:rPr>
          <w:rFonts w:ascii="Times New Roman" w:hAnsi="Times New Roman" w:cs="Times New Roman"/>
          <w:color w:val="000000"/>
          <w:shd w:val="clear" w:color="auto" w:fill="FFFFFF"/>
          <w:lang w:eastAsia="en-GB"/>
        </w:rPr>
        <w:t>. 2013) ir kt.;</w:t>
      </w:r>
    </w:p>
  </w:footnote>
  <w:footnote w:id="9">
    <w:p w14:paraId="4CF23B07" w14:textId="18EA67C3" w:rsidR="00CC2ED2" w:rsidRPr="00CC2ED2" w:rsidRDefault="00CC2ED2">
      <w:pPr>
        <w:pStyle w:val="FootnoteText"/>
        <w:rPr>
          <w:rFonts w:ascii="Times New Roman" w:hAnsi="Times New Roman" w:cs="Times New Roman"/>
        </w:rPr>
      </w:pPr>
      <w:r w:rsidRPr="00CC2ED2">
        <w:rPr>
          <w:rStyle w:val="FootnoteReference"/>
          <w:rFonts w:ascii="Times New Roman" w:hAnsi="Times New Roman" w:cs="Times New Roman"/>
        </w:rPr>
        <w:footnoteRef/>
      </w:r>
      <w:r w:rsidRPr="00CC2ED2">
        <w:rPr>
          <w:rFonts w:ascii="Times New Roman" w:hAnsi="Times New Roman" w:cs="Times New Roman"/>
        </w:rPr>
        <w:t xml:space="preserve"> </w:t>
      </w:r>
      <w:proofErr w:type="spellStart"/>
      <w:r w:rsidRPr="00CC2ED2">
        <w:rPr>
          <w:rFonts w:ascii="Times New Roman" w:hAnsi="Times New Roman" w:cs="Times New Roman"/>
          <w:color w:val="000000"/>
          <w:shd w:val="clear" w:color="auto" w:fill="FFFFFF"/>
          <w:lang w:eastAsia="en-GB"/>
        </w:rPr>
        <w:t>Tringe</w:t>
      </w:r>
      <w:proofErr w:type="spellEnd"/>
      <w:r w:rsidRPr="00CC2ED2">
        <w:rPr>
          <w:rFonts w:ascii="Times New Roman" w:hAnsi="Times New Roman" w:cs="Times New Roman"/>
          <w:color w:val="000000"/>
          <w:shd w:val="clear" w:color="auto" w:fill="FFFFFF"/>
          <w:lang w:eastAsia="en-GB"/>
        </w:rPr>
        <w:t xml:space="preserve"> SG, </w:t>
      </w:r>
      <w:proofErr w:type="spellStart"/>
      <w:r w:rsidRPr="00CC2ED2">
        <w:rPr>
          <w:rFonts w:ascii="Times New Roman" w:hAnsi="Times New Roman" w:cs="Times New Roman"/>
          <w:color w:val="000000"/>
          <w:shd w:val="clear" w:color="auto" w:fill="FFFFFF"/>
          <w:lang w:eastAsia="en-GB"/>
        </w:rPr>
        <w:t>Hugenholtz</w:t>
      </w:r>
      <w:proofErr w:type="spellEnd"/>
      <w:r w:rsidRPr="00CC2ED2">
        <w:rPr>
          <w:rFonts w:ascii="Times New Roman" w:hAnsi="Times New Roman" w:cs="Times New Roman"/>
          <w:color w:val="000000"/>
          <w:shd w:val="clear" w:color="auto" w:fill="FFFFFF"/>
          <w:lang w:eastAsia="en-GB"/>
        </w:rPr>
        <w:t xml:space="preserve"> P. </w:t>
      </w:r>
      <w:proofErr w:type="spellStart"/>
      <w:r w:rsidRPr="00CC2ED2">
        <w:rPr>
          <w:rFonts w:ascii="Times New Roman" w:hAnsi="Times New Roman" w:cs="Times New Roman"/>
          <w:color w:val="000000"/>
          <w:shd w:val="clear" w:color="auto" w:fill="FFFFFF"/>
          <w:lang w:eastAsia="en-GB"/>
        </w:rPr>
        <w:t>Curr</w:t>
      </w:r>
      <w:proofErr w:type="spellEnd"/>
      <w:r w:rsidRPr="00CC2ED2">
        <w:rPr>
          <w:rFonts w:ascii="Times New Roman" w:hAnsi="Times New Roman" w:cs="Times New Roman"/>
          <w:color w:val="000000"/>
          <w:shd w:val="clear" w:color="auto" w:fill="FFFFFF"/>
          <w:lang w:eastAsia="en-GB"/>
        </w:rPr>
        <w:t xml:space="preserve"> </w:t>
      </w:r>
      <w:proofErr w:type="spellStart"/>
      <w:r w:rsidRPr="00CC2ED2">
        <w:rPr>
          <w:rFonts w:ascii="Times New Roman" w:hAnsi="Times New Roman" w:cs="Times New Roman"/>
          <w:color w:val="000000"/>
          <w:shd w:val="clear" w:color="auto" w:fill="FFFFFF"/>
          <w:lang w:eastAsia="en-GB"/>
        </w:rPr>
        <w:t>Opin</w:t>
      </w:r>
      <w:proofErr w:type="spellEnd"/>
      <w:r w:rsidRPr="00CC2ED2">
        <w:rPr>
          <w:rFonts w:ascii="Times New Roman" w:hAnsi="Times New Roman" w:cs="Times New Roman"/>
          <w:color w:val="000000"/>
          <w:shd w:val="clear" w:color="auto" w:fill="FFFFFF"/>
          <w:lang w:eastAsia="en-GB"/>
        </w:rPr>
        <w:t xml:space="preserve"> </w:t>
      </w:r>
      <w:proofErr w:type="spellStart"/>
      <w:r w:rsidRPr="00CC2ED2">
        <w:rPr>
          <w:rFonts w:ascii="Times New Roman" w:hAnsi="Times New Roman" w:cs="Times New Roman"/>
          <w:color w:val="000000"/>
          <w:shd w:val="clear" w:color="auto" w:fill="FFFFFF"/>
          <w:lang w:eastAsia="en-GB"/>
        </w:rPr>
        <w:t>Microbiol</w:t>
      </w:r>
      <w:proofErr w:type="spellEnd"/>
      <w:r w:rsidRPr="00CC2ED2">
        <w:rPr>
          <w:rFonts w:ascii="Times New Roman" w:hAnsi="Times New Roman" w:cs="Times New Roman"/>
          <w:color w:val="000000"/>
          <w:shd w:val="clear" w:color="auto" w:fill="FFFFFF"/>
          <w:lang w:eastAsia="en-GB"/>
        </w:rPr>
        <w:t>. 2008;</w:t>
      </w:r>
    </w:p>
  </w:footnote>
  <w:footnote w:id="10">
    <w:p w14:paraId="04AD07D3" w14:textId="0B0B0F0B" w:rsidR="00275F28" w:rsidRPr="00275F28" w:rsidRDefault="00275F28">
      <w:pPr>
        <w:pStyle w:val="FootnoteText"/>
        <w:rPr>
          <w:rFonts w:ascii="Times New Roman" w:hAnsi="Times New Roman" w:cs="Times New Roman"/>
        </w:rPr>
      </w:pPr>
      <w:r w:rsidRPr="00275F28">
        <w:rPr>
          <w:rStyle w:val="FootnoteReference"/>
          <w:rFonts w:ascii="Times New Roman" w:hAnsi="Times New Roman" w:cs="Times New Roman"/>
        </w:rPr>
        <w:footnoteRef/>
      </w:r>
      <w:r w:rsidRPr="00275F28">
        <w:rPr>
          <w:rFonts w:ascii="Times New Roman" w:hAnsi="Times New Roman" w:cs="Times New Roman"/>
        </w:rPr>
        <w:t xml:space="preserve"> </w:t>
      </w:r>
      <w:r w:rsidRPr="00275F28">
        <w:rPr>
          <w:rFonts w:ascii="Times New Roman" w:hAnsi="Times New Roman" w:cs="Times New Roman"/>
          <w:color w:val="000000"/>
          <w:shd w:val="clear" w:color="auto" w:fill="FFFFFF"/>
          <w:lang w:eastAsia="en-GB"/>
        </w:rPr>
        <w:t xml:space="preserve">Morgan XC, </w:t>
      </w:r>
      <w:proofErr w:type="spellStart"/>
      <w:r w:rsidRPr="00275F28">
        <w:rPr>
          <w:rFonts w:ascii="Times New Roman" w:hAnsi="Times New Roman" w:cs="Times New Roman"/>
          <w:color w:val="000000"/>
          <w:shd w:val="clear" w:color="auto" w:fill="FFFFFF"/>
          <w:lang w:eastAsia="en-GB"/>
        </w:rPr>
        <w:t>Huttenhower</w:t>
      </w:r>
      <w:proofErr w:type="spellEnd"/>
      <w:r w:rsidRPr="00275F28">
        <w:rPr>
          <w:rFonts w:ascii="Times New Roman" w:hAnsi="Times New Roman" w:cs="Times New Roman"/>
          <w:color w:val="000000"/>
          <w:shd w:val="clear" w:color="auto" w:fill="FFFFFF"/>
          <w:lang w:eastAsia="en-GB"/>
        </w:rPr>
        <w:t xml:space="preserve"> C.</w:t>
      </w:r>
      <w:r w:rsidRPr="00275F28">
        <w:rPr>
          <w:rFonts w:ascii="Times New Roman" w:hAnsi="Times New Roman" w:cs="Times New Roman"/>
          <w:color w:val="000000"/>
          <w:lang w:eastAsia="en-GB"/>
        </w:rPr>
        <w:t xml:space="preserve"> </w:t>
      </w:r>
      <w:proofErr w:type="spellStart"/>
      <w:r w:rsidRPr="00275F28">
        <w:rPr>
          <w:rFonts w:ascii="Times New Roman" w:hAnsi="Times New Roman" w:cs="Times New Roman"/>
          <w:color w:val="000000"/>
          <w:shd w:val="clear" w:color="auto" w:fill="FFFFFF"/>
          <w:lang w:eastAsia="en-GB"/>
        </w:rPr>
        <w:t>PLoS</w:t>
      </w:r>
      <w:proofErr w:type="spellEnd"/>
      <w:r w:rsidRPr="00275F28">
        <w:rPr>
          <w:rFonts w:ascii="Times New Roman" w:hAnsi="Times New Roman" w:cs="Times New Roman"/>
          <w:color w:val="000000"/>
          <w:shd w:val="clear" w:color="auto" w:fill="FFFFFF"/>
          <w:lang w:eastAsia="en-GB"/>
        </w:rPr>
        <w:t xml:space="preserve"> </w:t>
      </w:r>
      <w:proofErr w:type="spellStart"/>
      <w:r w:rsidRPr="00275F28">
        <w:rPr>
          <w:rFonts w:ascii="Times New Roman" w:hAnsi="Times New Roman" w:cs="Times New Roman"/>
          <w:color w:val="000000"/>
          <w:shd w:val="clear" w:color="auto" w:fill="FFFFFF"/>
          <w:lang w:eastAsia="en-GB"/>
        </w:rPr>
        <w:t>Comput</w:t>
      </w:r>
      <w:proofErr w:type="spellEnd"/>
      <w:r w:rsidRPr="00275F28">
        <w:rPr>
          <w:rFonts w:ascii="Times New Roman" w:hAnsi="Times New Roman" w:cs="Times New Roman"/>
          <w:color w:val="000000"/>
          <w:shd w:val="clear" w:color="auto" w:fill="FFFFFF"/>
          <w:lang w:eastAsia="en-GB"/>
        </w:rPr>
        <w:t xml:space="preserve"> Biol. 2012;</w:t>
      </w:r>
    </w:p>
  </w:footnote>
  <w:footnote w:id="11">
    <w:p w14:paraId="529A3023" w14:textId="2780C939" w:rsidR="00C02D64" w:rsidRPr="00C02D64" w:rsidRDefault="00C02D64">
      <w:pPr>
        <w:pStyle w:val="FootnoteText"/>
        <w:rPr>
          <w:rFonts w:ascii="Times New Roman" w:hAnsi="Times New Roman" w:cs="Times New Roman"/>
        </w:rPr>
      </w:pPr>
      <w:r w:rsidRPr="00C02D64">
        <w:rPr>
          <w:rStyle w:val="FootnoteReference"/>
          <w:rFonts w:ascii="Times New Roman" w:hAnsi="Times New Roman" w:cs="Times New Roman"/>
        </w:rPr>
        <w:footnoteRef/>
      </w:r>
      <w:r w:rsidRPr="00C02D64">
        <w:rPr>
          <w:rFonts w:ascii="Times New Roman" w:hAnsi="Times New Roman" w:cs="Times New Roman"/>
        </w:rPr>
        <w:t xml:space="preserve"> </w:t>
      </w:r>
      <w:proofErr w:type="spellStart"/>
      <w:r w:rsidRPr="00C02D64">
        <w:rPr>
          <w:rFonts w:ascii="Times New Roman" w:hAnsi="Times New Roman" w:cs="Times New Roman"/>
          <w:color w:val="000000"/>
          <w:lang w:eastAsia="en-GB"/>
        </w:rPr>
        <w:t>Abellan-Schneyder</w:t>
      </w:r>
      <w:proofErr w:type="spellEnd"/>
      <w:r w:rsidRPr="00C02D64">
        <w:rPr>
          <w:rFonts w:ascii="Times New Roman" w:hAnsi="Times New Roman" w:cs="Times New Roman"/>
          <w:color w:val="000000"/>
          <w:lang w:eastAsia="en-GB"/>
        </w:rPr>
        <w:t xml:space="preserve"> I, ir kt. </w:t>
      </w:r>
      <w:proofErr w:type="spellStart"/>
      <w:r w:rsidRPr="00C02D64">
        <w:rPr>
          <w:rFonts w:ascii="Times New Roman" w:hAnsi="Times New Roman" w:cs="Times New Roman"/>
          <w:color w:val="000000"/>
          <w:lang w:eastAsia="en-GB"/>
        </w:rPr>
        <w:t>mSphere</w:t>
      </w:r>
      <w:proofErr w:type="spellEnd"/>
      <w:r w:rsidRPr="00C02D64">
        <w:rPr>
          <w:rFonts w:ascii="Times New Roman" w:hAnsi="Times New Roman" w:cs="Times New Roman"/>
          <w:color w:val="000000"/>
          <w:lang w:eastAsia="en-GB"/>
        </w:rPr>
        <w:t>. 2021;</w:t>
      </w:r>
    </w:p>
  </w:footnote>
  <w:footnote w:id="12">
    <w:p w14:paraId="5C3F9DCC" w14:textId="253A33E8" w:rsidR="00C02D64" w:rsidRPr="00C02D64" w:rsidRDefault="00C02D64">
      <w:pPr>
        <w:pStyle w:val="FootnoteText"/>
        <w:rPr>
          <w:rFonts w:ascii="Times New Roman" w:hAnsi="Times New Roman" w:cs="Times New Roman"/>
        </w:rPr>
      </w:pPr>
      <w:r w:rsidRPr="00C02D64">
        <w:rPr>
          <w:rStyle w:val="FootnoteReference"/>
          <w:rFonts w:ascii="Times New Roman" w:hAnsi="Times New Roman" w:cs="Times New Roman"/>
        </w:rPr>
        <w:footnoteRef/>
      </w:r>
      <w:r w:rsidRPr="00C02D64">
        <w:rPr>
          <w:rFonts w:ascii="Times New Roman" w:hAnsi="Times New Roman" w:cs="Times New Roman"/>
        </w:rPr>
        <w:t xml:space="preserve"> </w:t>
      </w:r>
      <w:proofErr w:type="spellStart"/>
      <w:r w:rsidRPr="00C02D64">
        <w:rPr>
          <w:rFonts w:ascii="Times New Roman" w:hAnsi="Times New Roman" w:cs="Times New Roman"/>
          <w:color w:val="000000"/>
          <w:shd w:val="clear" w:color="auto" w:fill="FFFFFF"/>
          <w:lang w:eastAsia="en-GB"/>
        </w:rPr>
        <w:t>Somerville</w:t>
      </w:r>
      <w:proofErr w:type="spellEnd"/>
      <w:r w:rsidRPr="00C02D64">
        <w:rPr>
          <w:rFonts w:ascii="Times New Roman" w:hAnsi="Times New Roman" w:cs="Times New Roman"/>
          <w:color w:val="000000"/>
          <w:shd w:val="clear" w:color="auto" w:fill="FFFFFF"/>
          <w:lang w:eastAsia="en-GB"/>
        </w:rPr>
        <w:t xml:space="preserve"> V ir kt. BMC </w:t>
      </w:r>
      <w:proofErr w:type="spellStart"/>
      <w:r w:rsidRPr="00C02D64">
        <w:rPr>
          <w:rFonts w:ascii="Times New Roman" w:hAnsi="Times New Roman" w:cs="Times New Roman"/>
          <w:color w:val="000000"/>
          <w:shd w:val="clear" w:color="auto" w:fill="FFFFFF"/>
          <w:lang w:eastAsia="en-GB"/>
        </w:rPr>
        <w:t>Microbiol</w:t>
      </w:r>
      <w:proofErr w:type="spellEnd"/>
      <w:r w:rsidRPr="00C02D64">
        <w:rPr>
          <w:rFonts w:ascii="Times New Roman" w:hAnsi="Times New Roman" w:cs="Times New Roman"/>
          <w:color w:val="000000"/>
          <w:shd w:val="clear" w:color="auto" w:fill="FFFFFF"/>
          <w:lang w:eastAsia="en-GB"/>
        </w:rPr>
        <w:t>. 2019;</w:t>
      </w:r>
    </w:p>
  </w:footnote>
  <w:footnote w:id="13">
    <w:p w14:paraId="6C6D62CB" w14:textId="7278B026" w:rsidR="008728FE" w:rsidRPr="008728FE" w:rsidRDefault="008728FE">
      <w:pPr>
        <w:pStyle w:val="FootnoteText"/>
        <w:rPr>
          <w:rFonts w:ascii="Times New Roman" w:hAnsi="Times New Roman" w:cs="Times New Roman"/>
        </w:rPr>
      </w:pPr>
      <w:r w:rsidRPr="008728FE">
        <w:rPr>
          <w:rStyle w:val="FootnoteReference"/>
          <w:rFonts w:ascii="Times New Roman" w:hAnsi="Times New Roman" w:cs="Times New Roman"/>
        </w:rPr>
        <w:footnoteRef/>
      </w:r>
      <w:r w:rsidRPr="008728FE">
        <w:rPr>
          <w:rFonts w:ascii="Times New Roman" w:hAnsi="Times New Roman" w:cs="Times New Roman"/>
        </w:rPr>
        <w:t xml:space="preserve"> </w:t>
      </w:r>
      <w:proofErr w:type="spellStart"/>
      <w:r w:rsidRPr="008728FE">
        <w:rPr>
          <w:rFonts w:ascii="Times New Roman" w:hAnsi="Times New Roman" w:cs="Times New Roman"/>
          <w:color w:val="000000"/>
          <w:shd w:val="clear" w:color="auto" w:fill="FFFFFF"/>
          <w:lang w:eastAsia="en-GB"/>
        </w:rPr>
        <w:t>Salipante</w:t>
      </w:r>
      <w:proofErr w:type="spellEnd"/>
      <w:r w:rsidRPr="008728FE">
        <w:rPr>
          <w:rFonts w:ascii="Times New Roman" w:hAnsi="Times New Roman" w:cs="Times New Roman"/>
          <w:color w:val="000000"/>
          <w:shd w:val="clear" w:color="auto" w:fill="FFFFFF"/>
          <w:lang w:eastAsia="en-GB"/>
        </w:rPr>
        <w:t xml:space="preserve"> SJ it kt. </w:t>
      </w:r>
      <w:proofErr w:type="spellStart"/>
      <w:r w:rsidRPr="008728FE">
        <w:rPr>
          <w:rFonts w:ascii="Times New Roman" w:hAnsi="Times New Roman" w:cs="Times New Roman"/>
          <w:color w:val="000000"/>
          <w:shd w:val="clear" w:color="auto" w:fill="FFFFFF"/>
          <w:lang w:eastAsia="en-GB"/>
        </w:rPr>
        <w:t>Appl</w:t>
      </w:r>
      <w:proofErr w:type="spellEnd"/>
      <w:r w:rsidRPr="008728FE">
        <w:rPr>
          <w:rFonts w:ascii="Times New Roman" w:hAnsi="Times New Roman" w:cs="Times New Roman"/>
          <w:color w:val="000000"/>
          <w:shd w:val="clear" w:color="auto" w:fill="FFFFFF"/>
          <w:lang w:eastAsia="en-GB"/>
        </w:rPr>
        <w:t xml:space="preserve"> </w:t>
      </w:r>
      <w:proofErr w:type="spellStart"/>
      <w:r w:rsidRPr="008728FE">
        <w:rPr>
          <w:rFonts w:ascii="Times New Roman" w:hAnsi="Times New Roman" w:cs="Times New Roman"/>
          <w:color w:val="000000"/>
          <w:shd w:val="clear" w:color="auto" w:fill="FFFFFF"/>
          <w:lang w:eastAsia="en-GB"/>
        </w:rPr>
        <w:t>Environ</w:t>
      </w:r>
      <w:proofErr w:type="spellEnd"/>
      <w:r w:rsidRPr="008728FE">
        <w:rPr>
          <w:rFonts w:ascii="Times New Roman" w:hAnsi="Times New Roman" w:cs="Times New Roman"/>
          <w:color w:val="000000"/>
          <w:shd w:val="clear" w:color="auto" w:fill="FFFFFF"/>
          <w:lang w:eastAsia="en-GB"/>
        </w:rPr>
        <w:t xml:space="preserve"> </w:t>
      </w:r>
      <w:proofErr w:type="spellStart"/>
      <w:r w:rsidRPr="008728FE">
        <w:rPr>
          <w:rFonts w:ascii="Times New Roman" w:hAnsi="Times New Roman" w:cs="Times New Roman"/>
          <w:color w:val="000000"/>
          <w:shd w:val="clear" w:color="auto" w:fill="FFFFFF"/>
          <w:lang w:eastAsia="en-GB"/>
        </w:rPr>
        <w:t>Microbiol</w:t>
      </w:r>
      <w:proofErr w:type="spellEnd"/>
      <w:r w:rsidRPr="008728FE">
        <w:rPr>
          <w:rFonts w:ascii="Times New Roman" w:hAnsi="Times New Roman" w:cs="Times New Roman"/>
          <w:color w:val="000000"/>
          <w:shd w:val="clear" w:color="auto" w:fill="FFFFFF"/>
          <w:lang w:eastAsia="en-GB"/>
        </w:rPr>
        <w:t>. 2014</w:t>
      </w:r>
      <w:r w:rsidRPr="008728FE">
        <w:rPr>
          <w:rFonts w:ascii="Times New Roman" w:hAnsi="Times New Roman" w:cs="Times New Roman"/>
          <w:color w:val="000000"/>
          <w:lang w:eastAsia="en-GB"/>
        </w:rPr>
        <w:t>;</w:t>
      </w:r>
    </w:p>
  </w:footnote>
  <w:footnote w:id="14">
    <w:p w14:paraId="7DFBC221" w14:textId="5E6E931E" w:rsidR="00983D2E" w:rsidRPr="00983D2E" w:rsidRDefault="00983D2E" w:rsidP="00983D2E">
      <w:pPr>
        <w:pStyle w:val="FootnoteText"/>
        <w:jc w:val="both"/>
        <w:rPr>
          <w:rFonts w:ascii="Times New Roman" w:hAnsi="Times New Roman" w:cs="Times New Roman"/>
        </w:rPr>
      </w:pPr>
      <w:r w:rsidRPr="00983D2E">
        <w:rPr>
          <w:rStyle w:val="FootnoteReference"/>
          <w:rFonts w:ascii="Times New Roman" w:hAnsi="Times New Roman" w:cs="Times New Roman"/>
        </w:rPr>
        <w:footnoteRef/>
      </w:r>
      <w:r w:rsidRPr="00983D2E">
        <w:rPr>
          <w:rFonts w:ascii="Times New Roman" w:hAnsi="Times New Roman" w:cs="Times New Roman"/>
        </w:rPr>
        <w:t xml:space="preserve"> Tarnybai pateikta 2020 m. spalio 20 d. </w:t>
      </w:r>
      <w:r w:rsidRPr="00983D2E">
        <w:rPr>
          <w:rFonts w:ascii="Times New Roman" w:hAnsi="Times New Roman" w:cs="Times New Roman"/>
        </w:rPr>
        <w:t xml:space="preserve">gamintojo </w:t>
      </w:r>
      <w:proofErr w:type="spellStart"/>
      <w:r w:rsidR="0013017C" w:rsidRPr="0013017C">
        <w:rPr>
          <w:rFonts w:ascii="Times New Roman" w:hAnsi="Times New Roman" w:cs="Times New Roman"/>
        </w:rPr>
        <w:t>Illumina</w:t>
      </w:r>
      <w:proofErr w:type="spellEnd"/>
      <w:r w:rsidR="002176F0">
        <w:rPr>
          <w:rFonts w:ascii="Times New Roman" w:hAnsi="Times New Roman" w:cs="Times New Roman"/>
        </w:rPr>
        <w:t xml:space="preserve"> </w:t>
      </w:r>
      <w:r w:rsidRPr="00983D2E">
        <w:rPr>
          <w:rFonts w:ascii="Times New Roman" w:hAnsi="Times New Roman" w:cs="Times New Roman"/>
        </w:rPr>
        <w:t xml:space="preserve">pažyma, patvirtinanti, kad </w:t>
      </w:r>
      <w:r w:rsidR="0013017C">
        <w:rPr>
          <w:rFonts w:ascii="Times New Roman" w:hAnsi="Times New Roman" w:cs="Times New Roman"/>
        </w:rPr>
        <w:t>jis</w:t>
      </w:r>
      <w:r w:rsidRPr="00983D2E">
        <w:rPr>
          <w:rFonts w:ascii="Times New Roman" w:hAnsi="Times New Roman" w:cs="Times New Roman"/>
        </w:rPr>
        <w:t xml:space="preserve"> yra vienintelis teisėtas „</w:t>
      </w:r>
      <w:proofErr w:type="spellStart"/>
      <w:r w:rsidRPr="00983D2E">
        <w:rPr>
          <w:rFonts w:ascii="Times New Roman" w:hAnsi="Times New Roman" w:cs="Times New Roman"/>
        </w:rPr>
        <w:t>Miseq</w:t>
      </w:r>
      <w:proofErr w:type="spellEnd"/>
      <w:r w:rsidRPr="00983D2E">
        <w:rPr>
          <w:rFonts w:ascii="Times New Roman" w:hAnsi="Times New Roman" w:cs="Times New Roman"/>
        </w:rPr>
        <w:t xml:space="preserve"> System“ produkto gamintojas;</w:t>
      </w:r>
    </w:p>
  </w:footnote>
  <w:footnote w:id="15">
    <w:p w14:paraId="0DDCAE0B" w14:textId="530ED89D" w:rsidR="00484732" w:rsidRPr="00484732" w:rsidRDefault="00484732" w:rsidP="00484732">
      <w:pPr>
        <w:pStyle w:val="FootnoteText"/>
        <w:jc w:val="both"/>
        <w:rPr>
          <w:rFonts w:ascii="Times New Roman" w:hAnsi="Times New Roman" w:cs="Times New Roman"/>
        </w:rPr>
      </w:pPr>
      <w:r w:rsidRPr="00484732">
        <w:rPr>
          <w:rStyle w:val="FootnoteReference"/>
          <w:rFonts w:ascii="Times New Roman" w:hAnsi="Times New Roman" w:cs="Times New Roman"/>
        </w:rPr>
        <w:footnoteRef/>
      </w:r>
      <w:r w:rsidRPr="00484732">
        <w:rPr>
          <w:rFonts w:ascii="Times New Roman" w:hAnsi="Times New Roman" w:cs="Times New Roman"/>
        </w:rPr>
        <w:t xml:space="preserve"> </w:t>
      </w:r>
      <w:r w:rsidR="00983D2E">
        <w:rPr>
          <w:rFonts w:ascii="Times New Roman" w:hAnsi="Times New Roman" w:cs="Times New Roman"/>
        </w:rPr>
        <w:t>Gamintojo „</w:t>
      </w:r>
      <w:proofErr w:type="spellStart"/>
      <w:r w:rsidR="00983D2E">
        <w:rPr>
          <w:rFonts w:ascii="Times New Roman" w:hAnsi="Times New Roman" w:cs="Times New Roman"/>
        </w:rPr>
        <w:t>Illumina</w:t>
      </w:r>
      <w:proofErr w:type="spellEnd"/>
      <w:r w:rsidR="00983D2E">
        <w:rPr>
          <w:rFonts w:ascii="Times New Roman" w:hAnsi="Times New Roman" w:cs="Times New Roman"/>
        </w:rPr>
        <w:t xml:space="preserve">“ 2020 m. </w:t>
      </w:r>
      <w:r w:rsidR="0013017C">
        <w:rPr>
          <w:rFonts w:ascii="Times New Roman" w:hAnsi="Times New Roman" w:cs="Times New Roman"/>
        </w:rPr>
        <w:t xml:space="preserve">lapkričio </w:t>
      </w:r>
      <w:r w:rsidR="00983D2E">
        <w:rPr>
          <w:rFonts w:ascii="Times New Roman" w:hAnsi="Times New Roman" w:cs="Times New Roman"/>
        </w:rPr>
        <w:t xml:space="preserve">17 d. pažyma, kurioje patvirtinama, kad </w:t>
      </w:r>
      <w:r w:rsidR="00983D2E" w:rsidRPr="00983D2E">
        <w:rPr>
          <w:rFonts w:ascii="Times New Roman" w:hAnsi="Times New Roman" w:cs="Times New Roman"/>
          <w:i/>
          <w:iCs/>
        </w:rPr>
        <w:t>Komponentai ir metodai, naudojami tokiose sistemose „</w:t>
      </w:r>
      <w:proofErr w:type="spellStart"/>
      <w:r w:rsidR="00983D2E" w:rsidRPr="00983D2E">
        <w:rPr>
          <w:rFonts w:ascii="Times New Roman" w:hAnsi="Times New Roman" w:cs="Times New Roman"/>
          <w:i/>
          <w:iCs/>
        </w:rPr>
        <w:t>Illumina</w:t>
      </w:r>
      <w:proofErr w:type="spellEnd"/>
      <w:r w:rsidR="00983D2E" w:rsidRPr="00983D2E">
        <w:rPr>
          <w:rFonts w:ascii="Times New Roman" w:hAnsi="Times New Roman" w:cs="Times New Roman"/>
          <w:i/>
          <w:iCs/>
        </w:rPr>
        <w:t xml:space="preserve">“ suporuotų galų </w:t>
      </w:r>
      <w:proofErr w:type="spellStart"/>
      <w:r w:rsidR="00983D2E" w:rsidRPr="00983D2E">
        <w:rPr>
          <w:rFonts w:ascii="Times New Roman" w:hAnsi="Times New Roman" w:cs="Times New Roman"/>
          <w:i/>
          <w:iCs/>
        </w:rPr>
        <w:t>sekoskaitos</w:t>
      </w:r>
      <w:proofErr w:type="spellEnd"/>
      <w:r w:rsidR="00983D2E" w:rsidRPr="00983D2E">
        <w:rPr>
          <w:rFonts w:ascii="Times New Roman" w:hAnsi="Times New Roman" w:cs="Times New Roman"/>
          <w:i/>
          <w:iCs/>
        </w:rPr>
        <w:t xml:space="preserve"> ir ilgų fragmentų </w:t>
      </w:r>
      <w:proofErr w:type="spellStart"/>
      <w:r w:rsidR="00983D2E" w:rsidRPr="00983D2E">
        <w:rPr>
          <w:rFonts w:ascii="Times New Roman" w:hAnsi="Times New Roman" w:cs="Times New Roman"/>
          <w:i/>
          <w:iCs/>
        </w:rPr>
        <w:t>sekoskaitos</w:t>
      </w:r>
      <w:proofErr w:type="spellEnd"/>
      <w:r w:rsidR="00983D2E" w:rsidRPr="00983D2E">
        <w:rPr>
          <w:rFonts w:ascii="Times New Roman" w:hAnsi="Times New Roman" w:cs="Times New Roman"/>
          <w:i/>
          <w:iCs/>
        </w:rPr>
        <w:t xml:space="preserve"> technologijose ir kartu su jomis, yra įtraukti į „</w:t>
      </w:r>
      <w:proofErr w:type="spellStart"/>
      <w:r w:rsidR="00983D2E" w:rsidRPr="00983D2E">
        <w:rPr>
          <w:rFonts w:ascii="Times New Roman" w:hAnsi="Times New Roman" w:cs="Times New Roman"/>
          <w:i/>
          <w:iCs/>
        </w:rPr>
        <w:t>Illumina</w:t>
      </w:r>
      <w:proofErr w:type="spellEnd"/>
      <w:r w:rsidR="00983D2E" w:rsidRPr="00983D2E">
        <w:rPr>
          <w:rFonts w:ascii="Times New Roman" w:hAnsi="Times New Roman" w:cs="Times New Roman"/>
          <w:i/>
          <w:iCs/>
        </w:rPr>
        <w:t>“ pasaulinį patentų portfelį, įskaitant Europos patentus EP208495 ir EP1987159, bet jais neapsiribojant</w:t>
      </w:r>
      <w:r w:rsidRPr="00484732">
        <w:rPr>
          <w:rFonts w:ascii="Times New Roman" w:hAnsi="Times New Roman" w:cs="Times New Roman"/>
          <w:color w:val="000000"/>
          <w:lang w:eastAsia="en-GB"/>
        </w:rPr>
        <w:t>;</w:t>
      </w:r>
    </w:p>
  </w:footnote>
  <w:footnote w:id="16">
    <w:p w14:paraId="2F966D3D" w14:textId="52A77861" w:rsidR="00F8146F" w:rsidRPr="003317D9" w:rsidRDefault="00F8146F" w:rsidP="003317D9">
      <w:pPr>
        <w:overflowPunct w:val="0"/>
        <w:autoSpaceDE w:val="0"/>
        <w:autoSpaceDN w:val="0"/>
        <w:adjustRightInd w:val="0"/>
        <w:spacing w:after="0" w:line="240" w:lineRule="auto"/>
        <w:textAlignment w:val="baseline"/>
        <w:rPr>
          <w:rFonts w:ascii="Times New Roman" w:hAnsi="Times New Roman" w:cs="Times New Roman"/>
          <w:sz w:val="20"/>
          <w:szCs w:val="20"/>
        </w:rPr>
      </w:pPr>
      <w:r w:rsidRPr="00F8146F">
        <w:rPr>
          <w:rStyle w:val="FootnoteReference"/>
          <w:rFonts w:ascii="Times New Roman" w:hAnsi="Times New Roman" w:cs="Times New Roman"/>
          <w:sz w:val="20"/>
          <w:szCs w:val="20"/>
        </w:rPr>
        <w:footnoteRef/>
      </w:r>
      <w:r w:rsidRPr="00F8146F">
        <w:rPr>
          <w:rFonts w:ascii="Times New Roman" w:hAnsi="Times New Roman" w:cs="Times New Roman"/>
          <w:sz w:val="20"/>
          <w:szCs w:val="20"/>
        </w:rPr>
        <w:t xml:space="preserve"> </w:t>
      </w:r>
      <w:r w:rsidRPr="00F8146F">
        <w:rPr>
          <w:rFonts w:ascii="Times New Roman" w:hAnsi="Times New Roman" w:cs="Times New Roman"/>
          <w:iCs/>
          <w:sz w:val="20"/>
          <w:szCs w:val="20"/>
        </w:rPr>
        <w:t>Nuorodos į patentus:</w:t>
      </w:r>
      <w:r w:rsidRPr="00F8146F">
        <w:rPr>
          <w:rFonts w:ascii="Times New Roman" w:hAnsi="Times New Roman" w:cs="Times New Roman"/>
          <w:sz w:val="20"/>
          <w:szCs w:val="20"/>
        </w:rPr>
        <w:t xml:space="preserve"> </w:t>
      </w:r>
      <w:hyperlink r:id="rId2" w:history="1">
        <w:r w:rsidRPr="00F8146F">
          <w:rPr>
            <w:rStyle w:val="Hyperlink"/>
            <w:rFonts w:ascii="Times New Roman" w:hAnsi="Times New Roman" w:cs="Times New Roman"/>
            <w:sz w:val="20"/>
            <w:szCs w:val="20"/>
          </w:rPr>
          <w:t>https://patents.google.com/patent/EP2084295B1/en?oq=EP2084295</w:t>
        </w:r>
      </w:hyperlink>
      <w:r w:rsidRPr="00F8146F">
        <w:rPr>
          <w:rFonts w:ascii="Times New Roman" w:hAnsi="Times New Roman" w:cs="Times New Roman"/>
          <w:sz w:val="20"/>
          <w:szCs w:val="20"/>
        </w:rPr>
        <w:t xml:space="preserve">; </w:t>
      </w:r>
      <w:hyperlink r:id="rId3" w:history="1">
        <w:r w:rsidRPr="00F8146F">
          <w:rPr>
            <w:rStyle w:val="Hyperlink"/>
            <w:rFonts w:ascii="Times New Roman" w:hAnsi="Times New Roman" w:cs="Times New Roman"/>
            <w:sz w:val="20"/>
            <w:szCs w:val="20"/>
          </w:rPr>
          <w:t>https://patents.google.com/patent/EP1987159B1/en?oq=EP1987159</w:t>
        </w:r>
      </w:hyperlink>
      <w:r w:rsidRPr="00F8146F">
        <w:rPr>
          <w:rFonts w:ascii="Times New Roman" w:hAnsi="Times New Roman" w:cs="Times New Roman"/>
          <w:sz w:val="20"/>
          <w:szCs w:val="20"/>
        </w:rPr>
        <w:t xml:space="preserve">; </w:t>
      </w:r>
      <w:hyperlink r:id="rId4" w:history="1">
        <w:r w:rsidRPr="00F8146F">
          <w:rPr>
            <w:rStyle w:val="Hyperlink"/>
            <w:rFonts w:ascii="Times New Roman" w:hAnsi="Times New Roman" w:cs="Times New Roman"/>
            <w:sz w:val="20"/>
            <w:szCs w:val="20"/>
          </w:rPr>
          <w:t>https://patents.google.com/patent/EP1560838B1/en?oq=EP1560838</w:t>
        </w:r>
      </w:hyperlink>
      <w:r w:rsidRPr="00F8146F">
        <w:rPr>
          <w:rFonts w:ascii="Times New Roman" w:hAnsi="Times New Roman" w:cs="Times New Roman"/>
          <w:sz w:val="20"/>
          <w:szCs w:val="20"/>
        </w:rPr>
        <w:t xml:space="preserve">; </w:t>
      </w:r>
      <w:hyperlink r:id="rId5" w:history="1">
        <w:r w:rsidRPr="00F8146F">
          <w:rPr>
            <w:rStyle w:val="Hyperlink"/>
            <w:rFonts w:ascii="Times New Roman" w:hAnsi="Times New Roman" w:cs="Times New Roman"/>
            <w:sz w:val="20"/>
            <w:szCs w:val="20"/>
          </w:rPr>
          <w:t>https://patents.google.com/patent/EP3002289B1/en?oq=EP3002289</w:t>
        </w:r>
      </w:hyperlink>
      <w:r w:rsidRPr="00F8146F">
        <w:rPr>
          <w:rFonts w:ascii="Times New Roman" w:hAnsi="Times New Roman" w:cs="Times New Roman"/>
          <w:sz w:val="20"/>
          <w:szCs w:val="20"/>
        </w:rPr>
        <w:t xml:space="preserve">; </w:t>
      </w:r>
      <w:hyperlink r:id="rId6" w:history="1">
        <w:r w:rsidRPr="00F8146F">
          <w:rPr>
            <w:rStyle w:val="Hyperlink"/>
            <w:rFonts w:ascii="Times New Roman" w:hAnsi="Times New Roman" w:cs="Times New Roman"/>
            <w:sz w:val="20"/>
            <w:szCs w:val="20"/>
          </w:rPr>
          <w:t>https://patents.google.com/patent/EP2607369B1/en?oq=EP2607369</w:t>
        </w:r>
      </w:hyperlink>
      <w:r w:rsidRPr="00F8146F">
        <w:rPr>
          <w:rFonts w:ascii="Times New Roman" w:hAnsi="Times New Roman" w:cs="Times New Roman"/>
          <w:sz w:val="20"/>
          <w:szCs w:val="20"/>
        </w:rPr>
        <w:t xml:space="preserve">; </w:t>
      </w:r>
      <w:hyperlink r:id="rId7" w:history="1">
        <w:r w:rsidRPr="00F8146F">
          <w:rPr>
            <w:rStyle w:val="Hyperlink"/>
            <w:rFonts w:ascii="Times New Roman" w:hAnsi="Times New Roman" w:cs="Times New Roman"/>
            <w:sz w:val="20"/>
            <w:szCs w:val="20"/>
          </w:rPr>
          <w:t>https://patents.google.com/patent/EP2119722B1/en?oq=EP2119722+</w:t>
        </w:r>
      </w:hyperlink>
      <w:r w:rsidRPr="00F8146F">
        <w:rPr>
          <w:rFonts w:ascii="Times New Roman" w:hAnsi="Times New Roman" w:cs="Times New Roman"/>
          <w:sz w:val="20"/>
          <w:szCs w:val="20"/>
        </w:rPr>
        <w:t xml:space="preserve">; </w:t>
      </w:r>
      <w:hyperlink r:id="rId8" w:history="1">
        <w:r w:rsidRPr="00F8146F">
          <w:rPr>
            <w:rStyle w:val="Hyperlink"/>
            <w:rFonts w:ascii="Times New Roman" w:hAnsi="Times New Roman" w:cs="Times New Roman"/>
            <w:sz w:val="20"/>
            <w:szCs w:val="20"/>
          </w:rPr>
          <w:t>https://patents.google.com/patent/EP3147292B1/en?oq=EP3147292</w:t>
        </w:r>
      </w:hyperlink>
      <w:r w:rsidRPr="00F8146F">
        <w:rPr>
          <w:rStyle w:val="Hyperlink"/>
          <w:rFonts w:ascii="Times New Roman" w:hAnsi="Times New Roman" w:cs="Times New Roman"/>
          <w:sz w:val="20"/>
          <w:szCs w:val="20"/>
        </w:rPr>
        <w:t>;</w:t>
      </w:r>
    </w:p>
  </w:footnote>
  <w:footnote w:id="17">
    <w:p w14:paraId="5960FF09" w14:textId="26EE0D2D" w:rsidR="00484732" w:rsidRPr="008B4A8A" w:rsidRDefault="00484732" w:rsidP="00484732">
      <w:pPr>
        <w:pStyle w:val="FootnoteText"/>
        <w:jc w:val="both"/>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r w:rsidR="0016719B">
        <w:rPr>
          <w:rFonts w:ascii="Times New Roman" w:hAnsi="Times New Roman" w:cs="Times New Roman"/>
        </w:rPr>
        <w:t xml:space="preserve">Perkančiosios organizacijos Naujos kartos </w:t>
      </w:r>
      <w:proofErr w:type="spellStart"/>
      <w:r w:rsidR="0016719B">
        <w:rPr>
          <w:rFonts w:ascii="Times New Roman" w:hAnsi="Times New Roman" w:cs="Times New Roman"/>
        </w:rPr>
        <w:t>sekoskaitos</w:t>
      </w:r>
      <w:proofErr w:type="spellEnd"/>
      <w:r w:rsidR="0016719B">
        <w:rPr>
          <w:rFonts w:ascii="Times New Roman" w:hAnsi="Times New Roman" w:cs="Times New Roman"/>
        </w:rPr>
        <w:t xml:space="preserve"> įrangos su papildomomis priemonėmis pirkimo </w:t>
      </w:r>
      <w:r>
        <w:rPr>
          <w:rFonts w:ascii="Times New Roman" w:hAnsi="Times New Roman" w:cs="Times New Roman"/>
        </w:rPr>
        <w:t>202</w:t>
      </w:r>
      <w:r w:rsidR="0016719B">
        <w:rPr>
          <w:rFonts w:ascii="Times New Roman" w:hAnsi="Times New Roman" w:cs="Times New Roman"/>
        </w:rPr>
        <w:t>1</w:t>
      </w:r>
      <w:r>
        <w:rPr>
          <w:rFonts w:ascii="Times New Roman" w:hAnsi="Times New Roman" w:cs="Times New Roman"/>
        </w:rPr>
        <w:t xml:space="preserve"> m. </w:t>
      </w:r>
      <w:r w:rsidR="0016719B">
        <w:rPr>
          <w:rFonts w:ascii="Times New Roman" w:hAnsi="Times New Roman" w:cs="Times New Roman"/>
        </w:rPr>
        <w:t>balandžio</w:t>
      </w:r>
      <w:r>
        <w:rPr>
          <w:rFonts w:ascii="Times New Roman" w:hAnsi="Times New Roman" w:cs="Times New Roman"/>
        </w:rPr>
        <w:t xml:space="preserve"> </w:t>
      </w:r>
      <w:r w:rsidR="0016719B">
        <w:rPr>
          <w:rFonts w:ascii="Times New Roman" w:hAnsi="Times New Roman" w:cs="Times New Roman"/>
        </w:rPr>
        <w:t>6</w:t>
      </w:r>
      <w:r>
        <w:rPr>
          <w:rFonts w:ascii="Times New Roman" w:hAnsi="Times New Roman" w:cs="Times New Roman"/>
        </w:rPr>
        <w:t xml:space="preserve"> d.</w:t>
      </w:r>
      <w:r w:rsidRPr="008B4A8A">
        <w:rPr>
          <w:rFonts w:ascii="Times New Roman" w:hAnsi="Times New Roman" w:cs="Times New Roman"/>
        </w:rPr>
        <w:t xml:space="preserve"> posėdžio protokolas Nr. 1; </w:t>
      </w:r>
    </w:p>
  </w:footnote>
  <w:footnote w:id="18">
    <w:p w14:paraId="3901CF1C" w14:textId="5FF814CA" w:rsidR="0016719B" w:rsidRPr="0016719B" w:rsidRDefault="0016719B" w:rsidP="0016719B">
      <w:pPr>
        <w:pStyle w:val="FootnoteText"/>
        <w:jc w:val="both"/>
        <w:rPr>
          <w:rFonts w:ascii="Times New Roman" w:hAnsi="Times New Roman" w:cs="Times New Roman"/>
        </w:rPr>
      </w:pPr>
      <w:r w:rsidRPr="0016719B">
        <w:rPr>
          <w:rStyle w:val="FootnoteReference"/>
          <w:rFonts w:ascii="Times New Roman" w:hAnsi="Times New Roman" w:cs="Times New Roman"/>
        </w:rPr>
        <w:footnoteRef/>
      </w:r>
      <w:r w:rsidRPr="0016719B">
        <w:rPr>
          <w:rFonts w:ascii="Times New Roman" w:hAnsi="Times New Roman" w:cs="Times New Roman"/>
        </w:rPr>
        <w:t xml:space="preserve"> Finansavimo šaltinis numatytas Lietuvos Respublikos Vyriausybės 2020 m. lapkričio 4 d. nutarime Nr. 1227 „Dėl Lietuvos Respublikos Vyriausybės 2020 m. liepos 29 d. nutarimo Nr. 832 „Dėl ateities ekonomikos DNR plano įgyvendinamų veiksmų ir projektų sąrašo patvirtinimo ir lėšų skyrimo“ pakeitimo (toliau – Nutarimas); jei Nutarimas būtų panaikintas, būtų svarstomas kitų lėšų skyrimas nustatyta tvarka.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C50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C50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D4373A"/>
    <w:multiLevelType w:val="hybridMultilevel"/>
    <w:tmpl w:val="3F82D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F607AD"/>
    <w:multiLevelType w:val="hybridMultilevel"/>
    <w:tmpl w:val="25EAC9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3ADA"/>
    <w:rsid w:val="00014B4E"/>
    <w:rsid w:val="0001705B"/>
    <w:rsid w:val="000231EA"/>
    <w:rsid w:val="0002381E"/>
    <w:rsid w:val="000266AD"/>
    <w:rsid w:val="000849B5"/>
    <w:rsid w:val="00092310"/>
    <w:rsid w:val="00097562"/>
    <w:rsid w:val="000A2DBA"/>
    <w:rsid w:val="000A6C1B"/>
    <w:rsid w:val="000B1944"/>
    <w:rsid w:val="000B534A"/>
    <w:rsid w:val="000B6400"/>
    <w:rsid w:val="000C0F3C"/>
    <w:rsid w:val="000C23C5"/>
    <w:rsid w:val="000C4329"/>
    <w:rsid w:val="000C6C36"/>
    <w:rsid w:val="000D08E4"/>
    <w:rsid w:val="000E25C4"/>
    <w:rsid w:val="000E5100"/>
    <w:rsid w:val="000F128B"/>
    <w:rsid w:val="000F7AD1"/>
    <w:rsid w:val="00112578"/>
    <w:rsid w:val="00123F44"/>
    <w:rsid w:val="0013017C"/>
    <w:rsid w:val="001361B4"/>
    <w:rsid w:val="00140BF1"/>
    <w:rsid w:val="00143CC1"/>
    <w:rsid w:val="001624D5"/>
    <w:rsid w:val="0016719B"/>
    <w:rsid w:val="00196318"/>
    <w:rsid w:val="001A0227"/>
    <w:rsid w:val="001A17A7"/>
    <w:rsid w:val="001C0B19"/>
    <w:rsid w:val="001D6BE8"/>
    <w:rsid w:val="00207C02"/>
    <w:rsid w:val="00213A97"/>
    <w:rsid w:val="002176F0"/>
    <w:rsid w:val="00217D83"/>
    <w:rsid w:val="00227EF7"/>
    <w:rsid w:val="002410F9"/>
    <w:rsid w:val="00257569"/>
    <w:rsid w:val="00264608"/>
    <w:rsid w:val="00275F28"/>
    <w:rsid w:val="00282153"/>
    <w:rsid w:val="00284943"/>
    <w:rsid w:val="00295779"/>
    <w:rsid w:val="002A361F"/>
    <w:rsid w:val="002A6BE1"/>
    <w:rsid w:val="002B6087"/>
    <w:rsid w:val="002E349E"/>
    <w:rsid w:val="002F0C50"/>
    <w:rsid w:val="002F0D3C"/>
    <w:rsid w:val="002F3218"/>
    <w:rsid w:val="002F414C"/>
    <w:rsid w:val="002F6D53"/>
    <w:rsid w:val="0031140A"/>
    <w:rsid w:val="0031232A"/>
    <w:rsid w:val="00314D91"/>
    <w:rsid w:val="00321AF8"/>
    <w:rsid w:val="003317D9"/>
    <w:rsid w:val="00331FF9"/>
    <w:rsid w:val="0033479B"/>
    <w:rsid w:val="003515C7"/>
    <w:rsid w:val="0036177B"/>
    <w:rsid w:val="003629C2"/>
    <w:rsid w:val="003728D5"/>
    <w:rsid w:val="00391723"/>
    <w:rsid w:val="00392132"/>
    <w:rsid w:val="003B525B"/>
    <w:rsid w:val="003C24FB"/>
    <w:rsid w:val="003D3C7B"/>
    <w:rsid w:val="003E694E"/>
    <w:rsid w:val="003F1FCA"/>
    <w:rsid w:val="003F338B"/>
    <w:rsid w:val="00403175"/>
    <w:rsid w:val="00405ED2"/>
    <w:rsid w:val="004076C5"/>
    <w:rsid w:val="00420A28"/>
    <w:rsid w:val="00426B96"/>
    <w:rsid w:val="00430EE1"/>
    <w:rsid w:val="00437475"/>
    <w:rsid w:val="00445489"/>
    <w:rsid w:val="004476AE"/>
    <w:rsid w:val="00484732"/>
    <w:rsid w:val="00486C7C"/>
    <w:rsid w:val="00490DAA"/>
    <w:rsid w:val="004B0567"/>
    <w:rsid w:val="004B39D0"/>
    <w:rsid w:val="004C670B"/>
    <w:rsid w:val="004D1254"/>
    <w:rsid w:val="004E1D44"/>
    <w:rsid w:val="00512031"/>
    <w:rsid w:val="005138D3"/>
    <w:rsid w:val="00516207"/>
    <w:rsid w:val="0052425A"/>
    <w:rsid w:val="00532C61"/>
    <w:rsid w:val="00550D77"/>
    <w:rsid w:val="00555994"/>
    <w:rsid w:val="0058585C"/>
    <w:rsid w:val="00586DD5"/>
    <w:rsid w:val="00595888"/>
    <w:rsid w:val="0059709E"/>
    <w:rsid w:val="005A5048"/>
    <w:rsid w:val="005B733E"/>
    <w:rsid w:val="005D40B7"/>
    <w:rsid w:val="005E287E"/>
    <w:rsid w:val="005E309A"/>
    <w:rsid w:val="005F593F"/>
    <w:rsid w:val="005F6733"/>
    <w:rsid w:val="00601E12"/>
    <w:rsid w:val="006048DB"/>
    <w:rsid w:val="00617770"/>
    <w:rsid w:val="00627AB1"/>
    <w:rsid w:val="00631E12"/>
    <w:rsid w:val="00647D38"/>
    <w:rsid w:val="00680891"/>
    <w:rsid w:val="00680C2F"/>
    <w:rsid w:val="00691CFD"/>
    <w:rsid w:val="006A3055"/>
    <w:rsid w:val="006A6A6B"/>
    <w:rsid w:val="006B1D68"/>
    <w:rsid w:val="006C11D6"/>
    <w:rsid w:val="006F539E"/>
    <w:rsid w:val="00704A4F"/>
    <w:rsid w:val="00707C18"/>
    <w:rsid w:val="00716344"/>
    <w:rsid w:val="00734A10"/>
    <w:rsid w:val="007356A3"/>
    <w:rsid w:val="00735803"/>
    <w:rsid w:val="00745A0E"/>
    <w:rsid w:val="0075352E"/>
    <w:rsid w:val="00760531"/>
    <w:rsid w:val="00762E00"/>
    <w:rsid w:val="00790B76"/>
    <w:rsid w:val="0079685E"/>
    <w:rsid w:val="007A29EF"/>
    <w:rsid w:val="007A4BF9"/>
    <w:rsid w:val="007B352E"/>
    <w:rsid w:val="007B3E37"/>
    <w:rsid w:val="007B495B"/>
    <w:rsid w:val="007E177E"/>
    <w:rsid w:val="007E382A"/>
    <w:rsid w:val="007E41C0"/>
    <w:rsid w:val="007F08AD"/>
    <w:rsid w:val="007F44A4"/>
    <w:rsid w:val="007F4A37"/>
    <w:rsid w:val="008049BB"/>
    <w:rsid w:val="008116C6"/>
    <w:rsid w:val="00823CC6"/>
    <w:rsid w:val="0082665B"/>
    <w:rsid w:val="0084391A"/>
    <w:rsid w:val="00843D68"/>
    <w:rsid w:val="008451A4"/>
    <w:rsid w:val="008524F7"/>
    <w:rsid w:val="00860690"/>
    <w:rsid w:val="00861353"/>
    <w:rsid w:val="00863E1A"/>
    <w:rsid w:val="00866ABB"/>
    <w:rsid w:val="008728FE"/>
    <w:rsid w:val="00877F2C"/>
    <w:rsid w:val="0088690F"/>
    <w:rsid w:val="00890A71"/>
    <w:rsid w:val="008A2EB1"/>
    <w:rsid w:val="008B0B67"/>
    <w:rsid w:val="008B2380"/>
    <w:rsid w:val="008B33B5"/>
    <w:rsid w:val="008B4A8A"/>
    <w:rsid w:val="008C7DC6"/>
    <w:rsid w:val="008D1858"/>
    <w:rsid w:val="008E3041"/>
    <w:rsid w:val="008E50FD"/>
    <w:rsid w:val="008F2E64"/>
    <w:rsid w:val="008F4FD2"/>
    <w:rsid w:val="009019C8"/>
    <w:rsid w:val="0090445A"/>
    <w:rsid w:val="00905321"/>
    <w:rsid w:val="00920D8B"/>
    <w:rsid w:val="00923F37"/>
    <w:rsid w:val="00925632"/>
    <w:rsid w:val="00931A44"/>
    <w:rsid w:val="0096725F"/>
    <w:rsid w:val="0097199E"/>
    <w:rsid w:val="0097324B"/>
    <w:rsid w:val="00983D2E"/>
    <w:rsid w:val="009852F1"/>
    <w:rsid w:val="00986295"/>
    <w:rsid w:val="00996ECC"/>
    <w:rsid w:val="009A0497"/>
    <w:rsid w:val="009A2EBD"/>
    <w:rsid w:val="009C6814"/>
    <w:rsid w:val="009C69BB"/>
    <w:rsid w:val="009D2D76"/>
    <w:rsid w:val="009D63DF"/>
    <w:rsid w:val="009E0322"/>
    <w:rsid w:val="009E214F"/>
    <w:rsid w:val="009F07E7"/>
    <w:rsid w:val="009F1167"/>
    <w:rsid w:val="009F2444"/>
    <w:rsid w:val="00A136F9"/>
    <w:rsid w:val="00A45239"/>
    <w:rsid w:val="00A52758"/>
    <w:rsid w:val="00A65012"/>
    <w:rsid w:val="00A66787"/>
    <w:rsid w:val="00A96A73"/>
    <w:rsid w:val="00AA0A6E"/>
    <w:rsid w:val="00AA3A51"/>
    <w:rsid w:val="00AA4D90"/>
    <w:rsid w:val="00AB41FE"/>
    <w:rsid w:val="00AC16D2"/>
    <w:rsid w:val="00AC2F38"/>
    <w:rsid w:val="00AC58C3"/>
    <w:rsid w:val="00AC6567"/>
    <w:rsid w:val="00AD0B07"/>
    <w:rsid w:val="00AD1C2B"/>
    <w:rsid w:val="00AD25B6"/>
    <w:rsid w:val="00B027D4"/>
    <w:rsid w:val="00B2320C"/>
    <w:rsid w:val="00B27295"/>
    <w:rsid w:val="00B43329"/>
    <w:rsid w:val="00B445DD"/>
    <w:rsid w:val="00B470B0"/>
    <w:rsid w:val="00B511CE"/>
    <w:rsid w:val="00B55C06"/>
    <w:rsid w:val="00BA6F77"/>
    <w:rsid w:val="00BB38D1"/>
    <w:rsid w:val="00BB4A2E"/>
    <w:rsid w:val="00BB5907"/>
    <w:rsid w:val="00BB73CA"/>
    <w:rsid w:val="00BC1A3D"/>
    <w:rsid w:val="00BC4E38"/>
    <w:rsid w:val="00BC55D4"/>
    <w:rsid w:val="00BF7A77"/>
    <w:rsid w:val="00C02D64"/>
    <w:rsid w:val="00C10598"/>
    <w:rsid w:val="00C23A13"/>
    <w:rsid w:val="00C255DD"/>
    <w:rsid w:val="00C333F3"/>
    <w:rsid w:val="00C33E89"/>
    <w:rsid w:val="00C4336F"/>
    <w:rsid w:val="00C508AE"/>
    <w:rsid w:val="00C513C8"/>
    <w:rsid w:val="00C56FEB"/>
    <w:rsid w:val="00C63CC5"/>
    <w:rsid w:val="00C71E45"/>
    <w:rsid w:val="00C90EA8"/>
    <w:rsid w:val="00CB1AD4"/>
    <w:rsid w:val="00CB5567"/>
    <w:rsid w:val="00CC1495"/>
    <w:rsid w:val="00CC2ED2"/>
    <w:rsid w:val="00CC6759"/>
    <w:rsid w:val="00CC7730"/>
    <w:rsid w:val="00CD2838"/>
    <w:rsid w:val="00CE3ACB"/>
    <w:rsid w:val="00CE48D3"/>
    <w:rsid w:val="00CE7F2D"/>
    <w:rsid w:val="00D04D9D"/>
    <w:rsid w:val="00D147DA"/>
    <w:rsid w:val="00D22C4C"/>
    <w:rsid w:val="00D3214E"/>
    <w:rsid w:val="00D52942"/>
    <w:rsid w:val="00D54AAF"/>
    <w:rsid w:val="00D56C4D"/>
    <w:rsid w:val="00D57C0D"/>
    <w:rsid w:val="00D65355"/>
    <w:rsid w:val="00D653FB"/>
    <w:rsid w:val="00D667CE"/>
    <w:rsid w:val="00D75484"/>
    <w:rsid w:val="00D853FB"/>
    <w:rsid w:val="00D8792E"/>
    <w:rsid w:val="00D95337"/>
    <w:rsid w:val="00D975EF"/>
    <w:rsid w:val="00DB40E8"/>
    <w:rsid w:val="00DC60E3"/>
    <w:rsid w:val="00DD43F3"/>
    <w:rsid w:val="00DF5DA9"/>
    <w:rsid w:val="00DF66C1"/>
    <w:rsid w:val="00E27F2C"/>
    <w:rsid w:val="00E40339"/>
    <w:rsid w:val="00E47C15"/>
    <w:rsid w:val="00E50A95"/>
    <w:rsid w:val="00E52A99"/>
    <w:rsid w:val="00E61462"/>
    <w:rsid w:val="00E64544"/>
    <w:rsid w:val="00E71CDB"/>
    <w:rsid w:val="00E80D70"/>
    <w:rsid w:val="00EA5A87"/>
    <w:rsid w:val="00EA5C01"/>
    <w:rsid w:val="00EB2264"/>
    <w:rsid w:val="00EB30FE"/>
    <w:rsid w:val="00EB7F79"/>
    <w:rsid w:val="00EC3A65"/>
    <w:rsid w:val="00EC5587"/>
    <w:rsid w:val="00EE0E0F"/>
    <w:rsid w:val="00EE392A"/>
    <w:rsid w:val="00EF24E0"/>
    <w:rsid w:val="00EF4B66"/>
    <w:rsid w:val="00EF6F4E"/>
    <w:rsid w:val="00F053B4"/>
    <w:rsid w:val="00F200D5"/>
    <w:rsid w:val="00F2044F"/>
    <w:rsid w:val="00F22EF0"/>
    <w:rsid w:val="00F66BF8"/>
    <w:rsid w:val="00F70E26"/>
    <w:rsid w:val="00F75166"/>
    <w:rsid w:val="00F8146F"/>
    <w:rsid w:val="00FA0BD4"/>
    <w:rsid w:val="00FB5913"/>
    <w:rsid w:val="00FD3B79"/>
    <w:rsid w:val="00FD41F4"/>
    <w:rsid w:val="00FE6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8146F"/>
  </w:style>
  <w:style w:type="paragraph" w:customStyle="1" w:styleId="xxmsonormal">
    <w:name w:val="x_xmsonormal"/>
    <w:basedOn w:val="Normal"/>
    <w:rsid w:val="00D52942"/>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4853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atents.google.com/patent/EP3147292B1/en?oq=EP3147292" TargetMode="External"/><Relationship Id="rId3" Type="http://schemas.openxmlformats.org/officeDocument/2006/relationships/hyperlink" Target="https://patents.google.com/patent/EP1987159B1/en?oq=EP1987159" TargetMode="External"/><Relationship Id="rId7" Type="http://schemas.openxmlformats.org/officeDocument/2006/relationships/hyperlink" Target="https://patents.google.com/patent/EP2119722B1/en?oq=EP2119722+" TargetMode="External"/><Relationship Id="rId2" Type="http://schemas.openxmlformats.org/officeDocument/2006/relationships/hyperlink" Target="https://patents.google.com/patent/EP2084295B1/en?oq=EP2084295" TargetMode="External"/><Relationship Id="rId1" Type="http://schemas.openxmlformats.org/officeDocument/2006/relationships/hyperlink" Target="https://www.illumina.com/systems/sequencing-platforms/miseq.html" TargetMode="External"/><Relationship Id="rId6" Type="http://schemas.openxmlformats.org/officeDocument/2006/relationships/hyperlink" Target="https://patents.google.com/patent/EP2607369B1/en?oq=EP2607369" TargetMode="External"/><Relationship Id="rId5" Type="http://schemas.openxmlformats.org/officeDocument/2006/relationships/hyperlink" Target="https://patents.google.com/patent/EP3002289B1/en?oq=EP3002289" TargetMode="External"/><Relationship Id="rId4" Type="http://schemas.openxmlformats.org/officeDocument/2006/relationships/hyperlink" Target="https://patents.google.com/patent/EP1560838B1/en?oq=EP156083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6645</Words>
  <Characters>3789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3</cp:revision>
  <cp:lastPrinted>2017-08-09T12:55:00Z</cp:lastPrinted>
  <dcterms:created xsi:type="dcterms:W3CDTF">2021-04-29T12:38:00Z</dcterms:created>
  <dcterms:modified xsi:type="dcterms:W3CDTF">2021-04-29T12:39:00Z</dcterms:modified>
</cp:coreProperties>
</file>