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bookmarkStart w:id="1" w:name="_MON_1301915618"/>
    <w:bookmarkEnd w:id="1"/>
    <w:p w14:paraId="57BB844F" w14:textId="77777777" w:rsidR="00805FB6" w:rsidRPr="00C21F8F" w:rsidRDefault="00805FB6" w:rsidP="00D555C1">
      <w:pPr>
        <w:jc w:val="center"/>
        <w:rPr>
          <w:sz w:val="24"/>
          <w:szCs w:val="24"/>
        </w:rPr>
      </w:pPr>
      <w:r w:rsidRPr="00C21F8F">
        <w:rPr>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8" o:title=""/>
          </v:shape>
          <o:OLEObject Type="Embed" ProgID="Word.Picture.8" ShapeID="_x0000_i1025" DrawAspect="Content" ObjectID="_1673094490" r:id="rId9"/>
        </w:object>
      </w:r>
    </w:p>
    <w:p w14:paraId="4FCFAC08" w14:textId="77777777" w:rsidR="00805FB6" w:rsidRPr="00C21F8F" w:rsidRDefault="00805FB6" w:rsidP="00805FB6">
      <w:pPr>
        <w:jc w:val="center"/>
        <w:rPr>
          <w:sz w:val="24"/>
          <w:szCs w:val="24"/>
        </w:rPr>
      </w:pPr>
    </w:p>
    <w:p w14:paraId="6D0786DF" w14:textId="77777777" w:rsidR="00AA13F0" w:rsidRPr="00C21F8F" w:rsidRDefault="00AA13F0" w:rsidP="00AA13F0">
      <w:pPr>
        <w:pStyle w:val="Heading1"/>
        <w:tabs>
          <w:tab w:val="left" w:pos="900"/>
        </w:tabs>
        <w:jc w:val="center"/>
        <w:rPr>
          <w:sz w:val="24"/>
          <w:szCs w:val="24"/>
        </w:rPr>
      </w:pPr>
      <w:r w:rsidRPr="00C21F8F">
        <w:rPr>
          <w:sz w:val="24"/>
          <w:szCs w:val="24"/>
        </w:rPr>
        <w:t>VIEŠŲJŲ PIRKIMŲ TARNYBA</w:t>
      </w:r>
    </w:p>
    <w:p w14:paraId="54CDFC4A" w14:textId="77777777" w:rsidR="00805FB6" w:rsidRPr="00C21F8F" w:rsidRDefault="00805FB6" w:rsidP="00805FB6">
      <w:pPr>
        <w:tabs>
          <w:tab w:val="left" w:pos="900"/>
        </w:tabs>
        <w:rPr>
          <w:bCs/>
          <w:sz w:val="24"/>
          <w:szCs w:val="24"/>
        </w:rPr>
      </w:pPr>
    </w:p>
    <w:p w14:paraId="7D5496A5" w14:textId="77777777" w:rsidR="00805FB6" w:rsidRPr="00C21F8F" w:rsidRDefault="00805FB6" w:rsidP="00805FB6">
      <w:pPr>
        <w:tabs>
          <w:tab w:val="left" w:pos="900"/>
        </w:tabs>
        <w:rPr>
          <w:bCs/>
          <w:sz w:val="24"/>
          <w:szCs w:val="24"/>
        </w:rPr>
      </w:pPr>
    </w:p>
    <w:p w14:paraId="31242A22" w14:textId="77777777" w:rsidR="00441571" w:rsidRPr="00C21F8F" w:rsidRDefault="00441571" w:rsidP="00805FB6">
      <w:pPr>
        <w:tabs>
          <w:tab w:val="left" w:pos="900"/>
        </w:tabs>
        <w:rPr>
          <w:bCs/>
          <w:sz w:val="24"/>
          <w:szCs w:val="24"/>
        </w:rPr>
      </w:pPr>
    </w:p>
    <w:tbl>
      <w:tblPr>
        <w:tblW w:w="10188" w:type="dxa"/>
        <w:tblInd w:w="18" w:type="dxa"/>
        <w:tblLayout w:type="fixed"/>
        <w:tblLook w:val="0200" w:firstRow="0" w:lastRow="0" w:firstColumn="0" w:lastColumn="0" w:noHBand="1" w:noVBand="0"/>
      </w:tblPr>
      <w:tblGrid>
        <w:gridCol w:w="5085"/>
        <w:gridCol w:w="851"/>
        <w:gridCol w:w="1559"/>
        <w:gridCol w:w="567"/>
        <w:gridCol w:w="2126"/>
      </w:tblGrid>
      <w:tr w:rsidR="000D0EA9" w:rsidRPr="00C21F8F" w14:paraId="3A48E2D2" w14:textId="77777777" w:rsidTr="00C21F8F">
        <w:trPr>
          <w:cantSplit/>
          <w:trHeight w:val="80"/>
        </w:trPr>
        <w:tc>
          <w:tcPr>
            <w:tcW w:w="5085" w:type="dxa"/>
            <w:vMerge w:val="restart"/>
          </w:tcPr>
          <w:p w14:paraId="2B066582" w14:textId="77777777" w:rsidR="001A3939" w:rsidRPr="00C21F8F" w:rsidRDefault="001A3939" w:rsidP="001A3939">
            <w:pPr>
              <w:tabs>
                <w:tab w:val="left" w:pos="900"/>
              </w:tabs>
              <w:ind w:left="-108"/>
              <w:rPr>
                <w:sz w:val="24"/>
                <w:szCs w:val="24"/>
              </w:rPr>
            </w:pPr>
            <w:r w:rsidRPr="00C21F8F">
              <w:rPr>
                <w:sz w:val="24"/>
                <w:szCs w:val="24"/>
              </w:rPr>
              <w:t>AB „Ignitis grupė“</w:t>
            </w:r>
          </w:p>
          <w:p w14:paraId="2F70EF4A" w14:textId="77777777" w:rsidR="001A3939" w:rsidRPr="00C21F8F" w:rsidRDefault="001A3939" w:rsidP="001A3939">
            <w:pPr>
              <w:tabs>
                <w:tab w:val="left" w:pos="900"/>
              </w:tabs>
              <w:ind w:left="-108"/>
              <w:rPr>
                <w:sz w:val="24"/>
                <w:szCs w:val="24"/>
              </w:rPr>
            </w:pPr>
            <w:r w:rsidRPr="00C21F8F">
              <w:rPr>
                <w:sz w:val="24"/>
                <w:szCs w:val="24"/>
              </w:rPr>
              <w:t>Žvejų g. 14</w:t>
            </w:r>
          </w:p>
          <w:p w14:paraId="1A98B32A" w14:textId="77777777" w:rsidR="001A3939" w:rsidRPr="00C21F8F" w:rsidRDefault="001A3939" w:rsidP="001A3939">
            <w:pPr>
              <w:tabs>
                <w:tab w:val="left" w:pos="900"/>
              </w:tabs>
              <w:ind w:left="-108"/>
              <w:rPr>
                <w:sz w:val="24"/>
                <w:szCs w:val="24"/>
              </w:rPr>
            </w:pPr>
            <w:r w:rsidRPr="00C21F8F">
              <w:rPr>
                <w:sz w:val="24"/>
                <w:szCs w:val="24"/>
              </w:rPr>
              <w:t>LT-09310 Vilnius</w:t>
            </w:r>
          </w:p>
          <w:p w14:paraId="6F1E1E75" w14:textId="77777777" w:rsidR="001A3939" w:rsidRPr="00C21F8F" w:rsidRDefault="001A3939" w:rsidP="001A3939">
            <w:pPr>
              <w:tabs>
                <w:tab w:val="left" w:pos="900"/>
              </w:tabs>
              <w:ind w:left="-108"/>
              <w:rPr>
                <w:sz w:val="24"/>
                <w:szCs w:val="24"/>
              </w:rPr>
            </w:pPr>
            <w:r w:rsidRPr="00C21F8F">
              <w:rPr>
                <w:sz w:val="24"/>
                <w:szCs w:val="24"/>
              </w:rPr>
              <w:t xml:space="preserve">El. p.: </w:t>
            </w:r>
            <w:hyperlink r:id="rId10" w:history="1">
              <w:r w:rsidRPr="00C21F8F">
                <w:rPr>
                  <w:rStyle w:val="Hyperlink"/>
                  <w:sz w:val="24"/>
                  <w:szCs w:val="24"/>
                </w:rPr>
                <w:t>grupe@ignitis.lt</w:t>
              </w:r>
            </w:hyperlink>
          </w:p>
          <w:p w14:paraId="58AB5967" w14:textId="06A64FFE" w:rsidR="001A3939" w:rsidRPr="00C21F8F" w:rsidRDefault="001A3939" w:rsidP="005D2CC0">
            <w:pPr>
              <w:tabs>
                <w:tab w:val="left" w:pos="900"/>
              </w:tabs>
              <w:ind w:left="-108"/>
              <w:rPr>
                <w:sz w:val="24"/>
                <w:szCs w:val="24"/>
              </w:rPr>
            </w:pPr>
            <w:r w:rsidRPr="00C21F8F">
              <w:rPr>
                <w:sz w:val="24"/>
                <w:szCs w:val="24"/>
              </w:rPr>
              <w:t xml:space="preserve">           </w:t>
            </w:r>
          </w:p>
          <w:p w14:paraId="40919B43" w14:textId="77777777" w:rsidR="001A3939" w:rsidRPr="00C21F8F" w:rsidRDefault="001A3939" w:rsidP="001A3939">
            <w:pPr>
              <w:tabs>
                <w:tab w:val="left" w:pos="900"/>
              </w:tabs>
              <w:ind w:left="-108"/>
              <w:rPr>
                <w:sz w:val="24"/>
                <w:szCs w:val="24"/>
              </w:rPr>
            </w:pPr>
            <w:r w:rsidRPr="00C21F8F">
              <w:rPr>
                <w:sz w:val="24"/>
                <w:szCs w:val="24"/>
              </w:rPr>
              <w:t>UAB „Ignitis grupės paslaugų centras“</w:t>
            </w:r>
          </w:p>
          <w:p w14:paraId="3AF0B121" w14:textId="77777777" w:rsidR="001A3939" w:rsidRPr="00C21F8F" w:rsidRDefault="001A3939" w:rsidP="001A3939">
            <w:pPr>
              <w:pStyle w:val="ListParagraph"/>
              <w:numPr>
                <w:ilvl w:val="0"/>
                <w:numId w:val="12"/>
              </w:numPr>
              <w:tabs>
                <w:tab w:val="left" w:pos="900"/>
              </w:tabs>
              <w:rPr>
                <w:sz w:val="24"/>
                <w:szCs w:val="24"/>
              </w:rPr>
            </w:pPr>
            <w:r w:rsidRPr="00C21F8F">
              <w:rPr>
                <w:sz w:val="24"/>
                <w:szCs w:val="24"/>
              </w:rPr>
              <w:t>Juozapavičiaus g. 13</w:t>
            </w:r>
          </w:p>
          <w:p w14:paraId="37E3995F" w14:textId="190DA146" w:rsidR="000D0EA9" w:rsidRPr="00C21F8F" w:rsidRDefault="001A3939" w:rsidP="001A3939">
            <w:pPr>
              <w:tabs>
                <w:tab w:val="left" w:pos="900"/>
              </w:tabs>
              <w:ind w:left="-108"/>
              <w:rPr>
                <w:sz w:val="24"/>
                <w:szCs w:val="24"/>
              </w:rPr>
            </w:pPr>
            <w:r w:rsidRPr="00C21F8F">
              <w:rPr>
                <w:sz w:val="24"/>
                <w:szCs w:val="24"/>
              </w:rPr>
              <w:t>LT-09311 Vilnius</w:t>
            </w:r>
          </w:p>
        </w:tc>
        <w:tc>
          <w:tcPr>
            <w:tcW w:w="851" w:type="dxa"/>
          </w:tcPr>
          <w:p w14:paraId="317FA668" w14:textId="77777777" w:rsidR="000D0EA9" w:rsidRPr="00C21F8F" w:rsidRDefault="000D0EA9" w:rsidP="00722A57">
            <w:pPr>
              <w:tabs>
                <w:tab w:val="left" w:pos="900"/>
              </w:tabs>
              <w:rPr>
                <w:color w:val="000000" w:themeColor="text1"/>
                <w:sz w:val="24"/>
                <w:szCs w:val="24"/>
              </w:rPr>
            </w:pPr>
          </w:p>
        </w:tc>
        <w:tc>
          <w:tcPr>
            <w:tcW w:w="1559" w:type="dxa"/>
          </w:tcPr>
          <w:p w14:paraId="091FB5E8" w14:textId="1A820A9B" w:rsidR="000D0EA9" w:rsidRPr="00C21F8F" w:rsidRDefault="000D0EA9" w:rsidP="007307D7">
            <w:pPr>
              <w:rPr>
                <w:color w:val="000000" w:themeColor="text1"/>
                <w:sz w:val="24"/>
                <w:szCs w:val="24"/>
              </w:rPr>
            </w:pPr>
            <w:r w:rsidRPr="00C21F8F">
              <w:rPr>
                <w:color w:val="000000" w:themeColor="text1"/>
                <w:sz w:val="24"/>
                <w:szCs w:val="24"/>
              </w:rPr>
              <w:t>20</w:t>
            </w:r>
            <w:r w:rsidR="007307D7" w:rsidRPr="00C21F8F">
              <w:rPr>
                <w:color w:val="000000" w:themeColor="text1"/>
                <w:sz w:val="24"/>
                <w:szCs w:val="24"/>
              </w:rPr>
              <w:t>2</w:t>
            </w:r>
            <w:r w:rsidR="001A3939" w:rsidRPr="00C21F8F">
              <w:rPr>
                <w:color w:val="000000" w:themeColor="text1"/>
                <w:sz w:val="24"/>
                <w:szCs w:val="24"/>
              </w:rPr>
              <w:t>1</w:t>
            </w:r>
            <w:r w:rsidRPr="00C21F8F">
              <w:rPr>
                <w:color w:val="000000" w:themeColor="text1"/>
                <w:sz w:val="24"/>
                <w:szCs w:val="24"/>
              </w:rPr>
              <w:t>-</w:t>
            </w:r>
            <w:r w:rsidR="007307D7" w:rsidRPr="00C21F8F">
              <w:rPr>
                <w:color w:val="000000" w:themeColor="text1"/>
                <w:sz w:val="24"/>
                <w:szCs w:val="24"/>
              </w:rPr>
              <w:t>0</w:t>
            </w:r>
            <w:r w:rsidR="001A3939" w:rsidRPr="00C21F8F">
              <w:rPr>
                <w:color w:val="000000" w:themeColor="text1"/>
                <w:sz w:val="24"/>
                <w:szCs w:val="24"/>
              </w:rPr>
              <w:t>1</w:t>
            </w:r>
            <w:r w:rsidRPr="00C21F8F">
              <w:rPr>
                <w:color w:val="000000" w:themeColor="text1"/>
                <w:sz w:val="24"/>
                <w:szCs w:val="24"/>
              </w:rPr>
              <w:t>-</w:t>
            </w:r>
            <w:r w:rsidR="009847BD" w:rsidRPr="00C21F8F">
              <w:rPr>
                <w:color w:val="000000" w:themeColor="text1"/>
                <w:sz w:val="24"/>
                <w:szCs w:val="24"/>
              </w:rPr>
              <w:t xml:space="preserve">    </w:t>
            </w:r>
          </w:p>
        </w:tc>
        <w:tc>
          <w:tcPr>
            <w:tcW w:w="567" w:type="dxa"/>
          </w:tcPr>
          <w:p w14:paraId="20923BC2" w14:textId="77777777" w:rsidR="000D0EA9" w:rsidRPr="00C21F8F" w:rsidRDefault="000D0EA9" w:rsidP="00345795">
            <w:pPr>
              <w:tabs>
                <w:tab w:val="left" w:pos="900"/>
              </w:tabs>
              <w:rPr>
                <w:color w:val="000000" w:themeColor="text1"/>
                <w:sz w:val="24"/>
                <w:szCs w:val="24"/>
              </w:rPr>
            </w:pPr>
            <w:r w:rsidRPr="00C21F8F">
              <w:rPr>
                <w:color w:val="000000" w:themeColor="text1"/>
                <w:sz w:val="24"/>
                <w:szCs w:val="24"/>
              </w:rPr>
              <w:t>Nr</w:t>
            </w:r>
            <w:r w:rsidR="008E2B0B" w:rsidRPr="00C21F8F">
              <w:rPr>
                <w:color w:val="000000" w:themeColor="text1"/>
                <w:sz w:val="24"/>
                <w:szCs w:val="24"/>
              </w:rPr>
              <w:t>.</w:t>
            </w:r>
          </w:p>
        </w:tc>
        <w:tc>
          <w:tcPr>
            <w:tcW w:w="2126" w:type="dxa"/>
          </w:tcPr>
          <w:p w14:paraId="250B36FA" w14:textId="689F92A6" w:rsidR="000D0EA9" w:rsidRPr="00C21F8F" w:rsidRDefault="0013783E" w:rsidP="007307D7">
            <w:pPr>
              <w:tabs>
                <w:tab w:val="left" w:pos="900"/>
              </w:tabs>
              <w:rPr>
                <w:color w:val="000000" w:themeColor="text1"/>
                <w:sz w:val="24"/>
                <w:szCs w:val="24"/>
              </w:rPr>
            </w:pPr>
            <w:r w:rsidRPr="00C21F8F">
              <w:rPr>
                <w:color w:val="000000" w:themeColor="text1"/>
                <w:sz w:val="24"/>
                <w:szCs w:val="24"/>
              </w:rPr>
              <w:t xml:space="preserve">4S-        </w:t>
            </w:r>
            <w:r w:rsidR="00CE5815" w:rsidRPr="00C21F8F">
              <w:rPr>
                <w:color w:val="000000" w:themeColor="text1"/>
                <w:sz w:val="24"/>
                <w:szCs w:val="24"/>
              </w:rPr>
              <w:t>(</w:t>
            </w:r>
            <w:r w:rsidR="007307D7" w:rsidRPr="00C21F8F">
              <w:rPr>
                <w:color w:val="000000" w:themeColor="text1"/>
                <w:sz w:val="24"/>
                <w:szCs w:val="24"/>
              </w:rPr>
              <w:t>8</w:t>
            </w:r>
            <w:r w:rsidR="00CE5815" w:rsidRPr="00C21F8F">
              <w:rPr>
                <w:color w:val="000000" w:themeColor="text1"/>
                <w:sz w:val="24"/>
                <w:szCs w:val="24"/>
              </w:rPr>
              <w:t>.</w:t>
            </w:r>
            <w:r w:rsidR="007307D7" w:rsidRPr="00C21F8F">
              <w:rPr>
                <w:color w:val="000000" w:themeColor="text1"/>
                <w:sz w:val="24"/>
                <w:szCs w:val="24"/>
              </w:rPr>
              <w:t>15</w:t>
            </w:r>
            <w:r w:rsidR="00CE5815" w:rsidRPr="00C21F8F">
              <w:rPr>
                <w:color w:val="000000" w:themeColor="text1"/>
                <w:sz w:val="24"/>
                <w:szCs w:val="24"/>
              </w:rPr>
              <w:t>)</w:t>
            </w:r>
            <w:r w:rsidRPr="00C21F8F">
              <w:rPr>
                <w:color w:val="000000" w:themeColor="text1"/>
                <w:sz w:val="24"/>
                <w:szCs w:val="24"/>
              </w:rPr>
              <w:t xml:space="preserve"> </w:t>
            </w:r>
          </w:p>
        </w:tc>
      </w:tr>
      <w:tr w:rsidR="000D0EA9" w:rsidRPr="00C21F8F" w14:paraId="51DA0E58" w14:textId="77777777" w:rsidTr="00C21F8F">
        <w:trPr>
          <w:cantSplit/>
          <w:trHeight w:val="380"/>
        </w:trPr>
        <w:tc>
          <w:tcPr>
            <w:tcW w:w="5085" w:type="dxa"/>
            <w:vMerge/>
          </w:tcPr>
          <w:p w14:paraId="19326F81" w14:textId="77777777" w:rsidR="000D0EA9" w:rsidRPr="00C21F8F" w:rsidRDefault="000D0EA9" w:rsidP="00693D5D">
            <w:pPr>
              <w:tabs>
                <w:tab w:val="left" w:pos="900"/>
              </w:tabs>
              <w:rPr>
                <w:sz w:val="24"/>
                <w:szCs w:val="24"/>
              </w:rPr>
            </w:pPr>
          </w:p>
        </w:tc>
        <w:tc>
          <w:tcPr>
            <w:tcW w:w="851" w:type="dxa"/>
          </w:tcPr>
          <w:p w14:paraId="3EEC59D7" w14:textId="374D7265" w:rsidR="000D0EA9" w:rsidRPr="00C21F8F" w:rsidRDefault="000D0EA9" w:rsidP="003830E2">
            <w:pPr>
              <w:tabs>
                <w:tab w:val="left" w:pos="900"/>
              </w:tabs>
              <w:ind w:right="25"/>
              <w:jc w:val="both"/>
              <w:rPr>
                <w:color w:val="000000" w:themeColor="text1"/>
                <w:sz w:val="24"/>
                <w:szCs w:val="24"/>
              </w:rPr>
            </w:pPr>
          </w:p>
        </w:tc>
        <w:tc>
          <w:tcPr>
            <w:tcW w:w="1559" w:type="dxa"/>
          </w:tcPr>
          <w:p w14:paraId="4410CC3E" w14:textId="446EFEB7" w:rsidR="007307D7" w:rsidRPr="00C21F8F" w:rsidRDefault="007407B5" w:rsidP="007307D7">
            <w:pPr>
              <w:tabs>
                <w:tab w:val="left" w:pos="900"/>
              </w:tabs>
              <w:ind w:left="-78"/>
              <w:rPr>
                <w:color w:val="000000" w:themeColor="text1"/>
                <w:sz w:val="24"/>
                <w:szCs w:val="24"/>
              </w:rPr>
            </w:pPr>
            <w:r w:rsidRPr="00C21F8F">
              <w:rPr>
                <w:color w:val="000000" w:themeColor="text1"/>
                <w:sz w:val="24"/>
                <w:szCs w:val="24"/>
              </w:rPr>
              <w:t>Į</w:t>
            </w:r>
            <w:r w:rsidR="00C52655" w:rsidRPr="00C21F8F">
              <w:rPr>
                <w:color w:val="000000" w:themeColor="text1"/>
                <w:sz w:val="24"/>
                <w:szCs w:val="24"/>
              </w:rPr>
              <w:t xml:space="preserve"> </w:t>
            </w:r>
            <w:r w:rsidR="001A3939" w:rsidRPr="00C21F8F">
              <w:rPr>
                <w:color w:val="000000" w:themeColor="text1"/>
                <w:sz w:val="24"/>
                <w:szCs w:val="24"/>
              </w:rPr>
              <w:t>2020-12-1</w:t>
            </w:r>
            <w:r w:rsidR="00073FCC" w:rsidRPr="00C21F8F">
              <w:rPr>
                <w:color w:val="000000" w:themeColor="text1"/>
                <w:sz w:val="24"/>
                <w:szCs w:val="24"/>
              </w:rPr>
              <w:t>1</w:t>
            </w:r>
          </w:p>
          <w:p w14:paraId="58437C53" w14:textId="712E91DD" w:rsidR="00C225F6" w:rsidRPr="00C21F8F" w:rsidRDefault="00C52655" w:rsidP="00C225F6">
            <w:pPr>
              <w:tabs>
                <w:tab w:val="left" w:pos="900"/>
              </w:tabs>
              <w:ind w:left="-78"/>
              <w:rPr>
                <w:color w:val="000000" w:themeColor="text1"/>
                <w:sz w:val="24"/>
                <w:szCs w:val="24"/>
              </w:rPr>
            </w:pPr>
            <w:r w:rsidRPr="00C21F8F">
              <w:rPr>
                <w:color w:val="000000" w:themeColor="text1"/>
                <w:sz w:val="24"/>
                <w:szCs w:val="24"/>
              </w:rPr>
              <w:t xml:space="preserve"> </w:t>
            </w:r>
            <w:r w:rsidR="001A3939" w:rsidRPr="00C21F8F">
              <w:rPr>
                <w:color w:val="000000" w:themeColor="text1"/>
                <w:sz w:val="24"/>
                <w:szCs w:val="24"/>
              </w:rPr>
              <w:t>2020-12-11</w:t>
            </w:r>
          </w:p>
          <w:p w14:paraId="19A1539B" w14:textId="229EB95B" w:rsidR="00C225F6" w:rsidRPr="00C21F8F" w:rsidRDefault="001A3939" w:rsidP="00C225F6">
            <w:pPr>
              <w:tabs>
                <w:tab w:val="left" w:pos="900"/>
              </w:tabs>
              <w:ind w:left="-78"/>
              <w:rPr>
                <w:color w:val="000000" w:themeColor="text1"/>
                <w:sz w:val="24"/>
                <w:szCs w:val="24"/>
              </w:rPr>
            </w:pPr>
            <w:r w:rsidRPr="00C21F8F">
              <w:rPr>
                <w:color w:val="000000" w:themeColor="text1"/>
                <w:sz w:val="24"/>
                <w:szCs w:val="24"/>
              </w:rPr>
              <w:t xml:space="preserve"> 2020-12-16</w:t>
            </w:r>
          </w:p>
          <w:p w14:paraId="7007DBE2" w14:textId="3E39AB74" w:rsidR="001A3939" w:rsidRPr="00C21F8F" w:rsidRDefault="00C225F6" w:rsidP="00C225F6">
            <w:pPr>
              <w:tabs>
                <w:tab w:val="left" w:pos="900"/>
              </w:tabs>
              <w:ind w:left="-78"/>
              <w:rPr>
                <w:color w:val="000000" w:themeColor="text1"/>
                <w:sz w:val="24"/>
                <w:szCs w:val="24"/>
              </w:rPr>
            </w:pPr>
            <w:r w:rsidRPr="00C21F8F">
              <w:rPr>
                <w:color w:val="000000" w:themeColor="text1"/>
                <w:sz w:val="24"/>
                <w:szCs w:val="24"/>
              </w:rPr>
              <w:t xml:space="preserve"> </w:t>
            </w:r>
            <w:r w:rsidR="001A3939" w:rsidRPr="00C21F8F">
              <w:rPr>
                <w:color w:val="000000" w:themeColor="text1"/>
                <w:sz w:val="24"/>
                <w:szCs w:val="24"/>
              </w:rPr>
              <w:t>2021-01-08</w:t>
            </w:r>
          </w:p>
          <w:p w14:paraId="0B7CA267" w14:textId="45736159" w:rsidR="00073FCC" w:rsidRPr="00C21F8F" w:rsidRDefault="00073FCC" w:rsidP="00C225F6">
            <w:pPr>
              <w:tabs>
                <w:tab w:val="left" w:pos="900"/>
              </w:tabs>
              <w:ind w:left="-78"/>
              <w:rPr>
                <w:color w:val="000000" w:themeColor="text1"/>
                <w:sz w:val="24"/>
                <w:szCs w:val="24"/>
              </w:rPr>
            </w:pPr>
            <w:r w:rsidRPr="00C21F8F">
              <w:rPr>
                <w:color w:val="000000" w:themeColor="text1"/>
                <w:sz w:val="24"/>
                <w:szCs w:val="24"/>
              </w:rPr>
              <w:t xml:space="preserve"> 2020-01-20</w:t>
            </w:r>
          </w:p>
          <w:p w14:paraId="0C3F6CDE" w14:textId="05E652EC" w:rsidR="00073FCC" w:rsidRPr="00C21F8F" w:rsidRDefault="00073FCC" w:rsidP="00C225F6">
            <w:pPr>
              <w:tabs>
                <w:tab w:val="left" w:pos="900"/>
              </w:tabs>
              <w:ind w:left="-78"/>
              <w:rPr>
                <w:color w:val="000000" w:themeColor="text1"/>
                <w:sz w:val="24"/>
                <w:szCs w:val="24"/>
              </w:rPr>
            </w:pPr>
          </w:p>
        </w:tc>
        <w:tc>
          <w:tcPr>
            <w:tcW w:w="567" w:type="dxa"/>
          </w:tcPr>
          <w:p w14:paraId="7840395E" w14:textId="28C4045D" w:rsidR="00C52655" w:rsidRPr="00C21F8F" w:rsidRDefault="00AD6768" w:rsidP="00345795">
            <w:pPr>
              <w:tabs>
                <w:tab w:val="left" w:pos="900"/>
              </w:tabs>
              <w:rPr>
                <w:color w:val="000000" w:themeColor="text1"/>
                <w:sz w:val="24"/>
                <w:szCs w:val="24"/>
              </w:rPr>
            </w:pPr>
            <w:r w:rsidRPr="00C21F8F">
              <w:rPr>
                <w:color w:val="000000" w:themeColor="text1"/>
                <w:sz w:val="24"/>
                <w:szCs w:val="24"/>
              </w:rPr>
              <w:t>Nr.</w:t>
            </w:r>
          </w:p>
          <w:p w14:paraId="78A3989F" w14:textId="77777777" w:rsidR="000D0EA9" w:rsidRPr="00C21F8F" w:rsidRDefault="00C52655" w:rsidP="00C52655">
            <w:pPr>
              <w:rPr>
                <w:color w:val="000000" w:themeColor="text1"/>
                <w:sz w:val="24"/>
                <w:szCs w:val="24"/>
              </w:rPr>
            </w:pPr>
            <w:r w:rsidRPr="00C21F8F">
              <w:rPr>
                <w:color w:val="000000" w:themeColor="text1"/>
                <w:sz w:val="24"/>
                <w:szCs w:val="24"/>
              </w:rPr>
              <w:t>Nr.</w:t>
            </w:r>
          </w:p>
          <w:p w14:paraId="5642F1BC" w14:textId="77777777" w:rsidR="001A3939" w:rsidRPr="00C21F8F" w:rsidRDefault="001A3939" w:rsidP="001A3939">
            <w:pPr>
              <w:rPr>
                <w:color w:val="000000" w:themeColor="text1"/>
                <w:sz w:val="24"/>
                <w:szCs w:val="24"/>
              </w:rPr>
            </w:pPr>
            <w:r w:rsidRPr="00C21F8F">
              <w:rPr>
                <w:color w:val="000000" w:themeColor="text1"/>
                <w:sz w:val="24"/>
                <w:szCs w:val="24"/>
              </w:rPr>
              <w:t>Nr.</w:t>
            </w:r>
          </w:p>
          <w:p w14:paraId="05FD3BB2" w14:textId="77777777" w:rsidR="001A3939" w:rsidRPr="00C21F8F" w:rsidRDefault="001A3939" w:rsidP="001A3939">
            <w:pPr>
              <w:rPr>
                <w:color w:val="000000" w:themeColor="text1"/>
                <w:sz w:val="24"/>
                <w:szCs w:val="24"/>
              </w:rPr>
            </w:pPr>
            <w:r w:rsidRPr="00C21F8F">
              <w:rPr>
                <w:color w:val="000000" w:themeColor="text1"/>
                <w:sz w:val="24"/>
                <w:szCs w:val="24"/>
              </w:rPr>
              <w:t>Nr.</w:t>
            </w:r>
          </w:p>
          <w:p w14:paraId="02E826B4" w14:textId="10C1BC6A" w:rsidR="00073FCC" w:rsidRPr="00C21F8F" w:rsidRDefault="00073FCC" w:rsidP="001A3939">
            <w:pPr>
              <w:rPr>
                <w:color w:val="000000" w:themeColor="text1"/>
                <w:sz w:val="24"/>
                <w:szCs w:val="24"/>
              </w:rPr>
            </w:pPr>
            <w:r w:rsidRPr="00C21F8F">
              <w:rPr>
                <w:color w:val="000000" w:themeColor="text1"/>
                <w:sz w:val="24"/>
                <w:szCs w:val="24"/>
              </w:rPr>
              <w:t xml:space="preserve">Nr. </w:t>
            </w:r>
          </w:p>
        </w:tc>
        <w:tc>
          <w:tcPr>
            <w:tcW w:w="2126" w:type="dxa"/>
          </w:tcPr>
          <w:p w14:paraId="1F0C2274" w14:textId="77777777" w:rsidR="001A3939" w:rsidRPr="00C21F8F" w:rsidRDefault="001A3939" w:rsidP="001A3939">
            <w:pPr>
              <w:tabs>
                <w:tab w:val="left" w:pos="900"/>
              </w:tabs>
              <w:rPr>
                <w:color w:val="000000" w:themeColor="text1"/>
                <w:sz w:val="24"/>
                <w:szCs w:val="24"/>
              </w:rPr>
            </w:pPr>
            <w:r w:rsidRPr="00C21F8F">
              <w:rPr>
                <w:color w:val="000000" w:themeColor="text1"/>
                <w:sz w:val="24"/>
                <w:szCs w:val="24"/>
              </w:rPr>
              <w:t>SD-120-20</w:t>
            </w:r>
          </w:p>
          <w:p w14:paraId="7B4C5D9D" w14:textId="77777777" w:rsidR="000D0EA9" w:rsidRPr="00C21F8F" w:rsidRDefault="001A3939" w:rsidP="001A3939">
            <w:pPr>
              <w:rPr>
                <w:color w:val="000000" w:themeColor="text1"/>
                <w:sz w:val="24"/>
                <w:szCs w:val="24"/>
              </w:rPr>
            </w:pPr>
            <w:r w:rsidRPr="00C21F8F">
              <w:rPr>
                <w:color w:val="000000" w:themeColor="text1"/>
                <w:sz w:val="24"/>
                <w:szCs w:val="24"/>
              </w:rPr>
              <w:t>SD-121-20</w:t>
            </w:r>
          </w:p>
          <w:p w14:paraId="441085A9" w14:textId="77777777" w:rsidR="001A3939" w:rsidRPr="00C21F8F" w:rsidRDefault="001A3939" w:rsidP="001A3939">
            <w:pPr>
              <w:rPr>
                <w:color w:val="000000" w:themeColor="text1"/>
                <w:sz w:val="24"/>
                <w:szCs w:val="24"/>
                <w:lang w:val="en-US"/>
              </w:rPr>
            </w:pPr>
            <w:r w:rsidRPr="00C21F8F">
              <w:rPr>
                <w:color w:val="000000" w:themeColor="text1"/>
                <w:sz w:val="24"/>
                <w:szCs w:val="24"/>
                <w:lang w:val="en-US"/>
              </w:rPr>
              <w:t>SD-123-20</w:t>
            </w:r>
          </w:p>
          <w:p w14:paraId="27B2DDA5" w14:textId="77777777" w:rsidR="001A3939" w:rsidRPr="00C21F8F" w:rsidRDefault="001A3939" w:rsidP="001A3939">
            <w:pPr>
              <w:rPr>
                <w:color w:val="000000" w:themeColor="text1"/>
                <w:sz w:val="24"/>
                <w:szCs w:val="24"/>
                <w:lang w:val="en-US"/>
              </w:rPr>
            </w:pPr>
            <w:r w:rsidRPr="00C21F8F">
              <w:rPr>
                <w:color w:val="000000" w:themeColor="text1"/>
                <w:sz w:val="24"/>
                <w:szCs w:val="24"/>
                <w:lang w:val="en-US"/>
              </w:rPr>
              <w:t>SD-5-21</w:t>
            </w:r>
          </w:p>
          <w:p w14:paraId="55A41AB6" w14:textId="76099E07" w:rsidR="00073FCC" w:rsidRPr="00C21F8F" w:rsidRDefault="00073FCC" w:rsidP="001A3939">
            <w:pPr>
              <w:rPr>
                <w:color w:val="000000" w:themeColor="text1"/>
                <w:sz w:val="24"/>
                <w:szCs w:val="24"/>
                <w:lang w:val="en-US"/>
              </w:rPr>
            </w:pPr>
            <w:r w:rsidRPr="00C21F8F">
              <w:rPr>
                <w:color w:val="000000" w:themeColor="text1"/>
                <w:sz w:val="24"/>
                <w:szCs w:val="24"/>
                <w:lang w:val="en-US"/>
              </w:rPr>
              <w:t>3S-164</w:t>
            </w:r>
          </w:p>
        </w:tc>
      </w:tr>
    </w:tbl>
    <w:p w14:paraId="7FCB291A" w14:textId="77777777" w:rsidR="001A3939" w:rsidRPr="00C21F8F" w:rsidRDefault="001A3939" w:rsidP="001A3939">
      <w:pPr>
        <w:jc w:val="both"/>
        <w:rPr>
          <w:color w:val="000000"/>
          <w:sz w:val="24"/>
          <w:szCs w:val="24"/>
          <w:lang w:val="en-GB" w:eastAsia="lt-LT"/>
        </w:rPr>
      </w:pPr>
      <w:r w:rsidRPr="00C21F8F">
        <w:rPr>
          <w:sz w:val="24"/>
          <w:szCs w:val="24"/>
        </w:rPr>
        <w:t xml:space="preserve">El. p.: </w:t>
      </w:r>
      <w:hyperlink r:id="rId11" w:history="1">
        <w:r w:rsidRPr="00C21F8F">
          <w:rPr>
            <w:rStyle w:val="Hyperlink"/>
            <w:sz w:val="24"/>
            <w:szCs w:val="24"/>
          </w:rPr>
          <w:t>linas.krasauskas@ignitis.lt</w:t>
        </w:r>
      </w:hyperlink>
      <w:r w:rsidRPr="00C21F8F">
        <w:rPr>
          <w:rStyle w:val="Hyperlink"/>
          <w:sz w:val="24"/>
          <w:szCs w:val="24"/>
        </w:rPr>
        <w:t>; gpc@ignitis.lt</w:t>
      </w:r>
    </w:p>
    <w:p w14:paraId="05B2A0A8" w14:textId="77777777" w:rsidR="00DF23C2" w:rsidRPr="00C21F8F" w:rsidRDefault="00DF23C2" w:rsidP="00441571">
      <w:pPr>
        <w:spacing w:line="360" w:lineRule="auto"/>
        <w:jc w:val="both"/>
        <w:rPr>
          <w:color w:val="000000"/>
          <w:sz w:val="24"/>
          <w:szCs w:val="24"/>
          <w:lang w:eastAsia="lt-LT"/>
        </w:rPr>
      </w:pPr>
    </w:p>
    <w:p w14:paraId="50BEAA2F" w14:textId="766A75DC" w:rsidR="00F62141" w:rsidRPr="00C21F8F" w:rsidRDefault="00C52655" w:rsidP="00F62141">
      <w:pPr>
        <w:jc w:val="both"/>
        <w:rPr>
          <w:sz w:val="24"/>
          <w:szCs w:val="24"/>
        </w:rPr>
      </w:pPr>
      <w:r w:rsidRPr="00C21F8F">
        <w:rPr>
          <w:b/>
          <w:color w:val="000000"/>
          <w:sz w:val="24"/>
          <w:szCs w:val="24"/>
          <w:lang w:eastAsia="lt-LT"/>
        </w:rPr>
        <w:t>SPRENDIMAS DĖL SUTIKIMO VYKDYTI PIRKIM</w:t>
      </w:r>
      <w:r w:rsidR="00073FCC" w:rsidRPr="00C21F8F">
        <w:rPr>
          <w:b/>
          <w:color w:val="000000"/>
          <w:sz w:val="24"/>
          <w:szCs w:val="24"/>
          <w:lang w:eastAsia="lt-LT"/>
        </w:rPr>
        <w:t>US</w:t>
      </w:r>
      <w:r w:rsidRPr="00C21F8F">
        <w:rPr>
          <w:b/>
          <w:color w:val="000000"/>
          <w:sz w:val="24"/>
          <w:szCs w:val="24"/>
          <w:lang w:eastAsia="lt-LT"/>
        </w:rPr>
        <w:t xml:space="preserve"> NESKELBIAMŲ DERYBŲ BŪDU</w:t>
      </w:r>
    </w:p>
    <w:p w14:paraId="3D939CA6" w14:textId="77777777" w:rsidR="00F62141" w:rsidRPr="00C21F8F" w:rsidRDefault="00F62141" w:rsidP="004A4318">
      <w:pPr>
        <w:tabs>
          <w:tab w:val="left" w:pos="6240"/>
        </w:tabs>
        <w:jc w:val="both"/>
        <w:rPr>
          <w:color w:val="000000"/>
          <w:sz w:val="24"/>
          <w:szCs w:val="24"/>
          <w:highlight w:val="yellow"/>
          <w:lang w:eastAsia="lt-LT"/>
        </w:rPr>
      </w:pPr>
    </w:p>
    <w:p w14:paraId="1468D17C" w14:textId="21908198" w:rsidR="003B4FC1" w:rsidRPr="00A758D9" w:rsidRDefault="00C52655" w:rsidP="005D2CC0">
      <w:pPr>
        <w:ind w:firstLine="680"/>
        <w:jc w:val="both"/>
        <w:rPr>
          <w:rFonts w:eastAsia="Calibri"/>
          <w:iCs/>
          <w:color w:val="000000" w:themeColor="text1"/>
          <w:sz w:val="24"/>
          <w:szCs w:val="24"/>
        </w:rPr>
      </w:pPr>
      <w:r w:rsidRPr="00A758D9">
        <w:rPr>
          <w:rFonts w:eastAsia="Calibri"/>
          <w:color w:val="000000" w:themeColor="text1"/>
          <w:sz w:val="24"/>
          <w:szCs w:val="24"/>
        </w:rPr>
        <w:t xml:space="preserve">Viešųjų pirkimų tarnyba (toliau – Tarnyba), vadovaudamasi Lietuvos Respublikos viešųjų pirkimų įstatymo (toliau – Įstatymas) 95 straipsnio 2 dalies 6 punkto nuostatomis, išnagrinėjo </w:t>
      </w:r>
      <w:bookmarkStart w:id="2" w:name="_Hlk62459981"/>
      <w:r w:rsidR="003B4FC1" w:rsidRPr="00A758D9">
        <w:rPr>
          <w:color w:val="000000" w:themeColor="text1"/>
          <w:sz w:val="24"/>
          <w:szCs w:val="24"/>
        </w:rPr>
        <w:t>UAB „Ignitis grupės paslaugų centr</w:t>
      </w:r>
      <w:r w:rsidR="00CE4629" w:rsidRPr="00A758D9">
        <w:rPr>
          <w:color w:val="000000" w:themeColor="text1"/>
          <w:sz w:val="24"/>
          <w:szCs w:val="24"/>
        </w:rPr>
        <w:t>as</w:t>
      </w:r>
      <w:r w:rsidR="003B4FC1" w:rsidRPr="00A758D9">
        <w:rPr>
          <w:color w:val="000000" w:themeColor="text1"/>
          <w:sz w:val="24"/>
          <w:szCs w:val="24"/>
        </w:rPr>
        <w:t>“</w:t>
      </w:r>
      <w:bookmarkEnd w:id="2"/>
      <w:r w:rsidR="00CE4629" w:rsidRPr="00A758D9">
        <w:rPr>
          <w:rStyle w:val="FootnoteReference"/>
          <w:color w:val="000000" w:themeColor="text1"/>
          <w:sz w:val="24"/>
          <w:szCs w:val="24"/>
        </w:rPr>
        <w:footnoteReference w:id="1"/>
      </w:r>
      <w:r w:rsidR="003B4FC1" w:rsidRPr="00A758D9">
        <w:rPr>
          <w:rFonts w:eastAsia="Calibri"/>
          <w:color w:val="000000" w:themeColor="text1"/>
          <w:sz w:val="24"/>
          <w:szCs w:val="24"/>
        </w:rPr>
        <w:t xml:space="preserve"> </w:t>
      </w:r>
      <w:r w:rsidRPr="00A758D9">
        <w:rPr>
          <w:rFonts w:eastAsia="Calibri"/>
          <w:color w:val="000000" w:themeColor="text1"/>
          <w:sz w:val="24"/>
          <w:szCs w:val="24"/>
        </w:rPr>
        <w:t>(toliau – Perkančioji organizacija) prašym</w:t>
      </w:r>
      <w:r w:rsidR="003B4FC1" w:rsidRPr="00A758D9">
        <w:rPr>
          <w:rFonts w:eastAsia="Calibri"/>
          <w:color w:val="000000" w:themeColor="text1"/>
          <w:sz w:val="24"/>
          <w:szCs w:val="24"/>
        </w:rPr>
        <w:t>us</w:t>
      </w:r>
      <w:r w:rsidRPr="00A758D9">
        <w:rPr>
          <w:rFonts w:eastAsia="Calibri"/>
          <w:color w:val="000000" w:themeColor="text1"/>
          <w:sz w:val="24"/>
          <w:szCs w:val="24"/>
        </w:rPr>
        <w:t xml:space="preserve"> sutikti </w:t>
      </w:r>
      <w:bookmarkStart w:id="3" w:name="_Hlk62467411"/>
      <w:r w:rsidR="003B4FC1" w:rsidRPr="00A758D9">
        <w:rPr>
          <w:rFonts w:eastAsia="Calibri"/>
          <w:i/>
          <w:color w:val="000000" w:themeColor="text1"/>
          <w:sz w:val="24"/>
          <w:szCs w:val="24"/>
        </w:rPr>
        <w:t>Tarptautinius banko sąskaitos aptarnavimo ir naujų sąskaitų atidarymo bei jų aptarnavimo paslaugų</w:t>
      </w:r>
      <w:bookmarkEnd w:id="3"/>
      <w:r w:rsidR="003B4FC1" w:rsidRPr="00A758D9">
        <w:rPr>
          <w:rFonts w:eastAsia="Calibri"/>
          <w:i/>
          <w:color w:val="000000" w:themeColor="text1"/>
          <w:sz w:val="24"/>
          <w:szCs w:val="24"/>
        </w:rPr>
        <w:t xml:space="preserve"> </w:t>
      </w:r>
      <w:r w:rsidR="003B4FC1" w:rsidRPr="00A758D9">
        <w:rPr>
          <w:rFonts w:eastAsia="Calibri"/>
          <w:iCs/>
          <w:color w:val="000000" w:themeColor="text1"/>
          <w:sz w:val="24"/>
          <w:szCs w:val="24"/>
        </w:rPr>
        <w:t>pirkimus (toliau – Pirkimai) vykdyti neskelbiamų derybų būdu, vadovaujantis Įstatymo</w:t>
      </w:r>
      <w:r w:rsidR="00655BBA" w:rsidRPr="00A758D9">
        <w:rPr>
          <w:rFonts w:eastAsia="Calibri"/>
          <w:iCs/>
          <w:color w:val="000000" w:themeColor="text1"/>
          <w:sz w:val="24"/>
          <w:szCs w:val="24"/>
        </w:rPr>
        <w:t xml:space="preserve"> </w:t>
      </w:r>
      <w:r w:rsidR="003B4FC1" w:rsidRPr="00A758D9">
        <w:rPr>
          <w:rFonts w:eastAsia="Calibri"/>
          <w:iCs/>
          <w:color w:val="000000" w:themeColor="text1"/>
          <w:sz w:val="24"/>
          <w:szCs w:val="24"/>
        </w:rPr>
        <w:t xml:space="preserve">71 straipsnio 1 dalies 2 punkto </w:t>
      </w:r>
      <w:r w:rsidR="003148D1" w:rsidRPr="00A758D9">
        <w:rPr>
          <w:rFonts w:eastAsia="Calibri"/>
          <w:iCs/>
          <w:color w:val="000000" w:themeColor="text1"/>
          <w:sz w:val="24"/>
          <w:szCs w:val="24"/>
        </w:rPr>
        <w:t>(</w:t>
      </w:r>
      <w:r w:rsidR="003B4FC1" w:rsidRPr="00A758D9">
        <w:rPr>
          <w:rFonts w:eastAsia="Calibri"/>
          <w:iCs/>
          <w:color w:val="000000" w:themeColor="text1"/>
          <w:sz w:val="24"/>
          <w:szCs w:val="24"/>
        </w:rPr>
        <w:t>b</w:t>
      </w:r>
      <w:r w:rsidR="003148D1" w:rsidRPr="00A758D9">
        <w:rPr>
          <w:rFonts w:eastAsia="Calibri"/>
          <w:iCs/>
          <w:color w:val="000000" w:themeColor="text1"/>
          <w:sz w:val="24"/>
          <w:szCs w:val="24"/>
        </w:rPr>
        <w:t>)</w:t>
      </w:r>
      <w:r w:rsidR="003B4FC1" w:rsidRPr="00A758D9">
        <w:rPr>
          <w:rFonts w:eastAsia="Calibri"/>
          <w:iCs/>
          <w:color w:val="000000" w:themeColor="text1"/>
          <w:sz w:val="24"/>
          <w:szCs w:val="24"/>
        </w:rPr>
        <w:t xml:space="preserve"> papunkčio nuostatomis paslaugas perkant iš konkrečių tiekėjų</w:t>
      </w:r>
      <w:r w:rsidR="00F06054" w:rsidRPr="00A758D9">
        <w:rPr>
          <w:rFonts w:eastAsia="Calibri"/>
          <w:iCs/>
          <w:color w:val="000000" w:themeColor="text1"/>
          <w:sz w:val="24"/>
          <w:szCs w:val="24"/>
        </w:rPr>
        <w:t xml:space="preserve"> (toliau – Tiekėjai)</w:t>
      </w:r>
      <w:r w:rsidR="00CE4629" w:rsidRPr="00A758D9">
        <w:rPr>
          <w:rFonts w:eastAsia="Calibri"/>
          <w:iCs/>
          <w:color w:val="000000" w:themeColor="text1"/>
          <w:sz w:val="24"/>
          <w:szCs w:val="24"/>
        </w:rPr>
        <w:t xml:space="preserve">, t. y. į derybas kviečiant </w:t>
      </w:r>
      <w:r w:rsidR="003B4FC1" w:rsidRPr="00A758D9">
        <w:rPr>
          <w:rFonts w:eastAsia="Calibri"/>
          <w:iCs/>
          <w:color w:val="000000" w:themeColor="text1"/>
          <w:sz w:val="24"/>
          <w:szCs w:val="24"/>
        </w:rPr>
        <w:t>AB „SEB Bankas“, AB „Swedbank“</w:t>
      </w:r>
      <w:r w:rsidR="00F06054" w:rsidRPr="00A758D9">
        <w:rPr>
          <w:rFonts w:eastAsia="Calibri"/>
          <w:iCs/>
          <w:color w:val="000000" w:themeColor="text1"/>
          <w:sz w:val="24"/>
          <w:szCs w:val="24"/>
        </w:rPr>
        <w:t xml:space="preserve"> </w:t>
      </w:r>
      <w:r w:rsidR="003B4FC1" w:rsidRPr="00A758D9">
        <w:rPr>
          <w:rFonts w:eastAsia="Calibri"/>
          <w:iCs/>
          <w:color w:val="000000" w:themeColor="text1"/>
          <w:sz w:val="24"/>
          <w:szCs w:val="24"/>
        </w:rPr>
        <w:t xml:space="preserve">ir </w:t>
      </w:r>
      <w:bookmarkStart w:id="4" w:name="_Hlk62461314"/>
      <w:r w:rsidR="003B4FC1" w:rsidRPr="00A758D9">
        <w:rPr>
          <w:rFonts w:eastAsia="Calibri"/>
          <w:iCs/>
          <w:color w:val="000000" w:themeColor="text1"/>
          <w:sz w:val="24"/>
          <w:szCs w:val="24"/>
        </w:rPr>
        <w:t>Luminor Bank AS Lietuv</w:t>
      </w:r>
      <w:bookmarkEnd w:id="4"/>
      <w:r w:rsidR="003B4FC1" w:rsidRPr="00A758D9">
        <w:rPr>
          <w:rFonts w:eastAsia="Calibri"/>
          <w:iCs/>
          <w:color w:val="000000" w:themeColor="text1"/>
          <w:sz w:val="24"/>
          <w:szCs w:val="24"/>
        </w:rPr>
        <w:t>os skyri</w:t>
      </w:r>
      <w:r w:rsidR="00FE2FC8" w:rsidRPr="00A758D9">
        <w:rPr>
          <w:rFonts w:eastAsia="Calibri"/>
          <w:iCs/>
          <w:color w:val="000000" w:themeColor="text1"/>
          <w:sz w:val="24"/>
          <w:szCs w:val="24"/>
        </w:rPr>
        <w:t>ų</w:t>
      </w:r>
      <w:r w:rsidR="003B4FC1" w:rsidRPr="00A758D9">
        <w:rPr>
          <w:rFonts w:eastAsia="Calibri"/>
          <w:iCs/>
          <w:color w:val="000000" w:themeColor="text1"/>
          <w:sz w:val="24"/>
          <w:szCs w:val="24"/>
        </w:rPr>
        <w:t xml:space="preserve">. </w:t>
      </w:r>
    </w:p>
    <w:p w14:paraId="295D49F5" w14:textId="4D469DF9" w:rsidR="00541D7E" w:rsidRPr="00A758D9" w:rsidRDefault="004974C3" w:rsidP="00F06054">
      <w:pPr>
        <w:tabs>
          <w:tab w:val="center" w:pos="3693"/>
          <w:tab w:val="right" w:pos="7386"/>
        </w:tabs>
        <w:ind w:firstLine="680"/>
        <w:jc w:val="both"/>
        <w:rPr>
          <w:color w:val="000000" w:themeColor="text1"/>
          <w:sz w:val="24"/>
          <w:szCs w:val="24"/>
        </w:rPr>
      </w:pPr>
      <w:r w:rsidRPr="00A758D9">
        <w:rPr>
          <w:rFonts w:eastAsia="Calibri"/>
          <w:color w:val="000000" w:themeColor="text1"/>
          <w:sz w:val="24"/>
          <w:szCs w:val="24"/>
        </w:rPr>
        <w:t>Pateiktuose p</w:t>
      </w:r>
      <w:r w:rsidR="00C52655" w:rsidRPr="00A758D9">
        <w:rPr>
          <w:rFonts w:eastAsia="Calibri"/>
          <w:color w:val="000000" w:themeColor="text1"/>
          <w:sz w:val="24"/>
          <w:szCs w:val="24"/>
        </w:rPr>
        <w:t>rašym</w:t>
      </w:r>
      <w:r w:rsidRPr="00A758D9">
        <w:rPr>
          <w:rFonts w:eastAsia="Calibri"/>
          <w:color w:val="000000" w:themeColor="text1"/>
          <w:sz w:val="24"/>
          <w:szCs w:val="24"/>
        </w:rPr>
        <w:t>uose</w:t>
      </w:r>
      <w:r w:rsidR="00C52655" w:rsidRPr="00A758D9">
        <w:rPr>
          <w:rFonts w:eastAsia="Calibri"/>
          <w:color w:val="000000" w:themeColor="text1"/>
          <w:sz w:val="24"/>
          <w:szCs w:val="24"/>
        </w:rPr>
        <w:t xml:space="preserve"> nurodoma, kad</w:t>
      </w:r>
      <w:r w:rsidR="00D1280A" w:rsidRPr="00A758D9">
        <w:rPr>
          <w:rFonts w:eastAsia="Calibri"/>
          <w:color w:val="000000" w:themeColor="text1"/>
          <w:sz w:val="24"/>
          <w:szCs w:val="24"/>
        </w:rPr>
        <w:t xml:space="preserve"> </w:t>
      </w:r>
      <w:r w:rsidR="00CE4629" w:rsidRPr="00A758D9">
        <w:rPr>
          <w:rFonts w:eastAsia="Calibri"/>
          <w:color w:val="000000" w:themeColor="text1"/>
          <w:sz w:val="24"/>
          <w:szCs w:val="24"/>
        </w:rPr>
        <w:t>Bendrovė yra AB „Ignitis grupė“ įmonių grupės (toliau – Ignitis grupė) patronuojanti įmonė, kuri yra atsakinga už skaidrų Ignitis grupės veiklos valdymą ir koordinavimą, efektyvumą, siekiant teikti konkurencingas paslaugas klientams</w:t>
      </w:r>
      <w:r w:rsidR="00655BBA" w:rsidRPr="00A758D9">
        <w:rPr>
          <w:rFonts w:eastAsia="Calibri"/>
          <w:color w:val="000000" w:themeColor="text1"/>
          <w:sz w:val="24"/>
          <w:szCs w:val="24"/>
        </w:rPr>
        <w:t xml:space="preserve"> </w:t>
      </w:r>
      <w:r w:rsidR="00CE4629" w:rsidRPr="00A758D9">
        <w:rPr>
          <w:rFonts w:eastAsia="Calibri"/>
          <w:color w:val="000000" w:themeColor="text1"/>
          <w:sz w:val="24"/>
          <w:szCs w:val="24"/>
        </w:rPr>
        <w:t>ir socialiai atsakingą ilgalaikės vertės akcininkams didinimą. Bendrovė analizuoja grupės veiklą, reprezentuoja grupę, įgyvendina akcininko teises ir pareigas, nustato veiklos gaires ir taisykles bei koordinuoja veiklą gamybos, komercijos, finansų, teisės, strategijos ir plėtros, žmogiškųjų išteklių, rizikos valdymo, audito, technologijų, komunikacijos ir kitose srityse.</w:t>
      </w:r>
      <w:r w:rsidR="001D1168" w:rsidRPr="00A758D9">
        <w:rPr>
          <w:rFonts w:eastAsia="Calibri"/>
          <w:color w:val="000000" w:themeColor="text1"/>
          <w:sz w:val="24"/>
          <w:szCs w:val="24"/>
        </w:rPr>
        <w:t xml:space="preserve"> Bendrovės </w:t>
      </w:r>
      <w:r w:rsidR="00D1280A" w:rsidRPr="00A758D9">
        <w:rPr>
          <w:rFonts w:eastAsia="Calibri"/>
          <w:color w:val="000000" w:themeColor="text1"/>
          <w:sz w:val="24"/>
          <w:szCs w:val="24"/>
        </w:rPr>
        <w:t>patvirtintoje</w:t>
      </w:r>
      <w:r w:rsidR="00F06054" w:rsidRPr="00A758D9">
        <w:rPr>
          <w:rFonts w:eastAsia="Calibri"/>
          <w:color w:val="000000" w:themeColor="text1"/>
          <w:sz w:val="24"/>
          <w:szCs w:val="24"/>
        </w:rPr>
        <w:t xml:space="preserve"> </w:t>
      </w:r>
      <w:r w:rsidR="00D1280A" w:rsidRPr="00A758D9">
        <w:rPr>
          <w:rFonts w:eastAsia="Calibri"/>
          <w:color w:val="000000" w:themeColor="text1"/>
          <w:sz w:val="24"/>
          <w:szCs w:val="24"/>
        </w:rPr>
        <w:t>Ignitis grupės iždo valdymo politikoje</w:t>
      </w:r>
      <w:r w:rsidR="005F2825" w:rsidRPr="00A758D9">
        <w:rPr>
          <w:rFonts w:eastAsia="Calibri"/>
          <w:color w:val="000000" w:themeColor="text1"/>
          <w:sz w:val="24"/>
          <w:szCs w:val="24"/>
        </w:rPr>
        <w:t xml:space="preserve"> (toliau – Iždo valdymo politika)</w:t>
      </w:r>
      <w:r w:rsidR="003148D1" w:rsidRPr="00A758D9">
        <w:rPr>
          <w:rStyle w:val="FootnoteReference"/>
          <w:rFonts w:eastAsia="Calibri"/>
          <w:color w:val="000000" w:themeColor="text1"/>
          <w:sz w:val="24"/>
          <w:szCs w:val="24"/>
        </w:rPr>
        <w:t xml:space="preserve"> </w:t>
      </w:r>
      <w:r w:rsidR="003148D1" w:rsidRPr="00A758D9">
        <w:rPr>
          <w:rStyle w:val="FootnoteReference"/>
          <w:rFonts w:eastAsia="Calibri"/>
          <w:color w:val="000000" w:themeColor="text1"/>
          <w:sz w:val="24"/>
          <w:szCs w:val="24"/>
        </w:rPr>
        <w:footnoteReference w:id="2"/>
      </w:r>
      <w:r w:rsidR="00D1280A" w:rsidRPr="00A758D9">
        <w:rPr>
          <w:rFonts w:eastAsia="Calibri"/>
          <w:color w:val="000000" w:themeColor="text1"/>
          <w:sz w:val="24"/>
          <w:szCs w:val="24"/>
        </w:rPr>
        <w:t xml:space="preserve"> nu</w:t>
      </w:r>
      <w:r w:rsidR="001D1168" w:rsidRPr="00A758D9">
        <w:rPr>
          <w:rFonts w:eastAsia="Calibri"/>
          <w:color w:val="000000" w:themeColor="text1"/>
          <w:sz w:val="24"/>
          <w:szCs w:val="24"/>
        </w:rPr>
        <w:t>statyta</w:t>
      </w:r>
      <w:r w:rsidR="00D1280A" w:rsidRPr="00A758D9">
        <w:rPr>
          <w:rFonts w:eastAsia="Calibri"/>
          <w:color w:val="000000" w:themeColor="text1"/>
          <w:sz w:val="24"/>
          <w:szCs w:val="24"/>
        </w:rPr>
        <w:t xml:space="preserve">, kad Ignitis grupės įmonės turi siekti, jog: </w:t>
      </w:r>
      <w:r w:rsidR="00D1280A" w:rsidRPr="00A758D9">
        <w:rPr>
          <w:rFonts w:eastAsia="Calibri"/>
          <w:i/>
          <w:iCs/>
          <w:color w:val="000000" w:themeColor="text1"/>
          <w:sz w:val="24"/>
          <w:szCs w:val="24"/>
        </w:rPr>
        <w:t>„</w:t>
      </w:r>
      <w:r w:rsidR="00F06054" w:rsidRPr="00A758D9">
        <w:rPr>
          <w:rFonts w:eastAsia="Calibri"/>
          <w:i/>
          <w:iCs/>
          <w:color w:val="000000" w:themeColor="text1"/>
          <w:sz w:val="24"/>
          <w:szCs w:val="24"/>
        </w:rPr>
        <w:t xml:space="preserve">&lt;...&gt; </w:t>
      </w:r>
      <w:r w:rsidR="00D1280A" w:rsidRPr="00A758D9">
        <w:rPr>
          <w:rFonts w:eastAsia="Calibri"/>
          <w:i/>
          <w:iCs/>
          <w:color w:val="000000" w:themeColor="text1"/>
          <w:sz w:val="24"/>
          <w:szCs w:val="24"/>
        </w:rPr>
        <w:t xml:space="preserve">Sandorio šalies kredito rizika būtų valdoma sudarant sandorius </w:t>
      </w:r>
      <w:r w:rsidR="00D1280A" w:rsidRPr="00A758D9">
        <w:rPr>
          <w:rFonts w:eastAsia="Calibri"/>
          <w:i/>
          <w:iCs/>
          <w:color w:val="000000" w:themeColor="text1"/>
          <w:sz w:val="24"/>
          <w:szCs w:val="24"/>
          <w:u w:val="single"/>
        </w:rPr>
        <w:t xml:space="preserve">tik su patikimomis finansinėmis institucijomis, </w:t>
      </w:r>
      <w:bookmarkStart w:id="5" w:name="_Hlk62467664"/>
      <w:r w:rsidR="00D1280A" w:rsidRPr="00A758D9">
        <w:rPr>
          <w:rFonts w:eastAsia="Calibri"/>
          <w:i/>
          <w:iCs/>
          <w:color w:val="000000" w:themeColor="text1"/>
          <w:sz w:val="24"/>
          <w:szCs w:val="24"/>
          <w:u w:val="single"/>
        </w:rPr>
        <w:t>kurių kredito reitingas ne mažesnis nei A- pagal Fitch Ratings agentūrą</w:t>
      </w:r>
      <w:r w:rsidR="00D1280A" w:rsidRPr="00A758D9">
        <w:rPr>
          <w:rFonts w:eastAsia="Calibri"/>
          <w:i/>
          <w:iCs/>
          <w:color w:val="000000" w:themeColor="text1"/>
          <w:sz w:val="24"/>
          <w:szCs w:val="24"/>
        </w:rPr>
        <w:t xml:space="preserve"> </w:t>
      </w:r>
      <w:bookmarkEnd w:id="5"/>
      <w:r w:rsidR="00D1280A" w:rsidRPr="00A758D9">
        <w:rPr>
          <w:rFonts w:eastAsia="Calibri"/>
          <w:i/>
          <w:iCs/>
          <w:color w:val="000000" w:themeColor="text1"/>
          <w:sz w:val="24"/>
          <w:szCs w:val="24"/>
        </w:rPr>
        <w:t xml:space="preserve">(arba kitų tarptautinių reitingo agentūrų atitikmenį); (2). Ne didesnė nei ½ dalis turimų piniginių lėšų būtų laikoma vienos finansinės institucijos sąskaitose“. </w:t>
      </w:r>
      <w:r w:rsidR="00A95324" w:rsidRPr="00A758D9">
        <w:rPr>
          <w:rFonts w:eastAsia="Calibri"/>
          <w:color w:val="000000" w:themeColor="text1"/>
          <w:sz w:val="24"/>
          <w:szCs w:val="24"/>
        </w:rPr>
        <w:t>P</w:t>
      </w:r>
      <w:r w:rsidR="001D1168" w:rsidRPr="00A758D9">
        <w:rPr>
          <w:rFonts w:eastAsia="Calibri"/>
          <w:color w:val="000000" w:themeColor="text1"/>
          <w:sz w:val="24"/>
          <w:szCs w:val="24"/>
        </w:rPr>
        <w:t>apildomai pateiktoje informacijoje Perkančioji organizacija</w:t>
      </w:r>
      <w:r w:rsidR="00A95324" w:rsidRPr="00A758D9">
        <w:rPr>
          <w:rFonts w:eastAsia="Calibri"/>
          <w:color w:val="000000" w:themeColor="text1"/>
          <w:sz w:val="24"/>
          <w:szCs w:val="24"/>
        </w:rPr>
        <w:t xml:space="preserve"> nurodo</w:t>
      </w:r>
      <w:r w:rsidR="00A95324" w:rsidRPr="00A758D9">
        <w:rPr>
          <w:rStyle w:val="FootnoteReference"/>
          <w:rFonts w:eastAsia="Calibri"/>
          <w:color w:val="000000" w:themeColor="text1"/>
          <w:sz w:val="24"/>
          <w:szCs w:val="24"/>
        </w:rPr>
        <w:footnoteReference w:id="3"/>
      </w:r>
      <w:r w:rsidR="00A95324" w:rsidRPr="00A758D9">
        <w:rPr>
          <w:rFonts w:eastAsia="Calibri"/>
          <w:color w:val="000000" w:themeColor="text1"/>
          <w:sz w:val="24"/>
          <w:szCs w:val="24"/>
        </w:rPr>
        <w:t xml:space="preserve">, kad </w:t>
      </w:r>
      <w:r w:rsidR="00A95324" w:rsidRPr="00A758D9">
        <w:rPr>
          <w:rFonts w:eastAsia="Calibri"/>
          <w:i/>
          <w:iCs/>
          <w:color w:val="000000" w:themeColor="text1"/>
          <w:sz w:val="24"/>
          <w:szCs w:val="24"/>
        </w:rPr>
        <w:t>„</w:t>
      </w:r>
      <w:r w:rsidR="00A95324" w:rsidRPr="00A758D9">
        <w:rPr>
          <w:i/>
          <w:iCs/>
          <w:color w:val="000000" w:themeColor="text1"/>
          <w:sz w:val="24"/>
          <w:szCs w:val="24"/>
        </w:rPr>
        <w:t xml:space="preserve">Politikoje </w:t>
      </w:r>
      <w:r w:rsidR="00A95324" w:rsidRPr="00A758D9">
        <w:rPr>
          <w:i/>
          <w:iCs/>
          <w:color w:val="000000" w:themeColor="text1"/>
          <w:sz w:val="24"/>
          <w:szCs w:val="24"/>
          <w:u w:val="single"/>
        </w:rPr>
        <w:t xml:space="preserve">numatoma galimybė sudaryti sandorius su finansinėmis institucijomis, kai </w:t>
      </w:r>
      <w:bookmarkStart w:id="6" w:name="_Hlk62472801"/>
      <w:r w:rsidR="00A95324" w:rsidRPr="00A758D9">
        <w:rPr>
          <w:i/>
          <w:iCs/>
          <w:color w:val="000000" w:themeColor="text1"/>
          <w:sz w:val="24"/>
          <w:szCs w:val="24"/>
          <w:u w:val="single"/>
        </w:rPr>
        <w:t xml:space="preserve">sandorio </w:t>
      </w:r>
      <w:bookmarkStart w:id="7" w:name="_Hlk62472910"/>
      <w:r w:rsidR="00A95324" w:rsidRPr="00A758D9">
        <w:rPr>
          <w:i/>
          <w:iCs/>
          <w:color w:val="000000" w:themeColor="text1"/>
          <w:sz w:val="24"/>
          <w:szCs w:val="24"/>
          <w:u w:val="single"/>
        </w:rPr>
        <w:t>šalies kredito rizikos reitingas yra mažesnis nei A-, bet ne žemesnis nei BBB-</w:t>
      </w:r>
      <w:bookmarkEnd w:id="6"/>
      <w:r w:rsidR="00A95324" w:rsidRPr="00A758D9">
        <w:rPr>
          <w:i/>
          <w:iCs/>
          <w:color w:val="000000" w:themeColor="text1"/>
          <w:sz w:val="24"/>
          <w:szCs w:val="24"/>
          <w:u w:val="single"/>
        </w:rPr>
        <w:t>,</w:t>
      </w:r>
      <w:bookmarkEnd w:id="7"/>
      <w:r w:rsidR="00A95324" w:rsidRPr="00A758D9">
        <w:rPr>
          <w:i/>
          <w:iCs/>
          <w:color w:val="000000" w:themeColor="text1"/>
          <w:sz w:val="24"/>
          <w:szCs w:val="24"/>
          <w:u w:val="single"/>
        </w:rPr>
        <w:t xml:space="preserve"> tačiau tokių s</w:t>
      </w:r>
      <w:bookmarkStart w:id="8" w:name="_Hlk62473205"/>
      <w:r w:rsidR="00A95324" w:rsidRPr="00A758D9">
        <w:rPr>
          <w:i/>
          <w:iCs/>
          <w:color w:val="000000" w:themeColor="text1"/>
          <w:sz w:val="24"/>
          <w:szCs w:val="24"/>
          <w:u w:val="single"/>
        </w:rPr>
        <w:t>andorių bendra suma einamuoju laikotarpiu negali viršyti maksimalaus limito, patvirtinto Finansinių rizikų politikoje nustatyta tvarka</w:t>
      </w:r>
      <w:bookmarkEnd w:id="8"/>
      <w:r w:rsidR="00B22970" w:rsidRPr="00A758D9">
        <w:rPr>
          <w:i/>
          <w:iCs/>
          <w:color w:val="000000" w:themeColor="text1"/>
          <w:sz w:val="24"/>
          <w:szCs w:val="24"/>
        </w:rPr>
        <w:t>“</w:t>
      </w:r>
      <w:r w:rsidR="00926C48" w:rsidRPr="00A758D9">
        <w:rPr>
          <w:i/>
          <w:iCs/>
          <w:color w:val="000000" w:themeColor="text1"/>
          <w:sz w:val="24"/>
          <w:szCs w:val="24"/>
        </w:rPr>
        <w:t xml:space="preserve">. </w:t>
      </w:r>
      <w:r w:rsidR="003148D1" w:rsidRPr="00A758D9">
        <w:rPr>
          <w:color w:val="000000" w:themeColor="text1"/>
          <w:sz w:val="24"/>
          <w:szCs w:val="24"/>
        </w:rPr>
        <w:t xml:space="preserve">Vadovaujantis </w:t>
      </w:r>
      <w:r w:rsidR="005F2825" w:rsidRPr="00A758D9">
        <w:rPr>
          <w:color w:val="000000" w:themeColor="text1"/>
          <w:sz w:val="24"/>
          <w:szCs w:val="24"/>
        </w:rPr>
        <w:t>I</w:t>
      </w:r>
      <w:r w:rsidR="00A95324" w:rsidRPr="00A758D9">
        <w:rPr>
          <w:color w:val="000000" w:themeColor="text1"/>
          <w:sz w:val="24"/>
          <w:szCs w:val="24"/>
        </w:rPr>
        <w:t>ždo valdymo politik</w:t>
      </w:r>
      <w:r w:rsidR="003148D1" w:rsidRPr="00A758D9">
        <w:rPr>
          <w:color w:val="000000" w:themeColor="text1"/>
          <w:sz w:val="24"/>
          <w:szCs w:val="24"/>
        </w:rPr>
        <w:t>a</w:t>
      </w:r>
      <w:r w:rsidR="00A95324" w:rsidRPr="00A758D9">
        <w:rPr>
          <w:color w:val="000000" w:themeColor="text1"/>
          <w:sz w:val="24"/>
          <w:szCs w:val="24"/>
        </w:rPr>
        <w:t xml:space="preserve"> Ignitis g</w:t>
      </w:r>
      <w:r w:rsidR="005F2825" w:rsidRPr="00A758D9">
        <w:rPr>
          <w:color w:val="000000" w:themeColor="text1"/>
          <w:sz w:val="24"/>
          <w:szCs w:val="24"/>
        </w:rPr>
        <w:t>r</w:t>
      </w:r>
      <w:r w:rsidR="00A95324" w:rsidRPr="00A758D9">
        <w:rPr>
          <w:color w:val="000000" w:themeColor="text1"/>
          <w:sz w:val="24"/>
          <w:szCs w:val="24"/>
        </w:rPr>
        <w:t>upės įmonės renkasi mažiau rizikingas įstaigas, nes sąskaitose iš dalies disponuojami mokesčių mokėtojų pinigai.</w:t>
      </w:r>
      <w:r w:rsidR="00B22970" w:rsidRPr="00A758D9">
        <w:rPr>
          <w:color w:val="000000" w:themeColor="text1"/>
          <w:sz w:val="24"/>
          <w:szCs w:val="24"/>
        </w:rPr>
        <w:t xml:space="preserve"> </w:t>
      </w:r>
      <w:r w:rsidR="001D1168" w:rsidRPr="00A758D9">
        <w:rPr>
          <w:color w:val="000000" w:themeColor="text1"/>
          <w:sz w:val="24"/>
          <w:szCs w:val="24"/>
        </w:rPr>
        <w:t xml:space="preserve">Iš </w:t>
      </w:r>
      <w:r w:rsidR="00541D7E" w:rsidRPr="00A758D9">
        <w:rPr>
          <w:rFonts w:eastAsia="Calibri"/>
          <w:color w:val="000000" w:themeColor="text1"/>
          <w:sz w:val="24"/>
          <w:szCs w:val="24"/>
        </w:rPr>
        <w:t xml:space="preserve">Perkančiosios organizacijos </w:t>
      </w:r>
      <w:r w:rsidR="00F06054" w:rsidRPr="00A758D9">
        <w:rPr>
          <w:rFonts w:eastAsia="Calibri"/>
          <w:color w:val="000000" w:themeColor="text1"/>
          <w:sz w:val="24"/>
          <w:szCs w:val="24"/>
        </w:rPr>
        <w:t>pateikt</w:t>
      </w:r>
      <w:r w:rsidR="001D1168" w:rsidRPr="00A758D9">
        <w:rPr>
          <w:rFonts w:eastAsia="Calibri"/>
          <w:color w:val="000000" w:themeColor="text1"/>
          <w:sz w:val="24"/>
          <w:szCs w:val="24"/>
        </w:rPr>
        <w:t>ų dokumentų</w:t>
      </w:r>
      <w:r w:rsidR="00CE6183" w:rsidRPr="00A758D9">
        <w:rPr>
          <w:rFonts w:eastAsia="Calibri"/>
          <w:color w:val="000000" w:themeColor="text1"/>
          <w:sz w:val="24"/>
          <w:szCs w:val="24"/>
        </w:rPr>
        <w:t xml:space="preserve">, </w:t>
      </w:r>
      <w:r w:rsidR="00CE6183" w:rsidRPr="00A758D9">
        <w:rPr>
          <w:rFonts w:eastAsia="Calibri"/>
          <w:color w:val="000000" w:themeColor="text1"/>
          <w:sz w:val="24"/>
          <w:szCs w:val="24"/>
        </w:rPr>
        <w:lastRenderedPageBreak/>
        <w:t>nustatyta</w:t>
      </w:r>
      <w:r w:rsidR="001D1168" w:rsidRPr="00A758D9">
        <w:rPr>
          <w:rFonts w:eastAsia="Calibri"/>
          <w:color w:val="000000" w:themeColor="text1"/>
          <w:sz w:val="24"/>
          <w:szCs w:val="24"/>
        </w:rPr>
        <w:t xml:space="preserve">, kad </w:t>
      </w:r>
      <w:r w:rsidR="00541D7E" w:rsidRPr="00A758D9">
        <w:rPr>
          <w:rFonts w:eastAsia="Calibri"/>
          <w:color w:val="000000" w:themeColor="text1"/>
          <w:sz w:val="24"/>
          <w:szCs w:val="24"/>
        </w:rPr>
        <w:t xml:space="preserve">A- ir aukštesnį reitingą turi </w:t>
      </w:r>
      <w:r w:rsidR="001D1168" w:rsidRPr="00A758D9">
        <w:rPr>
          <w:rFonts w:eastAsia="Calibri"/>
          <w:color w:val="000000" w:themeColor="text1"/>
          <w:sz w:val="24"/>
          <w:szCs w:val="24"/>
        </w:rPr>
        <w:t>šie</w:t>
      </w:r>
      <w:r w:rsidR="00926C48" w:rsidRPr="00A758D9">
        <w:rPr>
          <w:rFonts w:eastAsia="Calibri"/>
          <w:color w:val="000000" w:themeColor="text1"/>
          <w:sz w:val="24"/>
          <w:szCs w:val="24"/>
        </w:rPr>
        <w:t xml:space="preserve"> Lietuvoje veikiantys</w:t>
      </w:r>
      <w:r w:rsidR="001D1168" w:rsidRPr="00A758D9">
        <w:rPr>
          <w:rFonts w:eastAsia="Calibri"/>
          <w:color w:val="000000" w:themeColor="text1"/>
          <w:sz w:val="24"/>
          <w:szCs w:val="24"/>
        </w:rPr>
        <w:t xml:space="preserve"> bankai: AB „</w:t>
      </w:r>
      <w:r w:rsidR="00541D7E" w:rsidRPr="00A758D9">
        <w:rPr>
          <w:rFonts w:eastAsia="Calibri"/>
          <w:color w:val="000000" w:themeColor="text1"/>
          <w:sz w:val="24"/>
          <w:szCs w:val="24"/>
        </w:rPr>
        <w:t xml:space="preserve">SEB </w:t>
      </w:r>
      <w:r w:rsidR="001D1168" w:rsidRPr="00A758D9">
        <w:rPr>
          <w:rFonts w:eastAsia="Calibri"/>
          <w:color w:val="000000" w:themeColor="text1"/>
          <w:sz w:val="24"/>
          <w:szCs w:val="24"/>
        </w:rPr>
        <w:t xml:space="preserve">Bankas“ </w:t>
      </w:r>
      <w:r w:rsidR="00541D7E" w:rsidRPr="00A758D9">
        <w:rPr>
          <w:rFonts w:eastAsia="Calibri"/>
          <w:color w:val="000000" w:themeColor="text1"/>
          <w:sz w:val="24"/>
          <w:szCs w:val="24"/>
        </w:rPr>
        <w:t>(AA- pagal Fitch metodiką</w:t>
      </w:r>
      <w:r w:rsidR="00541D7E" w:rsidRPr="00A758D9">
        <w:rPr>
          <w:rStyle w:val="FootnoteReference"/>
          <w:rFonts w:eastAsia="Calibri"/>
          <w:color w:val="000000" w:themeColor="text1"/>
          <w:sz w:val="24"/>
          <w:szCs w:val="24"/>
        </w:rPr>
        <w:footnoteReference w:id="4"/>
      </w:r>
      <w:r w:rsidR="00541D7E" w:rsidRPr="00A758D9">
        <w:rPr>
          <w:rFonts w:eastAsia="Calibri"/>
          <w:color w:val="000000" w:themeColor="text1"/>
          <w:sz w:val="24"/>
          <w:szCs w:val="24"/>
        </w:rPr>
        <w:t xml:space="preserve">), </w:t>
      </w:r>
      <w:r w:rsidR="001D1168" w:rsidRPr="00A758D9">
        <w:rPr>
          <w:rFonts w:eastAsia="Calibri"/>
          <w:color w:val="000000" w:themeColor="text1"/>
          <w:sz w:val="24"/>
          <w:szCs w:val="24"/>
        </w:rPr>
        <w:t xml:space="preserve">AB </w:t>
      </w:r>
      <w:r w:rsidR="00541D7E" w:rsidRPr="00A758D9">
        <w:rPr>
          <w:rFonts w:eastAsia="Calibri"/>
          <w:color w:val="000000" w:themeColor="text1"/>
          <w:sz w:val="24"/>
          <w:szCs w:val="24"/>
        </w:rPr>
        <w:t>„Swedbank“ (A+ pagal Fitch metodiką</w:t>
      </w:r>
      <w:r w:rsidR="00541D7E" w:rsidRPr="00A758D9">
        <w:rPr>
          <w:rStyle w:val="FootnoteReference"/>
          <w:rFonts w:eastAsia="Calibri"/>
          <w:color w:val="000000" w:themeColor="text1"/>
          <w:sz w:val="24"/>
          <w:szCs w:val="24"/>
        </w:rPr>
        <w:footnoteReference w:id="5"/>
      </w:r>
      <w:r w:rsidR="00541D7E" w:rsidRPr="00A758D9">
        <w:rPr>
          <w:rFonts w:eastAsia="Calibri"/>
          <w:color w:val="000000" w:themeColor="text1"/>
          <w:sz w:val="24"/>
          <w:szCs w:val="24"/>
        </w:rPr>
        <w:t>) ir OP banka</w:t>
      </w:r>
      <w:r w:rsidR="001D1168" w:rsidRPr="00A758D9">
        <w:rPr>
          <w:rFonts w:eastAsia="Calibri"/>
          <w:color w:val="000000" w:themeColor="text1"/>
          <w:sz w:val="24"/>
          <w:szCs w:val="24"/>
        </w:rPr>
        <w:t>s</w:t>
      </w:r>
      <w:r w:rsidR="00541D7E" w:rsidRPr="00A758D9">
        <w:rPr>
          <w:rFonts w:eastAsia="Calibri"/>
          <w:color w:val="000000" w:themeColor="text1"/>
          <w:sz w:val="24"/>
          <w:szCs w:val="24"/>
        </w:rPr>
        <w:t xml:space="preserve"> (AA- pagal Standart Poor‘s (Fitch atitikmuo</w:t>
      </w:r>
      <w:r w:rsidR="00541D7E" w:rsidRPr="00A758D9">
        <w:rPr>
          <w:rStyle w:val="FootnoteReference"/>
          <w:rFonts w:eastAsia="Calibri"/>
          <w:color w:val="000000" w:themeColor="text1"/>
          <w:sz w:val="24"/>
          <w:szCs w:val="24"/>
        </w:rPr>
        <w:footnoteReference w:id="6"/>
      </w:r>
      <w:r w:rsidR="00541D7E" w:rsidRPr="00A758D9">
        <w:rPr>
          <w:rFonts w:eastAsia="Calibri"/>
          <w:color w:val="000000" w:themeColor="text1"/>
          <w:sz w:val="24"/>
          <w:szCs w:val="24"/>
        </w:rPr>
        <w:t xml:space="preserve">). </w:t>
      </w:r>
      <w:r w:rsidR="00CE6183" w:rsidRPr="00A758D9">
        <w:rPr>
          <w:rFonts w:eastAsia="Calibri"/>
          <w:color w:val="000000" w:themeColor="text1"/>
          <w:sz w:val="24"/>
          <w:szCs w:val="24"/>
        </w:rPr>
        <w:t xml:space="preserve">Pažymėtina, kad </w:t>
      </w:r>
      <w:r w:rsidR="00541D7E" w:rsidRPr="00A758D9">
        <w:rPr>
          <w:rFonts w:eastAsia="Calibri"/>
          <w:color w:val="000000" w:themeColor="text1"/>
          <w:sz w:val="24"/>
          <w:szCs w:val="24"/>
        </w:rPr>
        <w:t xml:space="preserve">per OP banką </w:t>
      </w:r>
      <w:r w:rsidR="00CE6183" w:rsidRPr="00A758D9">
        <w:rPr>
          <w:rFonts w:eastAsia="Calibri"/>
          <w:color w:val="000000" w:themeColor="text1"/>
          <w:sz w:val="24"/>
          <w:szCs w:val="24"/>
        </w:rPr>
        <w:t xml:space="preserve">yra </w:t>
      </w:r>
      <w:r w:rsidR="00541D7E" w:rsidRPr="00A758D9">
        <w:rPr>
          <w:rFonts w:eastAsia="Calibri"/>
          <w:color w:val="000000" w:themeColor="text1"/>
          <w:sz w:val="24"/>
          <w:szCs w:val="24"/>
        </w:rPr>
        <w:t xml:space="preserve">vykdomos minimalios </w:t>
      </w:r>
      <w:r w:rsidR="00CE6183" w:rsidRPr="00A758D9">
        <w:rPr>
          <w:rFonts w:eastAsia="Calibri"/>
          <w:color w:val="000000" w:themeColor="text1"/>
          <w:sz w:val="24"/>
          <w:szCs w:val="24"/>
        </w:rPr>
        <w:t>o</w:t>
      </w:r>
      <w:r w:rsidR="00541D7E" w:rsidRPr="00A758D9">
        <w:rPr>
          <w:rFonts w:eastAsia="Calibri"/>
          <w:color w:val="000000" w:themeColor="text1"/>
          <w:sz w:val="24"/>
          <w:szCs w:val="24"/>
        </w:rPr>
        <w:t>p</w:t>
      </w:r>
      <w:r w:rsidR="00C21F8F" w:rsidRPr="00A758D9">
        <w:rPr>
          <w:rFonts w:eastAsia="Calibri"/>
          <w:color w:val="000000" w:themeColor="text1"/>
          <w:sz w:val="24"/>
          <w:szCs w:val="24"/>
        </w:rPr>
        <w:t>e</w:t>
      </w:r>
      <w:r w:rsidR="00CE6183" w:rsidRPr="00A758D9">
        <w:rPr>
          <w:rFonts w:eastAsia="Calibri"/>
          <w:color w:val="000000" w:themeColor="text1"/>
          <w:sz w:val="24"/>
          <w:szCs w:val="24"/>
        </w:rPr>
        <w:t>recijos, kadangi šio banko klientų Lietuvoje yra mažai, todėl Bendrovė</w:t>
      </w:r>
      <w:r w:rsidR="00C21F8F" w:rsidRPr="00A758D9">
        <w:rPr>
          <w:rFonts w:eastAsia="Calibri"/>
          <w:color w:val="000000" w:themeColor="text1"/>
          <w:sz w:val="24"/>
          <w:szCs w:val="24"/>
        </w:rPr>
        <w:t xml:space="preserve"> </w:t>
      </w:r>
      <w:r w:rsidR="00CE6183" w:rsidRPr="00A758D9">
        <w:rPr>
          <w:rFonts w:eastAsia="Calibri"/>
          <w:color w:val="000000" w:themeColor="text1"/>
          <w:sz w:val="24"/>
          <w:szCs w:val="24"/>
        </w:rPr>
        <w:t xml:space="preserve">šiuo metu </w:t>
      </w:r>
      <w:r w:rsidR="00541D7E" w:rsidRPr="00A758D9">
        <w:rPr>
          <w:rFonts w:eastAsia="Calibri"/>
          <w:color w:val="000000" w:themeColor="text1"/>
          <w:sz w:val="24"/>
          <w:szCs w:val="24"/>
        </w:rPr>
        <w:t xml:space="preserve">naudojasi </w:t>
      </w:r>
      <w:r w:rsidR="00CE6183" w:rsidRPr="00A758D9">
        <w:rPr>
          <w:rFonts w:eastAsia="Calibri"/>
          <w:iCs/>
          <w:color w:val="000000" w:themeColor="text1"/>
          <w:sz w:val="24"/>
          <w:szCs w:val="24"/>
        </w:rPr>
        <w:t>Luminor Bank AS Lietuv</w:t>
      </w:r>
      <w:r w:rsidR="00FE2FC8" w:rsidRPr="00A758D9">
        <w:rPr>
          <w:rFonts w:eastAsia="Calibri"/>
          <w:iCs/>
          <w:color w:val="000000" w:themeColor="text1"/>
          <w:sz w:val="24"/>
          <w:szCs w:val="24"/>
        </w:rPr>
        <w:t>os</w:t>
      </w:r>
      <w:r w:rsidR="00CE6183" w:rsidRPr="00A758D9">
        <w:rPr>
          <w:rFonts w:eastAsia="Calibri"/>
          <w:iCs/>
          <w:color w:val="000000" w:themeColor="text1"/>
          <w:sz w:val="24"/>
          <w:szCs w:val="24"/>
        </w:rPr>
        <w:t xml:space="preserve"> </w:t>
      </w:r>
      <w:r w:rsidR="00FE2FC8" w:rsidRPr="00A758D9">
        <w:rPr>
          <w:rFonts w:eastAsia="Calibri"/>
          <w:iCs/>
          <w:color w:val="000000" w:themeColor="text1"/>
          <w:sz w:val="24"/>
          <w:szCs w:val="24"/>
        </w:rPr>
        <w:t xml:space="preserve">skyriaus </w:t>
      </w:r>
      <w:r w:rsidR="00CE6183" w:rsidRPr="00A758D9">
        <w:rPr>
          <w:rFonts w:eastAsia="Calibri"/>
          <w:color w:val="000000" w:themeColor="text1"/>
          <w:sz w:val="24"/>
          <w:szCs w:val="24"/>
        </w:rPr>
        <w:t>paslaugomis</w:t>
      </w:r>
      <w:r w:rsidR="00541D7E" w:rsidRPr="00A758D9">
        <w:rPr>
          <w:rFonts w:eastAsia="Calibri"/>
          <w:color w:val="000000" w:themeColor="text1"/>
          <w:sz w:val="24"/>
          <w:szCs w:val="24"/>
        </w:rPr>
        <w:t xml:space="preserve">, </w:t>
      </w:r>
      <w:r w:rsidR="00CE6183" w:rsidRPr="00A758D9">
        <w:rPr>
          <w:rFonts w:eastAsia="Calibri"/>
          <w:color w:val="000000" w:themeColor="text1"/>
          <w:sz w:val="24"/>
          <w:szCs w:val="24"/>
        </w:rPr>
        <w:t xml:space="preserve">kuris </w:t>
      </w:r>
      <w:r w:rsidR="00541D7E" w:rsidRPr="00A758D9">
        <w:rPr>
          <w:rFonts w:eastAsia="Calibri"/>
          <w:color w:val="000000" w:themeColor="text1"/>
          <w:sz w:val="24"/>
          <w:szCs w:val="24"/>
        </w:rPr>
        <w:t>turi</w:t>
      </w:r>
      <w:r w:rsidR="00CE6183" w:rsidRPr="00A758D9">
        <w:rPr>
          <w:rFonts w:eastAsia="Calibri"/>
          <w:color w:val="000000" w:themeColor="text1"/>
          <w:sz w:val="24"/>
          <w:szCs w:val="24"/>
        </w:rPr>
        <w:t xml:space="preserve"> </w:t>
      </w:r>
      <w:r w:rsidR="00541D7E" w:rsidRPr="00A758D9">
        <w:rPr>
          <w:rFonts w:eastAsia="Calibri"/>
          <w:color w:val="000000" w:themeColor="text1"/>
          <w:sz w:val="24"/>
          <w:szCs w:val="24"/>
        </w:rPr>
        <w:t xml:space="preserve">aukščiausią reitingą iš bankų, kurių reitingas mažesnis nei A-, bet </w:t>
      </w:r>
      <w:r w:rsidR="003148D1" w:rsidRPr="00A758D9">
        <w:rPr>
          <w:rFonts w:eastAsia="Calibri"/>
          <w:color w:val="000000" w:themeColor="text1"/>
          <w:sz w:val="24"/>
          <w:szCs w:val="24"/>
        </w:rPr>
        <w:t xml:space="preserve">yra </w:t>
      </w:r>
      <w:r w:rsidR="00541D7E" w:rsidRPr="00A758D9">
        <w:rPr>
          <w:rFonts w:eastAsia="Calibri"/>
          <w:color w:val="000000" w:themeColor="text1"/>
          <w:sz w:val="24"/>
          <w:szCs w:val="24"/>
        </w:rPr>
        <w:t>ne žemesnis nei BBB- (Baa1 pagal Moody‘s metodiką (Fitch atitikmuo BBB+</w:t>
      </w:r>
      <w:r w:rsidR="00541D7E" w:rsidRPr="00A758D9">
        <w:rPr>
          <w:rStyle w:val="FootnoteReference"/>
          <w:rFonts w:eastAsia="Calibri"/>
          <w:color w:val="000000" w:themeColor="text1"/>
          <w:sz w:val="24"/>
          <w:szCs w:val="24"/>
        </w:rPr>
        <w:footnoteReference w:id="7"/>
      </w:r>
      <w:r w:rsidR="00541D7E" w:rsidRPr="00A758D9">
        <w:rPr>
          <w:rFonts w:eastAsia="Calibri"/>
          <w:color w:val="000000" w:themeColor="text1"/>
          <w:sz w:val="24"/>
          <w:szCs w:val="24"/>
        </w:rPr>
        <w:t xml:space="preserve">). </w:t>
      </w:r>
      <w:r w:rsidR="00CE6183" w:rsidRPr="00A758D9">
        <w:rPr>
          <w:rFonts w:eastAsia="Calibri"/>
          <w:color w:val="000000" w:themeColor="text1"/>
          <w:sz w:val="24"/>
          <w:szCs w:val="24"/>
        </w:rPr>
        <w:t xml:space="preserve">Perkančioji organizacija paaiškina, kad </w:t>
      </w:r>
      <w:r w:rsidR="00541D7E" w:rsidRPr="00A758D9">
        <w:rPr>
          <w:rFonts w:eastAsia="Calibri"/>
          <w:color w:val="000000" w:themeColor="text1"/>
          <w:sz w:val="24"/>
          <w:szCs w:val="24"/>
        </w:rPr>
        <w:t>kitų, Lietuvoje veikiančių bankų, patenkančių į priimtino reitingo intervalą</w:t>
      </w:r>
      <w:r w:rsidR="003148D1" w:rsidRPr="00A758D9">
        <w:rPr>
          <w:rFonts w:eastAsia="Calibri"/>
          <w:color w:val="000000" w:themeColor="text1"/>
          <w:sz w:val="24"/>
          <w:szCs w:val="24"/>
        </w:rPr>
        <w:t>,</w:t>
      </w:r>
      <w:r w:rsidR="00541D7E" w:rsidRPr="00A758D9">
        <w:rPr>
          <w:rFonts w:eastAsia="Calibri"/>
          <w:color w:val="000000" w:themeColor="text1"/>
          <w:sz w:val="24"/>
          <w:szCs w:val="24"/>
        </w:rPr>
        <w:t xml:space="preserve"> reitingai yra žemesni – Citadelė (Baa3 pagal Moody‘s metodiką (Fitch atitikmuo BBB-</w:t>
      </w:r>
      <w:r w:rsidR="00541D7E" w:rsidRPr="00A758D9">
        <w:rPr>
          <w:rStyle w:val="FootnoteReference"/>
          <w:rFonts w:eastAsia="Calibri"/>
          <w:color w:val="000000" w:themeColor="text1"/>
          <w:sz w:val="24"/>
          <w:szCs w:val="24"/>
        </w:rPr>
        <w:footnoteReference w:id="8"/>
      </w:r>
      <w:r w:rsidR="00541D7E" w:rsidRPr="00A758D9">
        <w:rPr>
          <w:rFonts w:eastAsia="Calibri"/>
          <w:color w:val="000000" w:themeColor="text1"/>
          <w:sz w:val="24"/>
          <w:szCs w:val="24"/>
        </w:rPr>
        <w:t>), Šiaulių bankas (Baa2 pagal Moody‘s metodiką (Fitch atitikmuo BBB</w:t>
      </w:r>
      <w:r w:rsidR="00541D7E" w:rsidRPr="00A758D9">
        <w:rPr>
          <w:rStyle w:val="FootnoteReference"/>
          <w:rFonts w:eastAsia="Calibri"/>
          <w:color w:val="000000" w:themeColor="text1"/>
          <w:sz w:val="24"/>
          <w:szCs w:val="24"/>
        </w:rPr>
        <w:footnoteReference w:id="9"/>
      </w:r>
      <w:r w:rsidR="00541D7E" w:rsidRPr="00A758D9">
        <w:rPr>
          <w:rFonts w:eastAsia="Calibri"/>
          <w:color w:val="000000" w:themeColor="text1"/>
          <w:sz w:val="24"/>
          <w:szCs w:val="24"/>
        </w:rPr>
        <w:t xml:space="preserve">). Lietuvos banko pateiktame finansinių institucijų sąraše </w:t>
      </w:r>
      <w:r w:rsidR="00926C48" w:rsidRPr="00A758D9">
        <w:rPr>
          <w:rFonts w:eastAsia="Calibri"/>
          <w:color w:val="000000" w:themeColor="text1"/>
          <w:sz w:val="24"/>
          <w:szCs w:val="24"/>
        </w:rPr>
        <w:t>nurodytas</w:t>
      </w:r>
      <w:r w:rsidR="00F06054" w:rsidRPr="00A758D9">
        <w:rPr>
          <w:rFonts w:eastAsia="Calibri"/>
          <w:color w:val="000000" w:themeColor="text1"/>
          <w:sz w:val="24"/>
          <w:szCs w:val="24"/>
        </w:rPr>
        <w:t xml:space="preserve"> UAB </w:t>
      </w:r>
      <w:r w:rsidR="00541D7E" w:rsidRPr="00A758D9">
        <w:rPr>
          <w:rFonts w:eastAsia="Calibri"/>
          <w:color w:val="000000" w:themeColor="text1"/>
          <w:sz w:val="24"/>
          <w:szCs w:val="24"/>
        </w:rPr>
        <w:t>Medicinos Bankas</w:t>
      </w:r>
      <w:r w:rsidR="00F06054" w:rsidRPr="00A758D9">
        <w:rPr>
          <w:rFonts w:eastAsia="Calibri"/>
          <w:color w:val="000000" w:themeColor="text1"/>
          <w:sz w:val="24"/>
          <w:szCs w:val="24"/>
        </w:rPr>
        <w:t xml:space="preserve"> </w:t>
      </w:r>
      <w:r w:rsidR="00541D7E" w:rsidRPr="00A758D9">
        <w:rPr>
          <w:rFonts w:eastAsia="Calibri"/>
          <w:color w:val="000000" w:themeColor="text1"/>
          <w:sz w:val="24"/>
          <w:szCs w:val="24"/>
        </w:rPr>
        <w:t xml:space="preserve">kredito reitingo neturi, o likusios institucijos </w:t>
      </w:r>
      <w:r w:rsidR="00F06054" w:rsidRPr="00A758D9">
        <w:rPr>
          <w:rFonts w:eastAsia="Calibri"/>
          <w:color w:val="000000" w:themeColor="text1"/>
          <w:sz w:val="24"/>
          <w:szCs w:val="24"/>
        </w:rPr>
        <w:t xml:space="preserve">neteikia </w:t>
      </w:r>
      <w:r w:rsidR="00926C48" w:rsidRPr="00A758D9">
        <w:rPr>
          <w:rFonts w:eastAsia="Calibri"/>
          <w:color w:val="000000" w:themeColor="text1"/>
          <w:sz w:val="24"/>
          <w:szCs w:val="24"/>
        </w:rPr>
        <w:t xml:space="preserve">šiuo Pirkimu siekiamų įsigyti </w:t>
      </w:r>
      <w:r w:rsidR="00541D7E" w:rsidRPr="00A758D9">
        <w:rPr>
          <w:rFonts w:eastAsia="Calibri"/>
          <w:color w:val="000000" w:themeColor="text1"/>
          <w:sz w:val="24"/>
          <w:szCs w:val="24"/>
        </w:rPr>
        <w:t>paslaugų. Perkančioji organizacija</w:t>
      </w:r>
      <w:r w:rsidR="00926C48" w:rsidRPr="00A758D9">
        <w:rPr>
          <w:rFonts w:eastAsia="Calibri"/>
          <w:color w:val="000000" w:themeColor="text1"/>
          <w:sz w:val="24"/>
          <w:szCs w:val="24"/>
        </w:rPr>
        <w:t xml:space="preserve"> paaiškina</w:t>
      </w:r>
      <w:r w:rsidR="00F06054" w:rsidRPr="00A758D9">
        <w:rPr>
          <w:rFonts w:eastAsia="Calibri"/>
          <w:color w:val="000000" w:themeColor="text1"/>
          <w:sz w:val="24"/>
          <w:szCs w:val="24"/>
        </w:rPr>
        <w:t xml:space="preserve">, </w:t>
      </w:r>
      <w:r w:rsidR="00926C48" w:rsidRPr="00A758D9">
        <w:rPr>
          <w:rFonts w:eastAsia="Calibri"/>
          <w:color w:val="000000" w:themeColor="text1"/>
          <w:sz w:val="24"/>
          <w:szCs w:val="24"/>
        </w:rPr>
        <w:t xml:space="preserve">kad </w:t>
      </w:r>
      <w:r w:rsidR="00F06054" w:rsidRPr="00A758D9">
        <w:rPr>
          <w:rFonts w:eastAsia="Calibri"/>
          <w:color w:val="000000" w:themeColor="text1"/>
          <w:sz w:val="24"/>
          <w:szCs w:val="24"/>
        </w:rPr>
        <w:t>siekdama įvertinti sandorio šalies riziką,</w:t>
      </w:r>
      <w:r w:rsidR="00541D7E" w:rsidRPr="00A758D9">
        <w:rPr>
          <w:rFonts w:eastAsia="Calibri"/>
          <w:color w:val="000000" w:themeColor="text1"/>
          <w:sz w:val="24"/>
          <w:szCs w:val="24"/>
        </w:rPr>
        <w:t xml:space="preserve"> daugiau </w:t>
      </w:r>
      <w:r w:rsidR="00926C48" w:rsidRPr="00A758D9">
        <w:rPr>
          <w:rFonts w:eastAsia="Calibri"/>
          <w:color w:val="000000" w:themeColor="text1"/>
          <w:sz w:val="24"/>
          <w:szCs w:val="24"/>
        </w:rPr>
        <w:t xml:space="preserve">jokių specialių </w:t>
      </w:r>
      <w:r w:rsidR="00541D7E" w:rsidRPr="00A758D9">
        <w:rPr>
          <w:rFonts w:eastAsia="Calibri"/>
          <w:color w:val="000000" w:themeColor="text1"/>
          <w:sz w:val="24"/>
          <w:szCs w:val="24"/>
        </w:rPr>
        <w:t>reikalavimų</w:t>
      </w:r>
      <w:r w:rsidR="00926C48" w:rsidRPr="00A758D9">
        <w:rPr>
          <w:rFonts w:eastAsia="Calibri"/>
          <w:color w:val="000000" w:themeColor="text1"/>
          <w:sz w:val="24"/>
          <w:szCs w:val="24"/>
        </w:rPr>
        <w:t>,</w:t>
      </w:r>
      <w:r w:rsidR="00F06054" w:rsidRPr="00A758D9">
        <w:rPr>
          <w:rFonts w:eastAsia="Calibri"/>
          <w:color w:val="000000" w:themeColor="text1"/>
          <w:sz w:val="24"/>
          <w:szCs w:val="24"/>
        </w:rPr>
        <w:t xml:space="preserve"> </w:t>
      </w:r>
      <w:r w:rsidR="00541D7E" w:rsidRPr="00A758D9">
        <w:rPr>
          <w:rFonts w:eastAsia="Calibri"/>
          <w:color w:val="000000" w:themeColor="text1"/>
          <w:sz w:val="24"/>
          <w:szCs w:val="24"/>
        </w:rPr>
        <w:t>apart kredito reitingo</w:t>
      </w:r>
      <w:r w:rsidR="00F06054" w:rsidRPr="00A758D9">
        <w:rPr>
          <w:rFonts w:eastAsia="Calibri"/>
          <w:color w:val="000000" w:themeColor="text1"/>
          <w:sz w:val="24"/>
          <w:szCs w:val="24"/>
        </w:rPr>
        <w:t xml:space="preserve">, </w:t>
      </w:r>
      <w:r w:rsidR="00541D7E" w:rsidRPr="00A758D9">
        <w:rPr>
          <w:rFonts w:eastAsia="Calibri"/>
          <w:color w:val="000000" w:themeColor="text1"/>
          <w:sz w:val="24"/>
          <w:szCs w:val="24"/>
        </w:rPr>
        <w:t>netaiko.</w:t>
      </w:r>
    </w:p>
    <w:p w14:paraId="60AFEFD1" w14:textId="4B5610EE" w:rsidR="009B3913" w:rsidRPr="00A758D9" w:rsidRDefault="00CE6183" w:rsidP="005D2CC0">
      <w:pPr>
        <w:ind w:firstLine="680"/>
        <w:jc w:val="both"/>
        <w:rPr>
          <w:rFonts w:eastAsia="Calibri"/>
          <w:color w:val="000000" w:themeColor="text1"/>
          <w:sz w:val="24"/>
          <w:szCs w:val="24"/>
        </w:rPr>
      </w:pPr>
      <w:r w:rsidRPr="00A758D9">
        <w:rPr>
          <w:rFonts w:eastAsia="Calibri"/>
          <w:color w:val="000000" w:themeColor="text1"/>
          <w:sz w:val="24"/>
          <w:szCs w:val="24"/>
        </w:rPr>
        <w:t xml:space="preserve">Įvertinus </w:t>
      </w:r>
      <w:r w:rsidR="00926C48" w:rsidRPr="00A758D9">
        <w:rPr>
          <w:rFonts w:eastAsia="Calibri"/>
          <w:color w:val="000000" w:themeColor="text1"/>
          <w:sz w:val="24"/>
          <w:szCs w:val="24"/>
        </w:rPr>
        <w:t xml:space="preserve">Perkančiosios organizacijos </w:t>
      </w:r>
      <w:r w:rsidRPr="00A758D9">
        <w:rPr>
          <w:rFonts w:eastAsia="Calibri"/>
          <w:color w:val="000000" w:themeColor="text1"/>
          <w:sz w:val="24"/>
          <w:szCs w:val="24"/>
        </w:rPr>
        <w:t>pateiktus dokumentus, nustatyta, kad</w:t>
      </w:r>
      <w:r w:rsidR="00541D7E" w:rsidRPr="00A758D9">
        <w:rPr>
          <w:rFonts w:eastAsia="Calibri"/>
          <w:color w:val="000000" w:themeColor="text1"/>
          <w:sz w:val="24"/>
          <w:szCs w:val="24"/>
        </w:rPr>
        <w:t xml:space="preserve"> Lietuvoje veikia keturi bankai, atititinkantys </w:t>
      </w:r>
      <w:r w:rsidRPr="00A758D9">
        <w:rPr>
          <w:rFonts w:eastAsia="Calibri"/>
          <w:color w:val="000000" w:themeColor="text1"/>
          <w:sz w:val="24"/>
          <w:szCs w:val="24"/>
        </w:rPr>
        <w:t xml:space="preserve">Bendrovės Iždo valdymo politikoje </w:t>
      </w:r>
      <w:r w:rsidR="00541D7E" w:rsidRPr="00A758D9">
        <w:rPr>
          <w:rFonts w:eastAsia="Calibri"/>
          <w:color w:val="000000" w:themeColor="text1"/>
          <w:sz w:val="24"/>
          <w:szCs w:val="24"/>
        </w:rPr>
        <w:t>sandorio šaliai taikomus kredito rizikos apribojimus: AB „SEB Bankas“, AB „Swedbank“, Luminor Bank AS Lietuvos skyrius ir OP bankas</w:t>
      </w:r>
      <w:r w:rsidR="00541D7E" w:rsidRPr="00A758D9">
        <w:rPr>
          <w:rStyle w:val="FootnoteReference"/>
          <w:rFonts w:eastAsia="Calibri"/>
          <w:color w:val="000000" w:themeColor="text1"/>
          <w:sz w:val="24"/>
          <w:szCs w:val="24"/>
        </w:rPr>
        <w:footnoteReference w:id="10"/>
      </w:r>
      <w:r w:rsidR="00541D7E" w:rsidRPr="00A758D9">
        <w:rPr>
          <w:rFonts w:eastAsia="Calibri"/>
          <w:color w:val="000000" w:themeColor="text1"/>
          <w:sz w:val="24"/>
          <w:szCs w:val="24"/>
        </w:rPr>
        <w:t xml:space="preserve">. Visuose šiuose bankuose </w:t>
      </w:r>
      <w:r w:rsidRPr="00A758D9">
        <w:rPr>
          <w:rFonts w:eastAsia="Calibri"/>
          <w:color w:val="000000" w:themeColor="text1"/>
          <w:sz w:val="24"/>
          <w:szCs w:val="24"/>
        </w:rPr>
        <w:t>Bendrovė</w:t>
      </w:r>
      <w:r w:rsidR="00655BBA" w:rsidRPr="00A758D9">
        <w:rPr>
          <w:rFonts w:eastAsia="Calibri"/>
          <w:color w:val="000000" w:themeColor="text1"/>
          <w:sz w:val="24"/>
          <w:szCs w:val="24"/>
        </w:rPr>
        <w:t xml:space="preserve"> </w:t>
      </w:r>
      <w:r w:rsidR="00541D7E" w:rsidRPr="00A758D9">
        <w:rPr>
          <w:rFonts w:eastAsia="Calibri"/>
          <w:color w:val="000000" w:themeColor="text1"/>
          <w:sz w:val="24"/>
          <w:szCs w:val="24"/>
        </w:rPr>
        <w:t xml:space="preserve">yra atsidariusi sąskaitas ir </w:t>
      </w:r>
      <w:r w:rsidRPr="00A758D9">
        <w:rPr>
          <w:rFonts w:eastAsia="Calibri"/>
          <w:color w:val="000000" w:themeColor="text1"/>
          <w:sz w:val="24"/>
          <w:szCs w:val="24"/>
        </w:rPr>
        <w:t xml:space="preserve">su bankais </w:t>
      </w:r>
      <w:r w:rsidR="00541D7E" w:rsidRPr="00A758D9">
        <w:rPr>
          <w:rFonts w:eastAsia="Calibri"/>
          <w:color w:val="000000" w:themeColor="text1"/>
          <w:sz w:val="24"/>
          <w:szCs w:val="24"/>
        </w:rPr>
        <w:t>sudariusi paslaugų teikimo sutartis</w:t>
      </w:r>
      <w:r w:rsidR="00541D7E" w:rsidRPr="00A758D9">
        <w:rPr>
          <w:rStyle w:val="FootnoteReference"/>
          <w:rFonts w:eastAsia="Calibri"/>
          <w:color w:val="000000" w:themeColor="text1"/>
          <w:sz w:val="24"/>
          <w:szCs w:val="24"/>
        </w:rPr>
        <w:footnoteReference w:id="11"/>
      </w:r>
      <w:r w:rsidRPr="00A758D9">
        <w:rPr>
          <w:rFonts w:eastAsia="Calibri"/>
          <w:color w:val="000000" w:themeColor="text1"/>
          <w:sz w:val="24"/>
          <w:szCs w:val="24"/>
        </w:rPr>
        <w:t xml:space="preserve">, pagal kurias </w:t>
      </w:r>
      <w:r w:rsidR="00926C48" w:rsidRPr="00A758D9">
        <w:rPr>
          <w:rFonts w:eastAsia="Calibri"/>
          <w:color w:val="000000" w:themeColor="text1"/>
          <w:sz w:val="24"/>
          <w:szCs w:val="24"/>
        </w:rPr>
        <w:t xml:space="preserve">šiuo metu yra </w:t>
      </w:r>
      <w:r w:rsidRPr="00A758D9">
        <w:rPr>
          <w:rFonts w:eastAsia="Calibri"/>
          <w:color w:val="000000" w:themeColor="text1"/>
          <w:sz w:val="24"/>
          <w:szCs w:val="24"/>
        </w:rPr>
        <w:t>teikiamos paslaugos</w:t>
      </w:r>
      <w:r w:rsidR="00926C48" w:rsidRPr="00A758D9">
        <w:rPr>
          <w:rFonts w:eastAsia="Calibri"/>
          <w:color w:val="000000" w:themeColor="text1"/>
          <w:sz w:val="24"/>
          <w:szCs w:val="24"/>
        </w:rPr>
        <w:t>,</w:t>
      </w:r>
      <w:r w:rsidRPr="00A758D9">
        <w:rPr>
          <w:rFonts w:eastAsia="Calibri"/>
          <w:color w:val="000000" w:themeColor="text1"/>
          <w:sz w:val="24"/>
          <w:szCs w:val="24"/>
        </w:rPr>
        <w:t xml:space="preserve"> reikalingos Bend</w:t>
      </w:r>
      <w:r w:rsidR="00C76152" w:rsidRPr="00A758D9">
        <w:rPr>
          <w:rFonts w:eastAsia="Calibri"/>
          <w:color w:val="000000" w:themeColor="text1"/>
          <w:sz w:val="24"/>
          <w:szCs w:val="24"/>
        </w:rPr>
        <w:t>r</w:t>
      </w:r>
      <w:r w:rsidRPr="00A758D9">
        <w:rPr>
          <w:rFonts w:eastAsia="Calibri"/>
          <w:color w:val="000000" w:themeColor="text1"/>
          <w:sz w:val="24"/>
          <w:szCs w:val="24"/>
        </w:rPr>
        <w:t>ovės</w:t>
      </w:r>
      <w:r w:rsidR="00F06054" w:rsidRPr="00A758D9">
        <w:rPr>
          <w:rFonts w:eastAsia="Calibri"/>
          <w:color w:val="000000" w:themeColor="text1"/>
          <w:sz w:val="24"/>
          <w:szCs w:val="24"/>
        </w:rPr>
        <w:t xml:space="preserve"> o</w:t>
      </w:r>
      <w:r w:rsidR="00D1280A" w:rsidRPr="00A758D9">
        <w:rPr>
          <w:rFonts w:eastAsia="Calibri"/>
          <w:color w:val="000000" w:themeColor="text1"/>
          <w:sz w:val="24"/>
          <w:szCs w:val="24"/>
        </w:rPr>
        <w:t>peracinei veiklai vykdyti ir finansavimo poreikiui tenkinti</w:t>
      </w:r>
      <w:r w:rsidR="00C76152" w:rsidRPr="00A758D9">
        <w:rPr>
          <w:rFonts w:eastAsia="Calibri"/>
          <w:color w:val="000000" w:themeColor="text1"/>
          <w:sz w:val="24"/>
          <w:szCs w:val="24"/>
        </w:rPr>
        <w:t xml:space="preserve">. Bendrovė </w:t>
      </w:r>
      <w:r w:rsidR="00D1280A" w:rsidRPr="00A758D9">
        <w:rPr>
          <w:rFonts w:eastAsia="Calibri"/>
          <w:color w:val="000000" w:themeColor="text1"/>
          <w:sz w:val="24"/>
          <w:szCs w:val="24"/>
        </w:rPr>
        <w:t>bank</w:t>
      </w:r>
      <w:r w:rsidR="00C76152" w:rsidRPr="00A758D9">
        <w:rPr>
          <w:rFonts w:eastAsia="Calibri"/>
          <w:color w:val="000000" w:themeColor="text1"/>
          <w:sz w:val="24"/>
          <w:szCs w:val="24"/>
        </w:rPr>
        <w:t>ų</w:t>
      </w:r>
      <w:r w:rsidR="00D1280A" w:rsidRPr="00A758D9">
        <w:rPr>
          <w:rFonts w:eastAsia="Calibri"/>
          <w:color w:val="000000" w:themeColor="text1"/>
          <w:sz w:val="24"/>
          <w:szCs w:val="24"/>
        </w:rPr>
        <w:t xml:space="preserve"> sąskaitas</w:t>
      </w:r>
      <w:r w:rsidR="00B22970" w:rsidRPr="00A758D9">
        <w:rPr>
          <w:rFonts w:eastAsia="Calibri"/>
          <w:color w:val="000000" w:themeColor="text1"/>
          <w:sz w:val="24"/>
          <w:szCs w:val="24"/>
        </w:rPr>
        <w:t xml:space="preserve"> </w:t>
      </w:r>
      <w:r w:rsidR="00D1280A" w:rsidRPr="00A758D9">
        <w:rPr>
          <w:rFonts w:eastAsia="Calibri"/>
          <w:color w:val="000000" w:themeColor="text1"/>
          <w:sz w:val="24"/>
          <w:szCs w:val="24"/>
        </w:rPr>
        <w:t>valdo elektroninės bankininkystės platformoje, taip pat šiomis sąskaitomis disponuoja vykd</w:t>
      </w:r>
      <w:r w:rsidR="00C76152" w:rsidRPr="00A758D9">
        <w:rPr>
          <w:rFonts w:eastAsia="Calibri"/>
          <w:color w:val="000000" w:themeColor="text1"/>
          <w:sz w:val="24"/>
          <w:szCs w:val="24"/>
        </w:rPr>
        <w:t>ydama</w:t>
      </w:r>
      <w:r w:rsidR="00D1280A" w:rsidRPr="00A758D9">
        <w:rPr>
          <w:rFonts w:eastAsia="Calibri"/>
          <w:color w:val="000000" w:themeColor="text1"/>
          <w:sz w:val="24"/>
          <w:szCs w:val="24"/>
        </w:rPr>
        <w:t xml:space="preserve"> atsiskaitymus su tiekėjais</w:t>
      </w:r>
      <w:r w:rsidR="00C76152" w:rsidRPr="00A758D9">
        <w:rPr>
          <w:rFonts w:eastAsia="Calibri"/>
          <w:color w:val="000000" w:themeColor="text1"/>
          <w:sz w:val="24"/>
          <w:szCs w:val="24"/>
        </w:rPr>
        <w:t xml:space="preserve">, į šias sąskaitas </w:t>
      </w:r>
      <w:r w:rsidR="00D1280A" w:rsidRPr="00A758D9">
        <w:rPr>
          <w:rFonts w:eastAsia="Calibri"/>
          <w:color w:val="000000" w:themeColor="text1"/>
          <w:sz w:val="24"/>
          <w:szCs w:val="24"/>
        </w:rPr>
        <w:t>gauna įplaukas.</w:t>
      </w:r>
      <w:r w:rsidR="00B22970" w:rsidRPr="00A758D9">
        <w:rPr>
          <w:rFonts w:eastAsia="Calibri"/>
          <w:color w:val="000000" w:themeColor="text1"/>
          <w:sz w:val="24"/>
          <w:szCs w:val="24"/>
        </w:rPr>
        <w:t xml:space="preserve"> </w:t>
      </w:r>
      <w:r w:rsidR="00481479" w:rsidRPr="00A758D9">
        <w:rPr>
          <w:color w:val="000000" w:themeColor="text1"/>
          <w:sz w:val="24"/>
          <w:szCs w:val="24"/>
        </w:rPr>
        <w:t>Nesudarius sutar</w:t>
      </w:r>
      <w:r w:rsidR="00C76152" w:rsidRPr="00A758D9">
        <w:rPr>
          <w:color w:val="000000" w:themeColor="text1"/>
          <w:sz w:val="24"/>
          <w:szCs w:val="24"/>
        </w:rPr>
        <w:t xml:space="preserve">čių </w:t>
      </w:r>
      <w:r w:rsidR="00481479" w:rsidRPr="00A758D9">
        <w:rPr>
          <w:color w:val="000000" w:themeColor="text1"/>
          <w:sz w:val="24"/>
          <w:szCs w:val="24"/>
        </w:rPr>
        <w:t xml:space="preserve">su </w:t>
      </w:r>
      <w:r w:rsidR="00C76152" w:rsidRPr="00A758D9">
        <w:rPr>
          <w:color w:val="000000" w:themeColor="text1"/>
          <w:sz w:val="24"/>
          <w:szCs w:val="24"/>
        </w:rPr>
        <w:t xml:space="preserve">visais </w:t>
      </w:r>
      <w:r w:rsidR="005F2825" w:rsidRPr="00A758D9">
        <w:rPr>
          <w:color w:val="000000" w:themeColor="text1"/>
          <w:sz w:val="24"/>
          <w:szCs w:val="24"/>
        </w:rPr>
        <w:t>bankais</w:t>
      </w:r>
      <w:r w:rsidR="00481479" w:rsidRPr="00A758D9">
        <w:rPr>
          <w:color w:val="000000" w:themeColor="text1"/>
          <w:sz w:val="24"/>
          <w:szCs w:val="24"/>
        </w:rPr>
        <w:t xml:space="preserve"> kiltų rizika</w:t>
      </w:r>
      <w:r w:rsidR="00C76152" w:rsidRPr="00A758D9">
        <w:rPr>
          <w:color w:val="000000" w:themeColor="text1"/>
          <w:sz w:val="24"/>
          <w:szCs w:val="24"/>
        </w:rPr>
        <w:t xml:space="preserve">, kad </w:t>
      </w:r>
      <w:r w:rsidR="00481479" w:rsidRPr="00A758D9">
        <w:rPr>
          <w:color w:val="000000" w:themeColor="text1"/>
          <w:sz w:val="24"/>
          <w:szCs w:val="24"/>
        </w:rPr>
        <w:t>dides</w:t>
      </w:r>
      <w:r w:rsidR="00B22970" w:rsidRPr="00A758D9">
        <w:rPr>
          <w:color w:val="000000" w:themeColor="text1"/>
          <w:sz w:val="24"/>
          <w:szCs w:val="24"/>
        </w:rPr>
        <w:t>n</w:t>
      </w:r>
      <w:r w:rsidR="00C76152" w:rsidRPr="00A758D9">
        <w:rPr>
          <w:color w:val="000000" w:themeColor="text1"/>
          <w:sz w:val="24"/>
          <w:szCs w:val="24"/>
        </w:rPr>
        <w:t>ė</w:t>
      </w:r>
      <w:r w:rsidR="00481479" w:rsidRPr="00A758D9">
        <w:rPr>
          <w:color w:val="000000" w:themeColor="text1"/>
          <w:sz w:val="24"/>
          <w:szCs w:val="24"/>
        </w:rPr>
        <w:t xml:space="preserve"> nei ½ dali</w:t>
      </w:r>
      <w:r w:rsidR="00C76152" w:rsidRPr="00A758D9">
        <w:rPr>
          <w:color w:val="000000" w:themeColor="text1"/>
          <w:sz w:val="24"/>
          <w:szCs w:val="24"/>
        </w:rPr>
        <w:t>s</w:t>
      </w:r>
      <w:r w:rsidR="00481479" w:rsidRPr="00A758D9">
        <w:rPr>
          <w:color w:val="000000" w:themeColor="text1"/>
          <w:sz w:val="24"/>
          <w:szCs w:val="24"/>
        </w:rPr>
        <w:t xml:space="preserve"> </w:t>
      </w:r>
      <w:r w:rsidR="00C76152" w:rsidRPr="00A758D9">
        <w:rPr>
          <w:color w:val="000000" w:themeColor="text1"/>
          <w:sz w:val="24"/>
          <w:szCs w:val="24"/>
        </w:rPr>
        <w:t xml:space="preserve">Bendrovės </w:t>
      </w:r>
      <w:r w:rsidR="00481479" w:rsidRPr="00A758D9">
        <w:rPr>
          <w:color w:val="000000" w:themeColor="text1"/>
          <w:sz w:val="24"/>
          <w:szCs w:val="24"/>
        </w:rPr>
        <w:t xml:space="preserve">turimų piniginių lėšų </w:t>
      </w:r>
      <w:r w:rsidR="00C76152" w:rsidRPr="00A758D9">
        <w:rPr>
          <w:color w:val="000000" w:themeColor="text1"/>
          <w:sz w:val="24"/>
          <w:szCs w:val="24"/>
        </w:rPr>
        <w:t xml:space="preserve">būtų </w:t>
      </w:r>
      <w:r w:rsidR="00481479" w:rsidRPr="00A758D9">
        <w:rPr>
          <w:color w:val="000000" w:themeColor="text1"/>
          <w:sz w:val="24"/>
          <w:szCs w:val="24"/>
        </w:rPr>
        <w:t>koncentruot</w:t>
      </w:r>
      <w:r w:rsidR="00C76152" w:rsidRPr="00A758D9">
        <w:rPr>
          <w:color w:val="000000" w:themeColor="text1"/>
          <w:sz w:val="24"/>
          <w:szCs w:val="24"/>
        </w:rPr>
        <w:t>a</w:t>
      </w:r>
      <w:r w:rsidR="00B22970" w:rsidRPr="00A758D9">
        <w:rPr>
          <w:color w:val="000000" w:themeColor="text1"/>
          <w:sz w:val="24"/>
          <w:szCs w:val="24"/>
        </w:rPr>
        <w:t xml:space="preserve"> </w:t>
      </w:r>
      <w:r w:rsidR="00481479" w:rsidRPr="00A758D9">
        <w:rPr>
          <w:color w:val="000000" w:themeColor="text1"/>
          <w:sz w:val="24"/>
          <w:szCs w:val="24"/>
        </w:rPr>
        <w:t>vieno</w:t>
      </w:r>
      <w:r w:rsidR="003148D1" w:rsidRPr="00A758D9">
        <w:rPr>
          <w:color w:val="000000" w:themeColor="text1"/>
          <w:sz w:val="24"/>
          <w:szCs w:val="24"/>
        </w:rPr>
        <w:t xml:space="preserve"> banko </w:t>
      </w:r>
      <w:r w:rsidR="00481479" w:rsidRPr="00A758D9">
        <w:rPr>
          <w:color w:val="000000" w:themeColor="text1"/>
          <w:sz w:val="24"/>
          <w:szCs w:val="24"/>
        </w:rPr>
        <w:t>sąskaitose</w:t>
      </w:r>
      <w:r w:rsidR="00245409" w:rsidRPr="00A758D9">
        <w:rPr>
          <w:color w:val="000000" w:themeColor="text1"/>
          <w:sz w:val="24"/>
          <w:szCs w:val="24"/>
        </w:rPr>
        <w:t xml:space="preserve">. </w:t>
      </w:r>
      <w:r w:rsidR="005F2825" w:rsidRPr="00A758D9">
        <w:rPr>
          <w:color w:val="000000" w:themeColor="text1"/>
          <w:sz w:val="24"/>
          <w:szCs w:val="24"/>
        </w:rPr>
        <w:t>Pabrėžtina, kad t</w:t>
      </w:r>
      <w:r w:rsidR="00481479" w:rsidRPr="00A758D9">
        <w:rPr>
          <w:color w:val="000000" w:themeColor="text1"/>
          <w:sz w:val="24"/>
          <w:szCs w:val="24"/>
        </w:rPr>
        <w:t>okiu atveju</w:t>
      </w:r>
      <w:r w:rsidR="00245409" w:rsidRPr="00A758D9">
        <w:rPr>
          <w:color w:val="000000" w:themeColor="text1"/>
          <w:sz w:val="24"/>
          <w:szCs w:val="24"/>
        </w:rPr>
        <w:t>,</w:t>
      </w:r>
      <w:r w:rsidR="00481479" w:rsidRPr="00A758D9">
        <w:rPr>
          <w:color w:val="000000" w:themeColor="text1"/>
          <w:sz w:val="24"/>
          <w:szCs w:val="24"/>
        </w:rPr>
        <w:t xml:space="preserve"> esant aplinkybėms, kurių </w:t>
      </w:r>
      <w:r w:rsidR="00C76152" w:rsidRPr="00A758D9">
        <w:rPr>
          <w:color w:val="000000" w:themeColor="text1"/>
          <w:sz w:val="24"/>
          <w:szCs w:val="24"/>
        </w:rPr>
        <w:t>Bendrovė</w:t>
      </w:r>
      <w:r w:rsidR="00481479" w:rsidRPr="00A758D9">
        <w:rPr>
          <w:color w:val="000000" w:themeColor="text1"/>
          <w:sz w:val="24"/>
          <w:szCs w:val="24"/>
        </w:rPr>
        <w:t xml:space="preserve"> </w:t>
      </w:r>
      <w:r w:rsidR="005F2825" w:rsidRPr="00A758D9">
        <w:rPr>
          <w:color w:val="000000" w:themeColor="text1"/>
          <w:sz w:val="24"/>
          <w:szCs w:val="24"/>
        </w:rPr>
        <w:t xml:space="preserve">negali </w:t>
      </w:r>
      <w:r w:rsidR="00481479" w:rsidRPr="00A758D9">
        <w:rPr>
          <w:color w:val="000000" w:themeColor="text1"/>
          <w:sz w:val="24"/>
          <w:szCs w:val="24"/>
        </w:rPr>
        <w:t>kontroliuoti</w:t>
      </w:r>
      <w:r w:rsidR="005F2825" w:rsidRPr="00A758D9">
        <w:rPr>
          <w:color w:val="000000" w:themeColor="text1"/>
          <w:sz w:val="24"/>
          <w:szCs w:val="24"/>
        </w:rPr>
        <w:t xml:space="preserve"> </w:t>
      </w:r>
      <w:r w:rsidR="00481479" w:rsidRPr="00A758D9">
        <w:rPr>
          <w:color w:val="000000" w:themeColor="text1"/>
          <w:sz w:val="24"/>
          <w:szCs w:val="24"/>
        </w:rPr>
        <w:t xml:space="preserve">(pvz. </w:t>
      </w:r>
      <w:r w:rsidR="00C76152" w:rsidRPr="00A758D9">
        <w:rPr>
          <w:color w:val="000000" w:themeColor="text1"/>
          <w:sz w:val="24"/>
          <w:szCs w:val="24"/>
        </w:rPr>
        <w:t xml:space="preserve">banko </w:t>
      </w:r>
      <w:r w:rsidR="00481479" w:rsidRPr="00A758D9">
        <w:rPr>
          <w:color w:val="000000" w:themeColor="text1"/>
          <w:sz w:val="24"/>
          <w:szCs w:val="24"/>
        </w:rPr>
        <w:t>nemokumas, bankrotas)</w:t>
      </w:r>
      <w:r w:rsidR="003148D1" w:rsidRPr="00A758D9">
        <w:rPr>
          <w:color w:val="000000" w:themeColor="text1"/>
          <w:sz w:val="24"/>
          <w:szCs w:val="24"/>
        </w:rPr>
        <w:t>,</w:t>
      </w:r>
      <w:r w:rsidR="00B22970" w:rsidRPr="00A758D9">
        <w:rPr>
          <w:color w:val="000000" w:themeColor="text1"/>
          <w:sz w:val="24"/>
          <w:szCs w:val="24"/>
        </w:rPr>
        <w:t xml:space="preserve"> </w:t>
      </w:r>
      <w:r w:rsidR="00C76152" w:rsidRPr="00A758D9">
        <w:rPr>
          <w:color w:val="000000" w:themeColor="text1"/>
          <w:sz w:val="24"/>
          <w:szCs w:val="24"/>
        </w:rPr>
        <w:t xml:space="preserve">Bendrovei </w:t>
      </w:r>
      <w:r w:rsidR="00481479" w:rsidRPr="00A758D9">
        <w:rPr>
          <w:color w:val="000000" w:themeColor="text1"/>
          <w:sz w:val="24"/>
          <w:szCs w:val="24"/>
        </w:rPr>
        <w:t xml:space="preserve">tektų nepagrįsta ir nesuvaldyta piniginių lėšų praradimo rizika, kuri turėtų neigiamos įtakos ne tik </w:t>
      </w:r>
      <w:r w:rsidR="00C76152" w:rsidRPr="00A758D9">
        <w:rPr>
          <w:color w:val="000000" w:themeColor="text1"/>
          <w:sz w:val="24"/>
          <w:szCs w:val="24"/>
        </w:rPr>
        <w:t>Bendrovės</w:t>
      </w:r>
      <w:r w:rsidR="00481479" w:rsidRPr="00A758D9">
        <w:rPr>
          <w:color w:val="000000" w:themeColor="text1"/>
          <w:sz w:val="24"/>
          <w:szCs w:val="24"/>
        </w:rPr>
        <w:t xml:space="preserve">, bet ir </w:t>
      </w:r>
      <w:r w:rsidR="00C76152" w:rsidRPr="00A758D9">
        <w:rPr>
          <w:color w:val="000000" w:themeColor="text1"/>
          <w:sz w:val="24"/>
          <w:szCs w:val="24"/>
        </w:rPr>
        <w:t xml:space="preserve">visos </w:t>
      </w:r>
      <w:r w:rsidR="00481479" w:rsidRPr="00A758D9">
        <w:rPr>
          <w:color w:val="000000" w:themeColor="text1"/>
          <w:sz w:val="24"/>
          <w:szCs w:val="24"/>
        </w:rPr>
        <w:t>Ignitis grupės įmonių</w:t>
      </w:r>
      <w:r w:rsidR="00B22970" w:rsidRPr="00A758D9">
        <w:rPr>
          <w:rStyle w:val="FootnoteReference"/>
          <w:color w:val="000000" w:themeColor="text1"/>
          <w:sz w:val="24"/>
          <w:szCs w:val="24"/>
        </w:rPr>
        <w:footnoteReference w:id="12"/>
      </w:r>
      <w:r w:rsidR="00B22970" w:rsidRPr="00A758D9">
        <w:rPr>
          <w:color w:val="000000" w:themeColor="text1"/>
          <w:sz w:val="24"/>
          <w:szCs w:val="24"/>
        </w:rPr>
        <w:t xml:space="preserve"> </w:t>
      </w:r>
      <w:r w:rsidR="00481479" w:rsidRPr="00A758D9">
        <w:rPr>
          <w:color w:val="000000" w:themeColor="text1"/>
          <w:sz w:val="24"/>
          <w:szCs w:val="24"/>
        </w:rPr>
        <w:t>veiklai.</w:t>
      </w:r>
      <w:r w:rsidR="005F2825" w:rsidRPr="00A758D9">
        <w:rPr>
          <w:color w:val="000000" w:themeColor="text1"/>
          <w:sz w:val="24"/>
          <w:szCs w:val="24"/>
        </w:rPr>
        <w:t xml:space="preserve"> Tuo tarpu </w:t>
      </w:r>
      <w:r w:rsidR="00245409" w:rsidRPr="00A758D9">
        <w:rPr>
          <w:rFonts w:eastAsia="Calibri"/>
          <w:color w:val="000000" w:themeColor="text1"/>
          <w:sz w:val="24"/>
          <w:szCs w:val="24"/>
        </w:rPr>
        <w:t xml:space="preserve">mokestis už palūkanas, išrinkus vieną banką ir laikant visų piniginių lėšų likučius jame, neproporcingai išaugtų ir tokiu būdu </w:t>
      </w:r>
      <w:r w:rsidR="00C76152" w:rsidRPr="00A758D9">
        <w:rPr>
          <w:rFonts w:eastAsia="Calibri"/>
          <w:color w:val="000000" w:themeColor="text1"/>
          <w:sz w:val="24"/>
          <w:szCs w:val="24"/>
        </w:rPr>
        <w:t>Bendrovės</w:t>
      </w:r>
      <w:r w:rsidR="00245409" w:rsidRPr="00A758D9">
        <w:rPr>
          <w:rFonts w:eastAsia="Calibri"/>
          <w:color w:val="000000" w:themeColor="text1"/>
          <w:sz w:val="24"/>
          <w:szCs w:val="24"/>
        </w:rPr>
        <w:t xml:space="preserve"> lėšos, skirtos bankinėmis paslaugomis įsigyti, </w:t>
      </w:r>
      <w:r w:rsidR="00CE3901" w:rsidRPr="00A758D9">
        <w:rPr>
          <w:rFonts w:eastAsia="Calibri"/>
          <w:color w:val="000000" w:themeColor="text1"/>
          <w:sz w:val="24"/>
          <w:szCs w:val="24"/>
        </w:rPr>
        <w:t>ne</w:t>
      </w:r>
      <w:r w:rsidR="00245409" w:rsidRPr="00A758D9">
        <w:rPr>
          <w:rFonts w:eastAsia="Calibri"/>
          <w:color w:val="000000" w:themeColor="text1"/>
          <w:sz w:val="24"/>
          <w:szCs w:val="24"/>
        </w:rPr>
        <w:t>būtų naudojamos</w:t>
      </w:r>
      <w:r w:rsidR="00CE3901" w:rsidRPr="00A758D9">
        <w:rPr>
          <w:rFonts w:eastAsia="Calibri"/>
          <w:color w:val="000000" w:themeColor="text1"/>
          <w:sz w:val="24"/>
          <w:szCs w:val="24"/>
        </w:rPr>
        <w:t xml:space="preserve"> </w:t>
      </w:r>
      <w:r w:rsidR="00245409" w:rsidRPr="00A758D9">
        <w:rPr>
          <w:rFonts w:eastAsia="Calibri"/>
          <w:color w:val="000000" w:themeColor="text1"/>
          <w:sz w:val="24"/>
          <w:szCs w:val="24"/>
        </w:rPr>
        <w:t>racionaliai.</w:t>
      </w:r>
      <w:r w:rsidR="009B3913" w:rsidRPr="00A758D9">
        <w:rPr>
          <w:rFonts w:eastAsia="Calibri"/>
          <w:color w:val="000000" w:themeColor="text1"/>
          <w:sz w:val="24"/>
          <w:szCs w:val="24"/>
        </w:rPr>
        <w:t xml:space="preserve"> </w:t>
      </w:r>
    </w:p>
    <w:p w14:paraId="74A57274" w14:textId="52A2EFED" w:rsidR="00BD7C04" w:rsidRPr="00A758D9" w:rsidRDefault="00C76152" w:rsidP="005D2CC0">
      <w:pPr>
        <w:ind w:firstLine="680"/>
        <w:jc w:val="both"/>
        <w:rPr>
          <w:rFonts w:eastAsia="Calibri"/>
          <w:color w:val="000000" w:themeColor="text1"/>
          <w:sz w:val="24"/>
          <w:szCs w:val="24"/>
        </w:rPr>
      </w:pPr>
      <w:r w:rsidRPr="00A758D9">
        <w:rPr>
          <w:rFonts w:eastAsia="Calibri"/>
          <w:color w:val="000000" w:themeColor="text1"/>
          <w:sz w:val="24"/>
          <w:szCs w:val="24"/>
        </w:rPr>
        <w:t xml:space="preserve">Prašyme taip pat nurodoma, kad </w:t>
      </w:r>
      <w:r w:rsidR="00BD7C04" w:rsidRPr="00A758D9">
        <w:rPr>
          <w:rFonts w:eastAsia="Calibri"/>
          <w:color w:val="000000" w:themeColor="text1"/>
          <w:sz w:val="24"/>
          <w:szCs w:val="24"/>
        </w:rPr>
        <w:t xml:space="preserve">2020 m. spalio mėn. </w:t>
      </w:r>
      <w:r w:rsidR="00800D82" w:rsidRPr="00A758D9">
        <w:rPr>
          <w:rFonts w:eastAsia="Calibri"/>
          <w:color w:val="000000" w:themeColor="text1"/>
          <w:sz w:val="24"/>
          <w:szCs w:val="24"/>
        </w:rPr>
        <w:t>Bendrovė pasiūlė įsigyti savo akcij</w:t>
      </w:r>
      <w:r w:rsidR="003148D1" w:rsidRPr="00A758D9">
        <w:rPr>
          <w:rFonts w:eastAsia="Calibri"/>
          <w:color w:val="000000" w:themeColor="text1"/>
          <w:sz w:val="24"/>
          <w:szCs w:val="24"/>
        </w:rPr>
        <w:t>as</w:t>
      </w:r>
      <w:r w:rsidR="00800D82" w:rsidRPr="00A758D9">
        <w:rPr>
          <w:rFonts w:eastAsia="Calibri"/>
          <w:color w:val="000000" w:themeColor="text1"/>
          <w:sz w:val="24"/>
          <w:szCs w:val="24"/>
        </w:rPr>
        <w:t xml:space="preserve"> visuomenei</w:t>
      </w:r>
      <w:r w:rsidR="009B3913" w:rsidRPr="00A758D9">
        <w:rPr>
          <w:rStyle w:val="FootnoteReference"/>
          <w:rFonts w:eastAsia="Calibri"/>
          <w:color w:val="000000" w:themeColor="text1"/>
          <w:sz w:val="24"/>
          <w:szCs w:val="24"/>
        </w:rPr>
        <w:footnoteReference w:id="13"/>
      </w:r>
      <w:r w:rsidR="00BD7C04" w:rsidRPr="00A758D9">
        <w:rPr>
          <w:rFonts w:eastAsia="Calibri"/>
          <w:color w:val="000000" w:themeColor="text1"/>
          <w:sz w:val="24"/>
          <w:szCs w:val="24"/>
        </w:rPr>
        <w:t>, kur</w:t>
      </w:r>
      <w:r w:rsidR="009B3913" w:rsidRPr="00A758D9">
        <w:rPr>
          <w:rFonts w:eastAsia="Calibri"/>
          <w:color w:val="000000" w:themeColor="text1"/>
          <w:sz w:val="24"/>
          <w:szCs w:val="24"/>
        </w:rPr>
        <w:t xml:space="preserve"> </w:t>
      </w:r>
      <w:r w:rsidR="00BD7C04" w:rsidRPr="00A758D9">
        <w:rPr>
          <w:rFonts w:eastAsia="Calibri"/>
          <w:color w:val="000000" w:themeColor="text1"/>
          <w:sz w:val="24"/>
          <w:szCs w:val="24"/>
        </w:rPr>
        <w:t>AB „Swedbank“</w:t>
      </w:r>
      <w:r w:rsidR="009B3913" w:rsidRPr="00A758D9">
        <w:rPr>
          <w:rFonts w:eastAsia="Calibri"/>
          <w:color w:val="000000" w:themeColor="text1"/>
          <w:sz w:val="24"/>
          <w:szCs w:val="24"/>
        </w:rPr>
        <w:t xml:space="preserve"> </w:t>
      </w:r>
      <w:r w:rsidR="00BD7C04" w:rsidRPr="00A758D9">
        <w:rPr>
          <w:rFonts w:eastAsia="Calibri"/>
          <w:color w:val="000000" w:themeColor="text1"/>
          <w:sz w:val="24"/>
          <w:szCs w:val="24"/>
        </w:rPr>
        <w:t>buvo pagrindinis jungtinis proceso koordinatorius</w:t>
      </w:r>
      <w:r w:rsidR="00541D7E" w:rsidRPr="00A758D9">
        <w:rPr>
          <w:rFonts w:eastAsia="Calibri"/>
          <w:color w:val="000000" w:themeColor="text1"/>
          <w:sz w:val="24"/>
          <w:szCs w:val="24"/>
        </w:rPr>
        <w:t xml:space="preserve"> ir </w:t>
      </w:r>
      <w:r w:rsidR="00BD7C04" w:rsidRPr="00A758D9">
        <w:rPr>
          <w:rFonts w:eastAsia="Calibri"/>
          <w:color w:val="000000" w:themeColor="text1"/>
          <w:sz w:val="24"/>
          <w:szCs w:val="24"/>
        </w:rPr>
        <w:t>vienas iš tiekėjų</w:t>
      </w:r>
      <w:r w:rsidR="00800D82" w:rsidRPr="00A758D9">
        <w:rPr>
          <w:rFonts w:eastAsia="Calibri"/>
          <w:color w:val="000000" w:themeColor="text1"/>
          <w:sz w:val="24"/>
          <w:szCs w:val="24"/>
        </w:rPr>
        <w:t>, kuris</w:t>
      </w:r>
      <w:r w:rsidR="00BD7C04" w:rsidRPr="00A758D9">
        <w:rPr>
          <w:rFonts w:eastAsia="Calibri"/>
          <w:color w:val="000000" w:themeColor="text1"/>
          <w:sz w:val="24"/>
          <w:szCs w:val="24"/>
        </w:rPr>
        <w:t xml:space="preserve"> platino </w:t>
      </w:r>
      <w:r w:rsidR="00800D82" w:rsidRPr="00A758D9">
        <w:rPr>
          <w:rFonts w:eastAsia="Calibri"/>
          <w:color w:val="000000" w:themeColor="text1"/>
          <w:sz w:val="24"/>
          <w:szCs w:val="24"/>
        </w:rPr>
        <w:t>Bendrovės</w:t>
      </w:r>
      <w:r w:rsidR="00BD7C04" w:rsidRPr="00A758D9">
        <w:rPr>
          <w:rFonts w:eastAsia="Calibri"/>
          <w:color w:val="000000" w:themeColor="text1"/>
          <w:sz w:val="24"/>
          <w:szCs w:val="24"/>
        </w:rPr>
        <w:t xml:space="preserve"> akcijas</w:t>
      </w:r>
      <w:r w:rsidR="00926C48" w:rsidRPr="00A758D9">
        <w:rPr>
          <w:rFonts w:eastAsia="Calibri"/>
          <w:color w:val="000000" w:themeColor="text1"/>
          <w:sz w:val="24"/>
          <w:szCs w:val="24"/>
        </w:rPr>
        <w:t>. S</w:t>
      </w:r>
      <w:r w:rsidR="00BD7C04" w:rsidRPr="00A758D9">
        <w:rPr>
          <w:rFonts w:eastAsia="Calibri"/>
          <w:color w:val="000000" w:themeColor="text1"/>
          <w:sz w:val="24"/>
          <w:szCs w:val="24"/>
        </w:rPr>
        <w:t xml:space="preserve">iekiant užtikrinti efektyvų pirminio viešojo </w:t>
      </w:r>
      <w:r w:rsidR="00800D82" w:rsidRPr="00A758D9">
        <w:rPr>
          <w:rFonts w:eastAsia="Calibri"/>
          <w:color w:val="000000" w:themeColor="text1"/>
          <w:sz w:val="24"/>
          <w:szCs w:val="24"/>
        </w:rPr>
        <w:t>Bendrovės</w:t>
      </w:r>
      <w:r w:rsidR="00BD7C04" w:rsidRPr="00A758D9">
        <w:rPr>
          <w:rFonts w:eastAsia="Calibri"/>
          <w:color w:val="000000" w:themeColor="text1"/>
          <w:sz w:val="24"/>
          <w:szCs w:val="24"/>
        </w:rPr>
        <w:t xml:space="preserve"> akcijų siūlymo įgyvendinimą, sąlyginio deponavimo</w:t>
      </w:r>
      <w:r w:rsidR="009B3913" w:rsidRPr="00A758D9">
        <w:rPr>
          <w:rStyle w:val="FootnoteReference"/>
          <w:rFonts w:eastAsia="Calibri"/>
          <w:color w:val="000000" w:themeColor="text1"/>
          <w:sz w:val="24"/>
          <w:szCs w:val="24"/>
        </w:rPr>
        <w:footnoteReference w:id="14"/>
      </w:r>
      <w:r w:rsidR="009B3913" w:rsidRPr="00A758D9">
        <w:rPr>
          <w:rFonts w:eastAsia="Calibri"/>
          <w:color w:val="000000" w:themeColor="text1"/>
          <w:sz w:val="24"/>
          <w:szCs w:val="24"/>
        </w:rPr>
        <w:t xml:space="preserve"> </w:t>
      </w:r>
      <w:r w:rsidR="00BD7C04" w:rsidRPr="00A758D9">
        <w:rPr>
          <w:rFonts w:eastAsia="Calibri"/>
          <w:color w:val="000000" w:themeColor="text1"/>
          <w:sz w:val="24"/>
          <w:szCs w:val="24"/>
        </w:rPr>
        <w:t>sąskaitos atidarymo/uždarymo paslaugas suteikė – AB „Swedbank“</w:t>
      </w:r>
      <w:r w:rsidR="00E77A81" w:rsidRPr="00A758D9">
        <w:rPr>
          <w:rStyle w:val="FootnoteReference"/>
          <w:rFonts w:eastAsia="Calibri"/>
          <w:color w:val="000000" w:themeColor="text1"/>
          <w:sz w:val="24"/>
          <w:szCs w:val="24"/>
        </w:rPr>
        <w:footnoteReference w:id="15"/>
      </w:r>
      <w:r w:rsidR="00BD7C04" w:rsidRPr="00A758D9">
        <w:rPr>
          <w:rFonts w:eastAsia="Calibri"/>
          <w:color w:val="000000" w:themeColor="text1"/>
          <w:sz w:val="24"/>
          <w:szCs w:val="24"/>
        </w:rPr>
        <w:t>, pasiūlęs geriausias sąlygas</w:t>
      </w:r>
      <w:r w:rsidR="00E77A81" w:rsidRPr="00A758D9">
        <w:rPr>
          <w:rFonts w:eastAsia="Calibri"/>
          <w:color w:val="000000" w:themeColor="text1"/>
          <w:sz w:val="24"/>
          <w:szCs w:val="24"/>
        </w:rPr>
        <w:t>. Šiuo metu s</w:t>
      </w:r>
      <w:r w:rsidR="00BD7C04" w:rsidRPr="00A758D9">
        <w:rPr>
          <w:rFonts w:eastAsia="Calibri"/>
          <w:color w:val="000000" w:themeColor="text1"/>
          <w:sz w:val="24"/>
          <w:szCs w:val="24"/>
        </w:rPr>
        <w:t xml:space="preserve">usidarė situacija, kad didžioji dalis </w:t>
      </w:r>
      <w:r w:rsidR="00E77A81" w:rsidRPr="00A758D9">
        <w:rPr>
          <w:rFonts w:eastAsia="Calibri"/>
          <w:color w:val="000000" w:themeColor="text1"/>
          <w:sz w:val="24"/>
          <w:szCs w:val="24"/>
        </w:rPr>
        <w:t>Bendrovės</w:t>
      </w:r>
      <w:r w:rsidR="00BD7C04" w:rsidRPr="00A758D9">
        <w:rPr>
          <w:rFonts w:eastAsia="Calibri"/>
          <w:color w:val="000000" w:themeColor="text1"/>
          <w:sz w:val="24"/>
          <w:szCs w:val="24"/>
        </w:rPr>
        <w:t xml:space="preserve"> lėšų po IPO laikomos AB „Swedbank“ (visos po IPO sutrauktos lėšos pervestos į banke atidarytą Escrow sąskaitą)</w:t>
      </w:r>
      <w:r w:rsidR="00E77A81" w:rsidRPr="00A758D9">
        <w:rPr>
          <w:rFonts w:eastAsia="Calibri"/>
          <w:color w:val="000000" w:themeColor="text1"/>
          <w:sz w:val="24"/>
          <w:szCs w:val="24"/>
        </w:rPr>
        <w:t>, todėl s</w:t>
      </w:r>
      <w:r w:rsidR="00BD7C04" w:rsidRPr="00A758D9">
        <w:rPr>
          <w:rFonts w:eastAsia="Calibri"/>
          <w:color w:val="000000" w:themeColor="text1"/>
          <w:sz w:val="24"/>
          <w:szCs w:val="24"/>
        </w:rPr>
        <w:t xml:space="preserve">iekiant sukurti konkurencingą aplinką ir norint išvengti </w:t>
      </w:r>
      <w:r w:rsidR="00BD7C04" w:rsidRPr="00A758D9">
        <w:rPr>
          <w:rFonts w:eastAsia="Calibri"/>
          <w:color w:val="000000" w:themeColor="text1"/>
          <w:sz w:val="24"/>
          <w:szCs w:val="24"/>
        </w:rPr>
        <w:lastRenderedPageBreak/>
        <w:t>galimų rizikų</w:t>
      </w:r>
      <w:r w:rsidR="003148D1" w:rsidRPr="00A758D9">
        <w:rPr>
          <w:rFonts w:eastAsia="Calibri"/>
          <w:color w:val="000000" w:themeColor="text1"/>
          <w:sz w:val="24"/>
          <w:szCs w:val="24"/>
        </w:rPr>
        <w:t>,</w:t>
      </w:r>
      <w:r w:rsidR="00BD7C04" w:rsidRPr="00A758D9">
        <w:rPr>
          <w:rFonts w:eastAsia="Calibri"/>
          <w:color w:val="000000" w:themeColor="text1"/>
          <w:sz w:val="24"/>
          <w:szCs w:val="24"/>
        </w:rPr>
        <w:t xml:space="preserve"> susijusių su lėšų valdymu, </w:t>
      </w:r>
      <w:r w:rsidR="00E77A81" w:rsidRPr="00A758D9">
        <w:rPr>
          <w:rFonts w:eastAsia="Calibri"/>
          <w:color w:val="000000" w:themeColor="text1"/>
          <w:sz w:val="24"/>
          <w:szCs w:val="24"/>
        </w:rPr>
        <w:t xml:space="preserve">priimtas sprendimas Bendrovės </w:t>
      </w:r>
      <w:r w:rsidR="00BD7C04" w:rsidRPr="00A758D9">
        <w:rPr>
          <w:rFonts w:eastAsia="Calibri"/>
          <w:color w:val="000000" w:themeColor="text1"/>
          <w:sz w:val="24"/>
          <w:szCs w:val="24"/>
        </w:rPr>
        <w:t>lėšas paskirstyti visiems bankinių paslaugų teikėjams, kurie atitinka nustatytus kriterijus</w:t>
      </w:r>
      <w:r w:rsidR="00E77A81" w:rsidRPr="00A758D9">
        <w:rPr>
          <w:rFonts w:eastAsia="Calibri"/>
          <w:color w:val="000000" w:themeColor="text1"/>
          <w:sz w:val="24"/>
          <w:szCs w:val="24"/>
        </w:rPr>
        <w:t xml:space="preserve">. </w:t>
      </w:r>
    </w:p>
    <w:p w14:paraId="7AD44453" w14:textId="3FD467C8" w:rsidR="00D1280A" w:rsidRPr="00A758D9" w:rsidRDefault="00703255" w:rsidP="005D2CC0">
      <w:pPr>
        <w:ind w:firstLine="680"/>
        <w:jc w:val="both"/>
        <w:rPr>
          <w:color w:val="000000" w:themeColor="text1"/>
          <w:sz w:val="24"/>
          <w:szCs w:val="24"/>
        </w:rPr>
      </w:pPr>
      <w:r w:rsidRPr="00A758D9">
        <w:rPr>
          <w:rFonts w:eastAsia="Calibri"/>
          <w:color w:val="000000" w:themeColor="text1"/>
          <w:sz w:val="24"/>
          <w:szCs w:val="24"/>
        </w:rPr>
        <w:t>Perkanči</w:t>
      </w:r>
      <w:r w:rsidR="00E77A81" w:rsidRPr="00A758D9">
        <w:rPr>
          <w:rFonts w:eastAsia="Calibri"/>
          <w:color w:val="000000" w:themeColor="text1"/>
          <w:sz w:val="24"/>
          <w:szCs w:val="24"/>
        </w:rPr>
        <w:t xml:space="preserve">oji </w:t>
      </w:r>
      <w:r w:rsidRPr="00A758D9">
        <w:rPr>
          <w:rFonts w:eastAsia="Calibri"/>
          <w:color w:val="000000" w:themeColor="text1"/>
          <w:sz w:val="24"/>
          <w:szCs w:val="24"/>
        </w:rPr>
        <w:t>organizacija</w:t>
      </w:r>
      <w:r w:rsidR="00E77A81" w:rsidRPr="00A758D9">
        <w:rPr>
          <w:rFonts w:eastAsia="Calibri"/>
          <w:color w:val="000000" w:themeColor="text1"/>
          <w:sz w:val="24"/>
          <w:szCs w:val="24"/>
        </w:rPr>
        <w:t xml:space="preserve"> paaiškina, kad šiuo metu nurodytų </w:t>
      </w:r>
      <w:r w:rsidR="00B82D92" w:rsidRPr="00A758D9">
        <w:rPr>
          <w:rFonts w:eastAsia="Calibri"/>
          <w:color w:val="000000" w:themeColor="text1"/>
          <w:sz w:val="24"/>
          <w:szCs w:val="24"/>
        </w:rPr>
        <w:t xml:space="preserve">bankų </w:t>
      </w:r>
      <w:r w:rsidR="00E77A81" w:rsidRPr="00A758D9">
        <w:rPr>
          <w:rFonts w:eastAsia="Calibri"/>
          <w:color w:val="000000" w:themeColor="text1"/>
          <w:sz w:val="24"/>
          <w:szCs w:val="24"/>
        </w:rPr>
        <w:t xml:space="preserve"> Bendrovei</w:t>
      </w:r>
      <w:r w:rsidRPr="00A758D9">
        <w:rPr>
          <w:rFonts w:eastAsia="Calibri"/>
          <w:color w:val="000000" w:themeColor="text1"/>
          <w:sz w:val="24"/>
          <w:szCs w:val="24"/>
        </w:rPr>
        <w:t xml:space="preserve"> pilnai pakanka įgyvendinti Iždo valdymo politiką, kuri</w:t>
      </w:r>
      <w:r w:rsidR="00E77A81" w:rsidRPr="00A758D9">
        <w:rPr>
          <w:rFonts w:eastAsia="Calibri"/>
          <w:color w:val="000000" w:themeColor="text1"/>
          <w:sz w:val="24"/>
          <w:szCs w:val="24"/>
        </w:rPr>
        <w:t xml:space="preserve">oje be kita ko nurodoma, kad </w:t>
      </w:r>
      <w:r w:rsidRPr="00A758D9">
        <w:rPr>
          <w:rFonts w:eastAsia="Calibri"/>
          <w:i/>
          <w:iCs/>
          <w:color w:val="000000" w:themeColor="text1"/>
          <w:sz w:val="24"/>
          <w:szCs w:val="24"/>
        </w:rPr>
        <w:t xml:space="preserve">ilgesniu nei 90 dienų laikotarpiu ne didesnė nei 1/3 dalis turimų piniginių išteklių </w:t>
      </w:r>
      <w:r w:rsidR="0070278F" w:rsidRPr="00A758D9">
        <w:rPr>
          <w:rFonts w:eastAsia="Calibri"/>
          <w:i/>
          <w:iCs/>
          <w:color w:val="000000" w:themeColor="text1"/>
          <w:sz w:val="24"/>
          <w:szCs w:val="24"/>
        </w:rPr>
        <w:t>t</w:t>
      </w:r>
      <w:r w:rsidR="00326596" w:rsidRPr="00A758D9">
        <w:rPr>
          <w:rFonts w:eastAsia="Calibri"/>
          <w:i/>
          <w:iCs/>
          <w:color w:val="000000" w:themeColor="text1"/>
          <w:sz w:val="24"/>
          <w:szCs w:val="24"/>
        </w:rPr>
        <w:t xml:space="preserve">uri būti </w:t>
      </w:r>
      <w:r w:rsidRPr="00A758D9">
        <w:rPr>
          <w:rFonts w:eastAsia="Calibri"/>
          <w:i/>
          <w:iCs/>
          <w:color w:val="000000" w:themeColor="text1"/>
          <w:sz w:val="24"/>
          <w:szCs w:val="24"/>
        </w:rPr>
        <w:t>laikoma vienos finansinės institucijos sąskaitose ar investuota į jos ar su ja tiesiogiai susijusio emitento vertybinius popierius</w:t>
      </w:r>
      <w:r w:rsidR="00E77A81" w:rsidRPr="00A758D9">
        <w:rPr>
          <w:rFonts w:eastAsia="Calibri"/>
          <w:color w:val="000000" w:themeColor="text1"/>
          <w:sz w:val="24"/>
          <w:szCs w:val="24"/>
        </w:rPr>
        <w:t>. Atsižvelgiant į tai, siekiama,</w:t>
      </w:r>
      <w:r w:rsidRPr="00A758D9">
        <w:rPr>
          <w:rFonts w:eastAsia="Calibri"/>
          <w:color w:val="000000" w:themeColor="text1"/>
          <w:sz w:val="24"/>
          <w:szCs w:val="24"/>
        </w:rPr>
        <w:t xml:space="preserve"> </w:t>
      </w:r>
      <w:r w:rsidR="00E77A81" w:rsidRPr="00A758D9">
        <w:rPr>
          <w:rFonts w:eastAsia="Calibri"/>
          <w:color w:val="000000" w:themeColor="text1"/>
          <w:sz w:val="24"/>
          <w:szCs w:val="24"/>
        </w:rPr>
        <w:t xml:space="preserve">kad </w:t>
      </w:r>
      <w:r w:rsidR="00B82D92" w:rsidRPr="00A758D9">
        <w:rPr>
          <w:rFonts w:eastAsia="Calibri"/>
          <w:color w:val="000000" w:themeColor="text1"/>
          <w:sz w:val="24"/>
          <w:szCs w:val="24"/>
        </w:rPr>
        <w:t xml:space="preserve">ir toliau </w:t>
      </w:r>
      <w:r w:rsidR="00E77A81" w:rsidRPr="00A758D9">
        <w:rPr>
          <w:rFonts w:eastAsia="Calibri"/>
          <w:color w:val="000000" w:themeColor="text1"/>
          <w:sz w:val="24"/>
          <w:szCs w:val="24"/>
        </w:rPr>
        <w:t xml:space="preserve">Bendrovės </w:t>
      </w:r>
      <w:r w:rsidR="005D2C89" w:rsidRPr="00A758D9">
        <w:rPr>
          <w:rFonts w:eastAsia="Calibri"/>
          <w:color w:val="000000" w:themeColor="text1"/>
          <w:sz w:val="24"/>
          <w:szCs w:val="24"/>
        </w:rPr>
        <w:t xml:space="preserve">lėšos būtų </w:t>
      </w:r>
      <w:r w:rsidR="00B82D92" w:rsidRPr="00A758D9">
        <w:rPr>
          <w:rFonts w:eastAsia="Calibri"/>
          <w:color w:val="000000" w:themeColor="text1"/>
          <w:sz w:val="24"/>
          <w:szCs w:val="24"/>
        </w:rPr>
        <w:t xml:space="preserve">paskirstytos </w:t>
      </w:r>
      <w:r w:rsidR="005D2C89" w:rsidRPr="00A758D9">
        <w:rPr>
          <w:rFonts w:eastAsia="Calibri"/>
          <w:color w:val="000000" w:themeColor="text1"/>
          <w:sz w:val="24"/>
          <w:szCs w:val="24"/>
        </w:rPr>
        <w:t>keliuose</w:t>
      </w:r>
      <w:r w:rsidRPr="00A758D9">
        <w:rPr>
          <w:rFonts w:eastAsia="Calibri"/>
          <w:color w:val="000000" w:themeColor="text1"/>
          <w:sz w:val="24"/>
          <w:szCs w:val="24"/>
        </w:rPr>
        <w:t xml:space="preserve"> Lietuvoje veikiančiuose bankuose, kurie atitinka </w:t>
      </w:r>
      <w:r w:rsidR="00541D7E" w:rsidRPr="00A758D9">
        <w:rPr>
          <w:rFonts w:eastAsia="Calibri"/>
          <w:color w:val="000000" w:themeColor="text1"/>
          <w:sz w:val="24"/>
          <w:szCs w:val="24"/>
        </w:rPr>
        <w:t>I</w:t>
      </w:r>
      <w:r w:rsidRPr="00A758D9">
        <w:rPr>
          <w:rFonts w:eastAsia="Calibri"/>
          <w:color w:val="000000" w:themeColor="text1"/>
          <w:sz w:val="24"/>
          <w:szCs w:val="24"/>
        </w:rPr>
        <w:t>ždo</w:t>
      </w:r>
      <w:r w:rsidR="00326596" w:rsidRPr="00A758D9">
        <w:rPr>
          <w:rFonts w:eastAsia="Calibri"/>
          <w:color w:val="000000" w:themeColor="text1"/>
          <w:sz w:val="24"/>
          <w:szCs w:val="24"/>
        </w:rPr>
        <w:t xml:space="preserve"> valdymo</w:t>
      </w:r>
      <w:r w:rsidRPr="00A758D9">
        <w:rPr>
          <w:rFonts w:eastAsia="Calibri"/>
          <w:color w:val="000000" w:themeColor="text1"/>
          <w:sz w:val="24"/>
          <w:szCs w:val="24"/>
        </w:rPr>
        <w:t xml:space="preserve"> politiką. </w:t>
      </w:r>
      <w:r w:rsidR="005D2C89" w:rsidRPr="00A758D9">
        <w:rPr>
          <w:rFonts w:eastAsia="Calibri"/>
          <w:color w:val="000000" w:themeColor="text1"/>
          <w:sz w:val="24"/>
          <w:szCs w:val="24"/>
        </w:rPr>
        <w:t xml:space="preserve">Pažymėtina, kad priėmus sprendimą atidaryti </w:t>
      </w:r>
      <w:r w:rsidRPr="00A758D9">
        <w:rPr>
          <w:rFonts w:eastAsia="Calibri"/>
          <w:color w:val="000000" w:themeColor="text1"/>
          <w:sz w:val="24"/>
          <w:szCs w:val="24"/>
        </w:rPr>
        <w:t xml:space="preserve">sąskaitas </w:t>
      </w:r>
      <w:r w:rsidR="005D2C89" w:rsidRPr="00A758D9">
        <w:rPr>
          <w:rFonts w:eastAsia="Calibri"/>
          <w:color w:val="000000" w:themeColor="text1"/>
          <w:sz w:val="24"/>
          <w:szCs w:val="24"/>
        </w:rPr>
        <w:t xml:space="preserve">kituose </w:t>
      </w:r>
      <w:r w:rsidRPr="00A758D9">
        <w:rPr>
          <w:rFonts w:eastAsia="Calibri"/>
          <w:color w:val="000000" w:themeColor="text1"/>
          <w:sz w:val="24"/>
          <w:szCs w:val="24"/>
        </w:rPr>
        <w:t>bankuose</w:t>
      </w:r>
      <w:r w:rsidR="00D0116A" w:rsidRPr="00A758D9">
        <w:rPr>
          <w:rFonts w:eastAsia="Calibri"/>
          <w:color w:val="000000" w:themeColor="text1"/>
          <w:sz w:val="24"/>
          <w:szCs w:val="24"/>
        </w:rPr>
        <w:t xml:space="preserve"> </w:t>
      </w:r>
      <w:r w:rsidR="005D2C89" w:rsidRPr="00A758D9">
        <w:rPr>
          <w:rFonts w:eastAsia="Calibri"/>
          <w:color w:val="000000" w:themeColor="text1"/>
          <w:sz w:val="24"/>
          <w:szCs w:val="24"/>
        </w:rPr>
        <w:t xml:space="preserve">Bendrovė </w:t>
      </w:r>
      <w:r w:rsidRPr="00A758D9">
        <w:rPr>
          <w:rFonts w:eastAsia="Calibri"/>
          <w:color w:val="000000" w:themeColor="text1"/>
          <w:sz w:val="24"/>
          <w:szCs w:val="24"/>
        </w:rPr>
        <w:t>patirtų didesnę sandorio šalies riziką bei didintų bendrus bankų paslaugų kaštus.</w:t>
      </w:r>
      <w:r w:rsidR="00541D7E" w:rsidRPr="00A758D9">
        <w:rPr>
          <w:rFonts w:eastAsia="Calibri"/>
          <w:color w:val="000000" w:themeColor="text1"/>
          <w:sz w:val="24"/>
          <w:szCs w:val="24"/>
        </w:rPr>
        <w:t xml:space="preserve"> </w:t>
      </w:r>
      <w:r w:rsidR="005D2C89" w:rsidRPr="00A758D9">
        <w:rPr>
          <w:rFonts w:eastAsia="Calibri"/>
          <w:color w:val="000000" w:themeColor="text1"/>
          <w:sz w:val="24"/>
          <w:szCs w:val="24"/>
        </w:rPr>
        <w:t>D</w:t>
      </w:r>
      <w:r w:rsidR="00541D7E" w:rsidRPr="00A758D9">
        <w:rPr>
          <w:rFonts w:eastAsia="Calibri"/>
          <w:color w:val="000000" w:themeColor="text1"/>
          <w:sz w:val="24"/>
          <w:szCs w:val="24"/>
        </w:rPr>
        <w:t xml:space="preserve">idžiausią </w:t>
      </w:r>
      <w:r w:rsidR="00326596" w:rsidRPr="00A758D9">
        <w:rPr>
          <w:rFonts w:eastAsia="Calibri"/>
          <w:color w:val="000000" w:themeColor="text1"/>
          <w:sz w:val="24"/>
          <w:szCs w:val="24"/>
        </w:rPr>
        <w:t xml:space="preserve">šių </w:t>
      </w:r>
      <w:r w:rsidR="00541D7E" w:rsidRPr="00A758D9">
        <w:rPr>
          <w:rFonts w:eastAsia="Calibri"/>
          <w:color w:val="000000" w:themeColor="text1"/>
          <w:sz w:val="24"/>
          <w:szCs w:val="24"/>
        </w:rPr>
        <w:t xml:space="preserve">Pirkimų vertės </w:t>
      </w:r>
      <w:r w:rsidR="005D2C89" w:rsidRPr="00A758D9">
        <w:rPr>
          <w:rFonts w:eastAsia="Calibri"/>
          <w:color w:val="000000" w:themeColor="text1"/>
          <w:sz w:val="24"/>
          <w:szCs w:val="24"/>
        </w:rPr>
        <w:t xml:space="preserve">dalį </w:t>
      </w:r>
      <w:r w:rsidR="00541D7E" w:rsidRPr="00A758D9">
        <w:rPr>
          <w:rFonts w:eastAsia="Calibri"/>
          <w:color w:val="000000" w:themeColor="text1"/>
          <w:sz w:val="24"/>
          <w:szCs w:val="24"/>
        </w:rPr>
        <w:t xml:space="preserve">sudaro palūkanos mokamos už pinigų likučius sąskaitose. Europos centrinis bankas yra apmokestinęs bankų, veikiančių Europos sąjungoje, laikomas lėšas sąskaitose. </w:t>
      </w:r>
      <w:r w:rsidR="00245409" w:rsidRPr="00A758D9">
        <w:rPr>
          <w:rFonts w:eastAsia="Calibri"/>
          <w:color w:val="000000" w:themeColor="text1"/>
          <w:sz w:val="24"/>
          <w:szCs w:val="24"/>
        </w:rPr>
        <w:t>P</w:t>
      </w:r>
      <w:r w:rsidR="005D2C89" w:rsidRPr="00A758D9">
        <w:rPr>
          <w:rFonts w:eastAsia="Calibri"/>
          <w:color w:val="000000" w:themeColor="text1"/>
          <w:sz w:val="24"/>
          <w:szCs w:val="24"/>
        </w:rPr>
        <w:t>rašyme nurodoma,</w:t>
      </w:r>
      <w:r w:rsidR="00245409" w:rsidRPr="00A758D9">
        <w:rPr>
          <w:rFonts w:eastAsia="Calibri"/>
          <w:color w:val="000000" w:themeColor="text1"/>
          <w:sz w:val="24"/>
          <w:szCs w:val="24"/>
        </w:rPr>
        <w:t xml:space="preserve"> kad </w:t>
      </w:r>
      <w:r w:rsidR="00BD7C04" w:rsidRPr="00A758D9">
        <w:rPr>
          <w:rFonts w:eastAsia="Calibri"/>
          <w:color w:val="000000" w:themeColor="text1"/>
          <w:sz w:val="24"/>
          <w:szCs w:val="24"/>
        </w:rPr>
        <w:t xml:space="preserve">kiekvieną kartą, </w:t>
      </w:r>
      <w:r w:rsidR="005D2C89" w:rsidRPr="00A758D9">
        <w:rPr>
          <w:rFonts w:eastAsia="Calibri"/>
          <w:color w:val="000000" w:themeColor="text1"/>
          <w:sz w:val="24"/>
          <w:szCs w:val="24"/>
        </w:rPr>
        <w:t xml:space="preserve">Bendrovė </w:t>
      </w:r>
      <w:r w:rsidR="00BD7C04" w:rsidRPr="00A758D9">
        <w:rPr>
          <w:rFonts w:eastAsia="Calibri"/>
          <w:color w:val="000000" w:themeColor="text1"/>
          <w:sz w:val="24"/>
          <w:szCs w:val="24"/>
        </w:rPr>
        <w:t xml:space="preserve">gaudama pavedimą į savo turimas sąskaitas, neprivalo </w:t>
      </w:r>
      <w:r w:rsidR="005D2C89" w:rsidRPr="00A758D9">
        <w:rPr>
          <w:rFonts w:eastAsia="Calibri"/>
          <w:color w:val="000000" w:themeColor="text1"/>
          <w:sz w:val="24"/>
          <w:szCs w:val="24"/>
        </w:rPr>
        <w:t xml:space="preserve">vykdyti naujo </w:t>
      </w:r>
      <w:r w:rsidR="00BD7C04" w:rsidRPr="00A758D9">
        <w:rPr>
          <w:rFonts w:eastAsia="Calibri"/>
          <w:color w:val="000000" w:themeColor="text1"/>
          <w:sz w:val="24"/>
          <w:szCs w:val="24"/>
        </w:rPr>
        <w:t>pirkimo, sprendžiant į kurią sąskaitą šie pinigai turėtų būti pervedami</w:t>
      </w:r>
      <w:r w:rsidR="00245409" w:rsidRPr="00A758D9">
        <w:rPr>
          <w:rFonts w:eastAsia="Calibri"/>
          <w:color w:val="000000" w:themeColor="text1"/>
          <w:sz w:val="24"/>
          <w:szCs w:val="24"/>
        </w:rPr>
        <w:t xml:space="preserve">, o </w:t>
      </w:r>
      <w:r w:rsidR="00BD7C04" w:rsidRPr="00A758D9">
        <w:rPr>
          <w:rFonts w:eastAsia="Calibri"/>
          <w:color w:val="000000" w:themeColor="text1"/>
          <w:sz w:val="24"/>
          <w:szCs w:val="24"/>
        </w:rPr>
        <w:t xml:space="preserve">sąskaitose esančias lėšas dėl techninių galimybių gali aptarnauti tik tas bankas, </w:t>
      </w:r>
      <w:r w:rsidR="005D2C89" w:rsidRPr="00A758D9">
        <w:rPr>
          <w:rFonts w:eastAsia="Calibri"/>
          <w:color w:val="000000" w:themeColor="text1"/>
          <w:sz w:val="24"/>
          <w:szCs w:val="24"/>
        </w:rPr>
        <w:t xml:space="preserve">į </w:t>
      </w:r>
      <w:r w:rsidR="00BD7C04" w:rsidRPr="00A758D9">
        <w:rPr>
          <w:rFonts w:eastAsia="Calibri"/>
          <w:color w:val="000000" w:themeColor="text1"/>
          <w:sz w:val="24"/>
          <w:szCs w:val="24"/>
        </w:rPr>
        <w:t>kurio sąskait</w:t>
      </w:r>
      <w:r w:rsidR="005D2C89" w:rsidRPr="00A758D9">
        <w:rPr>
          <w:rFonts w:eastAsia="Calibri"/>
          <w:color w:val="000000" w:themeColor="text1"/>
          <w:sz w:val="24"/>
          <w:szCs w:val="24"/>
        </w:rPr>
        <w:t xml:space="preserve">ą tos lėšos buvo pervestos, todėl nėra galimybės </w:t>
      </w:r>
      <w:r w:rsidR="00BD7C04" w:rsidRPr="00A758D9">
        <w:rPr>
          <w:rFonts w:eastAsia="Calibri"/>
          <w:color w:val="000000" w:themeColor="text1"/>
          <w:sz w:val="24"/>
          <w:szCs w:val="24"/>
        </w:rPr>
        <w:t xml:space="preserve"> už vieno banko atliktus pavedimus, ar viename banke laikomas lėšas</w:t>
      </w:r>
      <w:r w:rsidR="00926C48" w:rsidRPr="00A758D9">
        <w:rPr>
          <w:rFonts w:eastAsia="Calibri"/>
          <w:color w:val="000000" w:themeColor="text1"/>
          <w:sz w:val="24"/>
          <w:szCs w:val="24"/>
        </w:rPr>
        <w:t>,</w:t>
      </w:r>
      <w:r w:rsidR="00BD7C04" w:rsidRPr="00A758D9">
        <w:rPr>
          <w:rFonts w:eastAsia="Calibri"/>
          <w:color w:val="000000" w:themeColor="text1"/>
          <w:sz w:val="24"/>
          <w:szCs w:val="24"/>
        </w:rPr>
        <w:t xml:space="preserve"> atsiskaityti kitam bankui. </w:t>
      </w:r>
      <w:r w:rsidR="005D2C89" w:rsidRPr="00A758D9">
        <w:rPr>
          <w:rFonts w:eastAsia="Calibri"/>
          <w:color w:val="000000" w:themeColor="text1"/>
          <w:sz w:val="24"/>
          <w:szCs w:val="24"/>
        </w:rPr>
        <w:t xml:space="preserve">Perkančioji organizacija paaiškina, kad net ir vykdant </w:t>
      </w:r>
      <w:r w:rsidR="00BD7C04" w:rsidRPr="00A758D9">
        <w:rPr>
          <w:rFonts w:eastAsia="Calibri"/>
          <w:color w:val="000000" w:themeColor="text1"/>
          <w:sz w:val="24"/>
          <w:szCs w:val="24"/>
        </w:rPr>
        <w:t xml:space="preserve">skelbiamą viešąjį pirkimą situacija </w:t>
      </w:r>
      <w:r w:rsidR="005D2C89" w:rsidRPr="00A758D9">
        <w:rPr>
          <w:rFonts w:eastAsia="Calibri"/>
          <w:color w:val="000000" w:themeColor="text1"/>
          <w:sz w:val="24"/>
          <w:szCs w:val="24"/>
        </w:rPr>
        <w:t xml:space="preserve">iš esmės </w:t>
      </w:r>
      <w:r w:rsidR="00BD7C04" w:rsidRPr="00A758D9">
        <w:rPr>
          <w:rFonts w:eastAsia="Calibri"/>
          <w:color w:val="000000" w:themeColor="text1"/>
          <w:sz w:val="24"/>
          <w:szCs w:val="24"/>
        </w:rPr>
        <w:t xml:space="preserve">nesikeistų, </w:t>
      </w:r>
      <w:r w:rsidR="005D2C89" w:rsidRPr="00A758D9">
        <w:rPr>
          <w:rFonts w:eastAsia="Calibri"/>
          <w:color w:val="000000" w:themeColor="text1"/>
          <w:sz w:val="24"/>
          <w:szCs w:val="24"/>
        </w:rPr>
        <w:t xml:space="preserve">kadangi vadovaujantis </w:t>
      </w:r>
      <w:bookmarkStart w:id="9" w:name="_Hlk62467580"/>
      <w:r w:rsidR="005D2C89" w:rsidRPr="00A758D9">
        <w:rPr>
          <w:rFonts w:eastAsia="Calibri"/>
          <w:color w:val="000000" w:themeColor="text1"/>
          <w:sz w:val="24"/>
          <w:szCs w:val="24"/>
        </w:rPr>
        <w:t xml:space="preserve">Bendrovės patvirtinta Iždo </w:t>
      </w:r>
      <w:r w:rsidR="00326596" w:rsidRPr="00A758D9">
        <w:rPr>
          <w:rFonts w:eastAsia="Calibri"/>
          <w:color w:val="000000" w:themeColor="text1"/>
          <w:sz w:val="24"/>
          <w:szCs w:val="24"/>
        </w:rPr>
        <w:t xml:space="preserve">valdymo </w:t>
      </w:r>
      <w:r w:rsidR="005D2C89" w:rsidRPr="00A758D9">
        <w:rPr>
          <w:rFonts w:eastAsia="Calibri"/>
          <w:color w:val="000000" w:themeColor="text1"/>
          <w:sz w:val="24"/>
          <w:szCs w:val="24"/>
        </w:rPr>
        <w:t>politika</w:t>
      </w:r>
      <w:r w:rsidR="00BD7C04" w:rsidRPr="00A758D9">
        <w:rPr>
          <w:rFonts w:eastAsia="Calibri"/>
          <w:color w:val="000000" w:themeColor="text1"/>
          <w:sz w:val="24"/>
          <w:szCs w:val="24"/>
        </w:rPr>
        <w:t xml:space="preserve"> </w:t>
      </w:r>
      <w:r w:rsidR="005D2C89" w:rsidRPr="00A758D9">
        <w:rPr>
          <w:rFonts w:eastAsia="Calibri"/>
          <w:color w:val="000000" w:themeColor="text1"/>
          <w:sz w:val="24"/>
          <w:szCs w:val="24"/>
        </w:rPr>
        <w:t xml:space="preserve">piniginės </w:t>
      </w:r>
      <w:r w:rsidR="00BD7C04" w:rsidRPr="00A758D9">
        <w:rPr>
          <w:rFonts w:eastAsia="Calibri"/>
          <w:color w:val="000000" w:themeColor="text1"/>
          <w:sz w:val="24"/>
          <w:szCs w:val="24"/>
        </w:rPr>
        <w:t>lėš</w:t>
      </w:r>
      <w:r w:rsidR="005D2C89" w:rsidRPr="00A758D9">
        <w:rPr>
          <w:rFonts w:eastAsia="Calibri"/>
          <w:color w:val="000000" w:themeColor="text1"/>
          <w:sz w:val="24"/>
          <w:szCs w:val="24"/>
        </w:rPr>
        <w:t>os</w:t>
      </w:r>
      <w:r w:rsidR="00BD7C04" w:rsidRPr="00A758D9">
        <w:rPr>
          <w:rFonts w:eastAsia="Calibri"/>
          <w:color w:val="000000" w:themeColor="text1"/>
          <w:sz w:val="24"/>
          <w:szCs w:val="24"/>
        </w:rPr>
        <w:t xml:space="preserve"> </w:t>
      </w:r>
      <w:r w:rsidR="00326596" w:rsidRPr="00A758D9">
        <w:rPr>
          <w:rFonts w:eastAsia="Calibri"/>
          <w:color w:val="000000" w:themeColor="text1"/>
          <w:sz w:val="24"/>
          <w:szCs w:val="24"/>
        </w:rPr>
        <w:t xml:space="preserve">turi būti laikomos </w:t>
      </w:r>
      <w:r w:rsidR="00EA3B5D" w:rsidRPr="00A758D9">
        <w:rPr>
          <w:rFonts w:eastAsia="Calibri"/>
          <w:color w:val="000000" w:themeColor="text1"/>
          <w:sz w:val="24"/>
          <w:szCs w:val="24"/>
        </w:rPr>
        <w:t>keliose kredito įstaigose</w:t>
      </w:r>
      <w:r w:rsidR="00326596" w:rsidRPr="00A758D9">
        <w:rPr>
          <w:rFonts w:eastAsia="Calibri"/>
          <w:color w:val="000000" w:themeColor="text1"/>
          <w:sz w:val="24"/>
          <w:szCs w:val="24"/>
        </w:rPr>
        <w:t>, kuri</w:t>
      </w:r>
      <w:r w:rsidR="00EA3B5D" w:rsidRPr="00A758D9">
        <w:rPr>
          <w:rFonts w:eastAsia="Calibri"/>
          <w:color w:val="000000" w:themeColor="text1"/>
          <w:sz w:val="24"/>
          <w:szCs w:val="24"/>
        </w:rPr>
        <w:t>ų</w:t>
      </w:r>
      <w:r w:rsidR="00655BBA" w:rsidRPr="00A758D9">
        <w:rPr>
          <w:rFonts w:eastAsia="Calibri"/>
          <w:color w:val="000000" w:themeColor="text1"/>
          <w:sz w:val="24"/>
          <w:szCs w:val="24"/>
        </w:rPr>
        <w:t xml:space="preserve"> </w:t>
      </w:r>
      <w:r w:rsidR="00926C48" w:rsidRPr="00A758D9">
        <w:rPr>
          <w:rFonts w:eastAsia="Calibri"/>
          <w:color w:val="000000" w:themeColor="text1"/>
          <w:sz w:val="24"/>
          <w:szCs w:val="24"/>
        </w:rPr>
        <w:t xml:space="preserve">kredito rizikos reitingas yra </w:t>
      </w:r>
      <w:r w:rsidR="00EA3B5D" w:rsidRPr="00A758D9">
        <w:rPr>
          <w:rFonts w:eastAsia="Calibri"/>
          <w:color w:val="000000" w:themeColor="text1"/>
          <w:sz w:val="24"/>
          <w:szCs w:val="24"/>
        </w:rPr>
        <w:t xml:space="preserve">ne </w:t>
      </w:r>
      <w:r w:rsidR="00926C48" w:rsidRPr="00A758D9">
        <w:rPr>
          <w:rFonts w:eastAsia="Calibri"/>
          <w:color w:val="000000" w:themeColor="text1"/>
          <w:sz w:val="24"/>
          <w:szCs w:val="24"/>
        </w:rPr>
        <w:t>mažesnis nei A-</w:t>
      </w:r>
      <w:r w:rsidR="00EA3B5D" w:rsidRPr="00A758D9">
        <w:rPr>
          <w:rFonts w:eastAsia="Calibri"/>
          <w:color w:val="000000" w:themeColor="text1"/>
          <w:sz w:val="24"/>
          <w:szCs w:val="24"/>
        </w:rPr>
        <w:t xml:space="preserve">, o sandoriai, kurių </w:t>
      </w:r>
      <w:r w:rsidR="00EA3B5D" w:rsidRPr="00A758D9">
        <w:rPr>
          <w:color w:val="000000" w:themeColor="text1"/>
          <w:sz w:val="24"/>
          <w:szCs w:val="24"/>
        </w:rPr>
        <w:t>bendra suma einamuoju laikotarpiu neviršija maksimalaus limito, patvirtinto Finansinių rizikų politikoje nustatyta tvarka, gali būti sudaromi su bankais</w:t>
      </w:r>
      <w:r w:rsidR="00EA3B5D" w:rsidRPr="00A758D9">
        <w:rPr>
          <w:rFonts w:eastAsia="Calibri"/>
          <w:color w:val="000000" w:themeColor="text1"/>
          <w:sz w:val="24"/>
          <w:szCs w:val="24"/>
        </w:rPr>
        <w:t xml:space="preserve">, </w:t>
      </w:r>
      <w:bookmarkStart w:id="10" w:name="_Hlk62473487"/>
      <w:r w:rsidR="00EA3B5D" w:rsidRPr="00A758D9">
        <w:rPr>
          <w:rFonts w:eastAsia="Calibri"/>
          <w:color w:val="000000" w:themeColor="text1"/>
          <w:sz w:val="24"/>
          <w:szCs w:val="24"/>
        </w:rPr>
        <w:t>kurių kredito rizikos reitingas yra mažesnis nei A-, bet ne žemesnis nei BBB-</w:t>
      </w:r>
      <w:bookmarkEnd w:id="9"/>
      <w:bookmarkEnd w:id="10"/>
      <w:r w:rsidR="00BD7C04" w:rsidRPr="00A758D9">
        <w:rPr>
          <w:rFonts w:eastAsia="Calibri"/>
          <w:color w:val="000000" w:themeColor="text1"/>
          <w:sz w:val="24"/>
          <w:szCs w:val="24"/>
        </w:rPr>
        <w:t>.</w:t>
      </w:r>
      <w:r w:rsidR="00245409" w:rsidRPr="00A758D9">
        <w:rPr>
          <w:rFonts w:eastAsia="Calibri"/>
          <w:color w:val="000000" w:themeColor="text1"/>
          <w:sz w:val="24"/>
          <w:szCs w:val="24"/>
        </w:rPr>
        <w:t xml:space="preserve"> </w:t>
      </w:r>
      <w:r w:rsidR="00D1280A" w:rsidRPr="00A758D9">
        <w:rPr>
          <w:rFonts w:eastAsia="Calibri"/>
          <w:color w:val="000000" w:themeColor="text1"/>
          <w:sz w:val="24"/>
          <w:szCs w:val="24"/>
        </w:rPr>
        <w:t>Atsižvelgiant į aukščiau nurodytą, šiais Pirkimais</w:t>
      </w:r>
      <w:r w:rsidR="005D2CC0" w:rsidRPr="00A758D9">
        <w:rPr>
          <w:rStyle w:val="FootnoteReference"/>
          <w:rFonts w:eastAsia="Calibri"/>
          <w:color w:val="000000" w:themeColor="text1"/>
          <w:sz w:val="24"/>
          <w:szCs w:val="24"/>
        </w:rPr>
        <w:footnoteReference w:id="16"/>
      </w:r>
      <w:r w:rsidR="00D1280A" w:rsidRPr="00A758D9">
        <w:rPr>
          <w:rFonts w:eastAsia="Calibri"/>
          <w:color w:val="000000" w:themeColor="text1"/>
          <w:sz w:val="24"/>
          <w:szCs w:val="24"/>
        </w:rPr>
        <w:t xml:space="preserve"> siekiamas įsigyti paslaugas nagrinėjamu atveju gali suteikti tik konkretūs </w:t>
      </w:r>
      <w:r w:rsidR="00326596" w:rsidRPr="00A758D9">
        <w:rPr>
          <w:rFonts w:eastAsia="Calibri"/>
          <w:color w:val="000000" w:themeColor="text1"/>
          <w:sz w:val="24"/>
          <w:szCs w:val="24"/>
        </w:rPr>
        <w:t xml:space="preserve">tiekėjai </w:t>
      </w:r>
      <w:r w:rsidR="00D1280A" w:rsidRPr="00A758D9">
        <w:rPr>
          <w:rFonts w:eastAsia="Calibri"/>
          <w:color w:val="000000" w:themeColor="text1"/>
          <w:sz w:val="24"/>
          <w:szCs w:val="24"/>
        </w:rPr>
        <w:t>–</w:t>
      </w:r>
      <w:r w:rsidR="00D1280A" w:rsidRPr="00A758D9">
        <w:rPr>
          <w:rFonts w:eastAsia="Calibri"/>
          <w:iCs/>
          <w:color w:val="000000" w:themeColor="text1"/>
          <w:sz w:val="24"/>
          <w:szCs w:val="24"/>
        </w:rPr>
        <w:t xml:space="preserve"> </w:t>
      </w:r>
      <w:r w:rsidR="00EA3B5D" w:rsidRPr="00A758D9">
        <w:rPr>
          <w:rFonts w:eastAsia="Calibri"/>
          <w:iCs/>
          <w:color w:val="000000" w:themeColor="text1"/>
          <w:sz w:val="24"/>
          <w:szCs w:val="24"/>
        </w:rPr>
        <w:t xml:space="preserve">Lietuvoje veikiantys bankai </w:t>
      </w:r>
      <w:r w:rsidR="00D1280A" w:rsidRPr="00A758D9">
        <w:rPr>
          <w:rFonts w:eastAsia="Calibri"/>
          <w:iCs/>
          <w:color w:val="000000" w:themeColor="text1"/>
          <w:sz w:val="24"/>
          <w:szCs w:val="24"/>
        </w:rPr>
        <w:t>AB „SEB Bankas“, AB „Swedbank“</w:t>
      </w:r>
      <w:r w:rsidR="005D2CC0" w:rsidRPr="00A758D9">
        <w:rPr>
          <w:rFonts w:eastAsia="Calibri"/>
          <w:iCs/>
          <w:color w:val="000000" w:themeColor="text1"/>
          <w:sz w:val="24"/>
          <w:szCs w:val="24"/>
        </w:rPr>
        <w:t xml:space="preserve"> </w:t>
      </w:r>
      <w:r w:rsidR="00D1280A" w:rsidRPr="00A758D9">
        <w:rPr>
          <w:rFonts w:eastAsia="Calibri"/>
          <w:iCs/>
          <w:color w:val="000000" w:themeColor="text1"/>
          <w:sz w:val="24"/>
          <w:szCs w:val="24"/>
        </w:rPr>
        <w:t>ir Luminor Bank AS</w:t>
      </w:r>
      <w:r w:rsidR="00655BBA" w:rsidRPr="00A758D9">
        <w:rPr>
          <w:rFonts w:eastAsia="Calibri"/>
          <w:iCs/>
          <w:color w:val="000000" w:themeColor="text1"/>
          <w:sz w:val="24"/>
          <w:szCs w:val="24"/>
        </w:rPr>
        <w:t xml:space="preserve"> </w:t>
      </w:r>
      <w:r w:rsidR="00D1280A" w:rsidRPr="00A758D9">
        <w:rPr>
          <w:rFonts w:eastAsia="Calibri"/>
          <w:iCs/>
          <w:color w:val="000000" w:themeColor="text1"/>
          <w:sz w:val="24"/>
          <w:szCs w:val="24"/>
        </w:rPr>
        <w:t>Lietuvos skyrius</w:t>
      </w:r>
      <w:r w:rsidR="00D1280A" w:rsidRPr="00A758D9">
        <w:rPr>
          <w:rFonts w:eastAsia="Calibri"/>
          <w:color w:val="000000" w:themeColor="text1"/>
          <w:sz w:val="24"/>
          <w:szCs w:val="24"/>
        </w:rPr>
        <w:t xml:space="preserve">, todėl </w:t>
      </w:r>
      <w:r w:rsidR="005D2CC0" w:rsidRPr="00A758D9">
        <w:rPr>
          <w:rFonts w:eastAsia="Calibri"/>
          <w:color w:val="000000" w:themeColor="text1"/>
          <w:sz w:val="24"/>
          <w:szCs w:val="24"/>
        </w:rPr>
        <w:t>Perkančioji organizacija priėmė sprendimą Pirkimus vykdyti neskelbiamų derybų būdu, vadovaujantis Įstatymo 71 straipsnio 1 dalies 2 punkto (b) papunkčio nuostatomis, ir prašo Tarnybos sutikimo dėl tokio pirkimo būdo pasirinkimo.</w:t>
      </w:r>
    </w:p>
    <w:p w14:paraId="325102BC" w14:textId="15E57984" w:rsidR="00C52655" w:rsidRPr="00A758D9" w:rsidRDefault="00C52655" w:rsidP="005D2CC0">
      <w:pPr>
        <w:ind w:firstLine="680"/>
        <w:jc w:val="both"/>
        <w:rPr>
          <w:rFonts w:eastAsia="Calibri"/>
          <w:i/>
          <w:iCs/>
          <w:color w:val="000000" w:themeColor="text1"/>
          <w:sz w:val="24"/>
          <w:szCs w:val="24"/>
        </w:rPr>
      </w:pPr>
      <w:r w:rsidRPr="00A758D9">
        <w:rPr>
          <w:rFonts w:eastAsia="Calibri"/>
          <w:color w:val="000000" w:themeColor="text1"/>
          <w:sz w:val="24"/>
          <w:szCs w:val="24"/>
        </w:rPr>
        <w:t>Įstatymo 71 straipsnio 1 dalies 2 punkto (</w:t>
      </w:r>
      <w:r w:rsidR="003B4FC1" w:rsidRPr="00A758D9">
        <w:rPr>
          <w:rFonts w:eastAsia="Calibri"/>
          <w:color w:val="000000" w:themeColor="text1"/>
          <w:sz w:val="24"/>
          <w:szCs w:val="24"/>
        </w:rPr>
        <w:t>b</w:t>
      </w:r>
      <w:r w:rsidRPr="00A758D9">
        <w:rPr>
          <w:rFonts w:eastAsia="Calibri"/>
          <w:color w:val="000000" w:themeColor="text1"/>
          <w:sz w:val="24"/>
          <w:szCs w:val="24"/>
        </w:rPr>
        <w:t xml:space="preserve">) papunkčio nuostatose įtvirtinta, kad prekės, paslaugos ar darbai neskelbiamų derybų būdu gali būti perkamos: </w:t>
      </w:r>
      <w:r w:rsidRPr="00A758D9">
        <w:rPr>
          <w:rFonts w:eastAsia="Calibri"/>
          <w:i/>
          <w:iCs/>
          <w:color w:val="000000" w:themeColor="text1"/>
          <w:sz w:val="24"/>
          <w:szCs w:val="24"/>
        </w:rPr>
        <w:t xml:space="preserve">„jeigu prekes pateikti, paslaugas teikti ar darbus atlikti gali tik konkretus tiekėjas dėl vienos iš šių priežasčių: &lt;...&gt; </w:t>
      </w:r>
      <w:r w:rsidR="00267D26" w:rsidRPr="00A758D9">
        <w:rPr>
          <w:rFonts w:eastAsia="Calibri"/>
          <w:i/>
          <w:iCs/>
          <w:color w:val="000000" w:themeColor="text1"/>
          <w:sz w:val="24"/>
          <w:szCs w:val="24"/>
        </w:rPr>
        <w:t>b</w:t>
      </w:r>
      <w:r w:rsidRPr="00A758D9">
        <w:rPr>
          <w:rFonts w:eastAsia="Calibri"/>
          <w:i/>
          <w:iCs/>
          <w:color w:val="000000" w:themeColor="text1"/>
          <w:sz w:val="24"/>
          <w:szCs w:val="24"/>
        </w:rPr>
        <w:t xml:space="preserve">) </w:t>
      </w:r>
      <w:r w:rsidR="00267D26" w:rsidRPr="00A758D9">
        <w:rPr>
          <w:rFonts w:eastAsia="Calibri"/>
          <w:i/>
          <w:iCs/>
          <w:color w:val="000000" w:themeColor="text1"/>
          <w:sz w:val="24"/>
          <w:szCs w:val="24"/>
        </w:rPr>
        <w:t>konkurencijos nėra dėl techninių priežasčių;</w:t>
      </w:r>
    </w:p>
    <w:p w14:paraId="1BCAF91A" w14:textId="19D3244A" w:rsidR="003B4FC1" w:rsidRPr="00A758D9" w:rsidRDefault="007C37DB" w:rsidP="00C21F8F">
      <w:pPr>
        <w:ind w:firstLine="680"/>
        <w:jc w:val="both"/>
        <w:rPr>
          <w:color w:val="000000" w:themeColor="text1"/>
          <w:sz w:val="24"/>
          <w:szCs w:val="24"/>
        </w:rPr>
      </w:pPr>
      <w:r w:rsidRPr="00A758D9">
        <w:rPr>
          <w:bCs/>
          <w:color w:val="000000" w:themeColor="text1"/>
          <w:sz w:val="24"/>
          <w:szCs w:val="24"/>
          <w:lang w:eastAsia="lt-LT"/>
        </w:rPr>
        <w:t>Perkančiosios organizacijos prašym</w:t>
      </w:r>
      <w:r w:rsidR="00400538" w:rsidRPr="00A758D9">
        <w:rPr>
          <w:bCs/>
          <w:color w:val="000000" w:themeColor="text1"/>
          <w:sz w:val="24"/>
          <w:szCs w:val="24"/>
          <w:lang w:eastAsia="lt-LT"/>
        </w:rPr>
        <w:t>uose</w:t>
      </w:r>
      <w:r w:rsidRPr="00A758D9">
        <w:rPr>
          <w:bCs/>
          <w:color w:val="000000" w:themeColor="text1"/>
          <w:sz w:val="24"/>
          <w:szCs w:val="24"/>
          <w:lang w:eastAsia="lt-LT"/>
        </w:rPr>
        <w:t xml:space="preserve"> nurodytos aplinkybės, pateikti dokumentai bei papildomai pateikta informacija patvirtina, jog Pirkim</w:t>
      </w:r>
      <w:r w:rsidR="00400538" w:rsidRPr="00A758D9">
        <w:rPr>
          <w:bCs/>
          <w:color w:val="000000" w:themeColor="text1"/>
          <w:sz w:val="24"/>
          <w:szCs w:val="24"/>
          <w:lang w:eastAsia="lt-LT"/>
        </w:rPr>
        <w:t>ais</w:t>
      </w:r>
      <w:r w:rsidRPr="00A758D9">
        <w:rPr>
          <w:bCs/>
          <w:color w:val="000000" w:themeColor="text1"/>
          <w:sz w:val="24"/>
          <w:szCs w:val="24"/>
          <w:lang w:eastAsia="lt-LT"/>
        </w:rPr>
        <w:t xml:space="preserve"> siekiamas įsigyti paslaugas</w:t>
      </w:r>
      <w:r w:rsidRPr="00A758D9">
        <w:rPr>
          <w:color w:val="000000" w:themeColor="text1"/>
          <w:sz w:val="24"/>
          <w:szCs w:val="24"/>
        </w:rPr>
        <w:t xml:space="preserve"> </w:t>
      </w:r>
      <w:r w:rsidR="00576910" w:rsidRPr="00A758D9">
        <w:rPr>
          <w:color w:val="000000" w:themeColor="text1"/>
          <w:sz w:val="24"/>
          <w:szCs w:val="24"/>
        </w:rPr>
        <w:t>– t</w:t>
      </w:r>
      <w:r w:rsidR="00576910" w:rsidRPr="00A758D9">
        <w:rPr>
          <w:rFonts w:eastAsia="Calibri"/>
          <w:color w:val="000000" w:themeColor="text1"/>
          <w:sz w:val="24"/>
          <w:szCs w:val="24"/>
        </w:rPr>
        <w:t xml:space="preserve">arptautinės banko sąskaitos aptarnavimo ir naujų sąskaitų atidarymo bei jų aptarnavimo paslaugas </w:t>
      </w:r>
      <w:r w:rsidR="00EA3B5D" w:rsidRPr="00A758D9">
        <w:rPr>
          <w:rFonts w:eastAsia="Calibri"/>
          <w:color w:val="000000" w:themeColor="text1"/>
          <w:sz w:val="24"/>
          <w:szCs w:val="24"/>
        </w:rPr>
        <w:t xml:space="preserve">nagrinėjamu atveju </w:t>
      </w:r>
      <w:r w:rsidR="00576910" w:rsidRPr="00A758D9">
        <w:rPr>
          <w:rFonts w:eastAsia="Calibri"/>
          <w:color w:val="000000" w:themeColor="text1"/>
          <w:sz w:val="24"/>
          <w:szCs w:val="24"/>
        </w:rPr>
        <w:t>gali suteikti konkretūs tiekėjai, kurie atitinka Bendrovės patvirtintos Iždo valdymo politikos reikalavimus</w:t>
      </w:r>
      <w:r w:rsidR="00FE2FC8" w:rsidRPr="00A758D9">
        <w:rPr>
          <w:rFonts w:eastAsia="Calibri"/>
          <w:color w:val="000000" w:themeColor="text1"/>
          <w:sz w:val="24"/>
          <w:szCs w:val="24"/>
        </w:rPr>
        <w:t>:</w:t>
      </w:r>
      <w:r w:rsidR="00576910" w:rsidRPr="00A758D9">
        <w:rPr>
          <w:rFonts w:eastAsia="Calibri"/>
          <w:color w:val="000000" w:themeColor="text1"/>
          <w:sz w:val="24"/>
          <w:szCs w:val="24"/>
        </w:rPr>
        <w:t xml:space="preserve"> </w:t>
      </w:r>
      <w:r w:rsidR="00EA3B5D" w:rsidRPr="00A758D9">
        <w:rPr>
          <w:rFonts w:eastAsia="Calibri"/>
          <w:color w:val="000000" w:themeColor="text1"/>
          <w:sz w:val="24"/>
          <w:szCs w:val="24"/>
        </w:rPr>
        <w:t xml:space="preserve">(i) </w:t>
      </w:r>
      <w:r w:rsidR="00FE2FC8" w:rsidRPr="00A758D9">
        <w:rPr>
          <w:rFonts w:eastAsia="Calibri"/>
          <w:color w:val="000000" w:themeColor="text1"/>
          <w:sz w:val="24"/>
          <w:szCs w:val="24"/>
        </w:rPr>
        <w:t>bank</w:t>
      </w:r>
      <w:r w:rsidR="00B82D92" w:rsidRPr="00A758D9">
        <w:rPr>
          <w:rFonts w:eastAsia="Calibri"/>
          <w:color w:val="000000" w:themeColor="text1"/>
          <w:sz w:val="24"/>
          <w:szCs w:val="24"/>
        </w:rPr>
        <w:t xml:space="preserve">ų </w:t>
      </w:r>
      <w:r w:rsidR="00576910" w:rsidRPr="00A758D9">
        <w:rPr>
          <w:rFonts w:eastAsia="Calibri"/>
          <w:color w:val="000000" w:themeColor="text1"/>
          <w:sz w:val="24"/>
          <w:szCs w:val="24"/>
        </w:rPr>
        <w:t>kredito reitinga</w:t>
      </w:r>
      <w:r w:rsidR="00B82D92" w:rsidRPr="00A758D9">
        <w:rPr>
          <w:rFonts w:eastAsia="Calibri"/>
          <w:color w:val="000000" w:themeColor="text1"/>
          <w:sz w:val="24"/>
          <w:szCs w:val="24"/>
        </w:rPr>
        <w:t>i</w:t>
      </w:r>
      <w:r w:rsidR="00576910" w:rsidRPr="00A758D9">
        <w:rPr>
          <w:rFonts w:eastAsia="Calibri"/>
          <w:color w:val="000000" w:themeColor="text1"/>
          <w:sz w:val="24"/>
          <w:szCs w:val="24"/>
        </w:rPr>
        <w:t xml:space="preserve"> yra </w:t>
      </w:r>
      <w:r w:rsidR="00EA3B5D" w:rsidRPr="00A758D9">
        <w:rPr>
          <w:rFonts w:eastAsia="Calibri"/>
          <w:color w:val="000000" w:themeColor="text1"/>
          <w:sz w:val="24"/>
          <w:szCs w:val="24"/>
        </w:rPr>
        <w:t xml:space="preserve">ne mažesni nei </w:t>
      </w:r>
      <w:r w:rsidR="00576910" w:rsidRPr="00A758D9">
        <w:rPr>
          <w:rFonts w:eastAsia="Calibri"/>
          <w:color w:val="000000" w:themeColor="text1"/>
          <w:sz w:val="24"/>
          <w:szCs w:val="24"/>
        </w:rPr>
        <w:t xml:space="preserve">A-, </w:t>
      </w:r>
      <w:r w:rsidR="00EA3B5D" w:rsidRPr="00A758D9">
        <w:rPr>
          <w:rFonts w:eastAsia="Calibri"/>
          <w:color w:val="000000" w:themeColor="text1"/>
          <w:sz w:val="24"/>
          <w:szCs w:val="24"/>
        </w:rPr>
        <w:t xml:space="preserve">(ii) </w:t>
      </w:r>
      <w:r w:rsidR="00FE2FC8" w:rsidRPr="00A758D9">
        <w:rPr>
          <w:rFonts w:eastAsia="Calibri"/>
          <w:color w:val="000000" w:themeColor="text1"/>
          <w:sz w:val="24"/>
          <w:szCs w:val="24"/>
        </w:rPr>
        <w:t>bank</w:t>
      </w:r>
      <w:r w:rsidR="00B82D92" w:rsidRPr="00A758D9">
        <w:rPr>
          <w:rFonts w:eastAsia="Calibri"/>
          <w:color w:val="000000" w:themeColor="text1"/>
          <w:sz w:val="24"/>
          <w:szCs w:val="24"/>
        </w:rPr>
        <w:t>ų</w:t>
      </w:r>
      <w:r w:rsidR="00EA3B5D" w:rsidRPr="00A758D9">
        <w:rPr>
          <w:rFonts w:eastAsia="Calibri"/>
          <w:color w:val="000000" w:themeColor="text1"/>
          <w:sz w:val="24"/>
          <w:szCs w:val="24"/>
        </w:rPr>
        <w:t>kredito rizikos reitingas yra mažesnis nei A-, bet ne žemesnis nei BBB-</w:t>
      </w:r>
      <w:r w:rsidR="00FE2FC8" w:rsidRPr="00A758D9">
        <w:rPr>
          <w:rFonts w:eastAsia="Calibri"/>
          <w:color w:val="000000" w:themeColor="text1"/>
          <w:sz w:val="24"/>
          <w:szCs w:val="24"/>
        </w:rPr>
        <w:t xml:space="preserve">, t. y. </w:t>
      </w:r>
      <w:r w:rsidR="00B82D92" w:rsidRPr="00A758D9">
        <w:rPr>
          <w:rFonts w:eastAsia="Calibri"/>
          <w:color w:val="000000" w:themeColor="text1"/>
          <w:sz w:val="24"/>
          <w:szCs w:val="24"/>
        </w:rPr>
        <w:t xml:space="preserve">nustatytus reikalavimus Lietuvoje atitinka </w:t>
      </w:r>
      <w:r w:rsidR="00FE2FC8" w:rsidRPr="00A758D9">
        <w:rPr>
          <w:rFonts w:eastAsia="Calibri"/>
          <w:iCs/>
          <w:color w:val="000000" w:themeColor="text1"/>
          <w:sz w:val="24"/>
          <w:szCs w:val="24"/>
        </w:rPr>
        <w:t>AB „SEB Bankas“, AB „Swedbank“ ir Luminor Bank AS Lietuv</w:t>
      </w:r>
      <w:r w:rsidR="00B82D92" w:rsidRPr="00A758D9">
        <w:rPr>
          <w:rFonts w:eastAsia="Calibri"/>
          <w:iCs/>
          <w:color w:val="000000" w:themeColor="text1"/>
          <w:sz w:val="24"/>
          <w:szCs w:val="24"/>
        </w:rPr>
        <w:t>os skyrius</w:t>
      </w:r>
      <w:r w:rsidR="00FE2FC8" w:rsidRPr="00A758D9">
        <w:rPr>
          <w:rFonts w:eastAsia="Calibri"/>
          <w:color w:val="000000" w:themeColor="text1"/>
          <w:sz w:val="24"/>
          <w:szCs w:val="24"/>
        </w:rPr>
        <w:t xml:space="preserve">, ir tai atitinka neskelbiamų derybų pagrindą. </w:t>
      </w:r>
      <w:r w:rsidRPr="00A758D9">
        <w:rPr>
          <w:bCs/>
          <w:color w:val="000000" w:themeColor="text1"/>
          <w:sz w:val="24"/>
          <w:szCs w:val="24"/>
          <w:lang w:eastAsia="lt-LT"/>
        </w:rPr>
        <w:t xml:space="preserve">Įvertinusi aukščiau nurodytą bei vadovaudamasi Įstatymo 95 straipsnio 2 dalies 6 punkto nuostatomis, </w:t>
      </w:r>
      <w:r w:rsidRPr="00A758D9">
        <w:rPr>
          <w:b/>
          <w:color w:val="000000" w:themeColor="text1"/>
          <w:sz w:val="24"/>
          <w:szCs w:val="24"/>
          <w:lang w:eastAsia="lt-LT"/>
        </w:rPr>
        <w:t>Tarnyba sutinka</w:t>
      </w:r>
      <w:r w:rsidRPr="00A758D9">
        <w:rPr>
          <w:bCs/>
          <w:color w:val="000000" w:themeColor="text1"/>
          <w:sz w:val="24"/>
          <w:szCs w:val="24"/>
          <w:lang w:eastAsia="lt-LT"/>
        </w:rPr>
        <w:t>, kad Perkančioji organizacija Pirkim</w:t>
      </w:r>
      <w:r w:rsidR="00CE3901" w:rsidRPr="00A758D9">
        <w:rPr>
          <w:bCs/>
          <w:color w:val="000000" w:themeColor="text1"/>
          <w:sz w:val="24"/>
          <w:szCs w:val="24"/>
          <w:lang w:eastAsia="lt-LT"/>
        </w:rPr>
        <w:t>us</w:t>
      </w:r>
      <w:r w:rsidRPr="00A758D9">
        <w:rPr>
          <w:bCs/>
          <w:color w:val="000000" w:themeColor="text1"/>
          <w:sz w:val="24"/>
          <w:szCs w:val="24"/>
          <w:lang w:eastAsia="lt-LT"/>
        </w:rPr>
        <w:t xml:space="preserve"> vykdytų neskelbiamų derybų būdu, vadovaujantis Įstatymo</w:t>
      </w:r>
      <w:r w:rsidR="001444C2">
        <w:rPr>
          <w:bCs/>
          <w:color w:val="000000" w:themeColor="text1"/>
          <w:sz w:val="24"/>
          <w:szCs w:val="24"/>
          <w:lang w:eastAsia="lt-LT"/>
        </w:rPr>
        <w:t xml:space="preserve"> </w:t>
      </w:r>
      <w:r w:rsidRPr="00A758D9">
        <w:rPr>
          <w:bCs/>
          <w:color w:val="000000" w:themeColor="text1"/>
          <w:sz w:val="24"/>
          <w:szCs w:val="24"/>
          <w:lang w:eastAsia="lt-LT"/>
        </w:rPr>
        <w:t>71 straipsnio 1 dalies 2 punkto (b) papunkčio nuostatomis, į derybas kviečiant konkre</w:t>
      </w:r>
      <w:r w:rsidR="00541D7E" w:rsidRPr="00A758D9">
        <w:rPr>
          <w:bCs/>
          <w:color w:val="000000" w:themeColor="text1"/>
          <w:sz w:val="24"/>
          <w:szCs w:val="24"/>
          <w:lang w:eastAsia="lt-LT"/>
        </w:rPr>
        <w:t>čius</w:t>
      </w:r>
      <w:r w:rsidRPr="00A758D9">
        <w:rPr>
          <w:bCs/>
          <w:color w:val="000000" w:themeColor="text1"/>
          <w:sz w:val="24"/>
          <w:szCs w:val="24"/>
          <w:lang w:eastAsia="lt-LT"/>
        </w:rPr>
        <w:t xml:space="preserve"> </w:t>
      </w:r>
      <w:r w:rsidR="00FE2FC8" w:rsidRPr="00A758D9">
        <w:rPr>
          <w:bCs/>
          <w:color w:val="000000" w:themeColor="text1"/>
          <w:sz w:val="24"/>
          <w:szCs w:val="24"/>
          <w:lang w:eastAsia="lt-LT"/>
        </w:rPr>
        <w:t>t</w:t>
      </w:r>
      <w:r w:rsidRPr="00A758D9">
        <w:rPr>
          <w:bCs/>
          <w:color w:val="000000" w:themeColor="text1"/>
          <w:sz w:val="24"/>
          <w:szCs w:val="24"/>
          <w:lang w:eastAsia="lt-LT"/>
        </w:rPr>
        <w:t>iekėj</w:t>
      </w:r>
      <w:r w:rsidR="00541D7E" w:rsidRPr="00A758D9">
        <w:rPr>
          <w:bCs/>
          <w:color w:val="000000" w:themeColor="text1"/>
          <w:sz w:val="24"/>
          <w:szCs w:val="24"/>
          <w:lang w:eastAsia="lt-LT"/>
        </w:rPr>
        <w:t>us</w:t>
      </w:r>
      <w:r w:rsidRPr="00A758D9">
        <w:rPr>
          <w:bCs/>
          <w:color w:val="000000" w:themeColor="text1"/>
          <w:sz w:val="24"/>
          <w:szCs w:val="24"/>
          <w:lang w:eastAsia="lt-LT"/>
        </w:rPr>
        <w:t xml:space="preserve"> – </w:t>
      </w:r>
      <w:bookmarkStart w:id="11" w:name="_Hlk62479915"/>
      <w:r w:rsidR="00541D7E" w:rsidRPr="00A758D9">
        <w:rPr>
          <w:color w:val="000000" w:themeColor="text1"/>
          <w:sz w:val="24"/>
          <w:szCs w:val="24"/>
        </w:rPr>
        <w:t>AB „SEB Bankas“</w:t>
      </w:r>
      <w:bookmarkEnd w:id="11"/>
      <w:r w:rsidR="00541D7E" w:rsidRPr="00A758D9">
        <w:rPr>
          <w:color w:val="000000" w:themeColor="text1"/>
          <w:sz w:val="24"/>
          <w:szCs w:val="24"/>
        </w:rPr>
        <w:t xml:space="preserve">, </w:t>
      </w:r>
      <w:bookmarkStart w:id="12" w:name="_Hlk62479928"/>
      <w:r w:rsidR="00541D7E" w:rsidRPr="00A758D9">
        <w:rPr>
          <w:color w:val="000000" w:themeColor="text1"/>
          <w:sz w:val="24"/>
          <w:szCs w:val="24"/>
        </w:rPr>
        <w:t>AB „Swedbank“</w:t>
      </w:r>
      <w:bookmarkEnd w:id="12"/>
      <w:r w:rsidR="00541D7E" w:rsidRPr="00A758D9">
        <w:rPr>
          <w:color w:val="000000" w:themeColor="text1"/>
          <w:sz w:val="24"/>
          <w:szCs w:val="24"/>
        </w:rPr>
        <w:t xml:space="preserve"> ir </w:t>
      </w:r>
      <w:bookmarkStart w:id="13" w:name="_Hlk62479946"/>
      <w:r w:rsidR="00541D7E" w:rsidRPr="00A758D9">
        <w:rPr>
          <w:color w:val="000000" w:themeColor="text1"/>
          <w:sz w:val="24"/>
          <w:szCs w:val="24"/>
        </w:rPr>
        <w:t>Luminor Bank AS Lietuvos skyri</w:t>
      </w:r>
      <w:r w:rsidR="00CE3901" w:rsidRPr="00A758D9">
        <w:rPr>
          <w:color w:val="000000" w:themeColor="text1"/>
          <w:sz w:val="24"/>
          <w:szCs w:val="24"/>
        </w:rPr>
        <w:t>ų</w:t>
      </w:r>
      <w:bookmarkEnd w:id="13"/>
      <w:r w:rsidR="00541D7E" w:rsidRPr="00A758D9">
        <w:rPr>
          <w:color w:val="000000" w:themeColor="text1"/>
          <w:sz w:val="24"/>
          <w:szCs w:val="24"/>
        </w:rPr>
        <w:t>.</w:t>
      </w:r>
    </w:p>
    <w:p w14:paraId="7C3BD29E" w14:textId="6157DB7A" w:rsidR="00C21F8F" w:rsidRDefault="00C21F8F" w:rsidP="00C21F8F">
      <w:pPr>
        <w:ind w:firstLine="680"/>
        <w:jc w:val="both"/>
        <w:rPr>
          <w:color w:val="000000" w:themeColor="text1"/>
          <w:sz w:val="24"/>
          <w:szCs w:val="24"/>
        </w:rPr>
      </w:pPr>
    </w:p>
    <w:p w14:paraId="028BBC1A" w14:textId="77777777" w:rsidR="00C21F8F" w:rsidRPr="00C21F8F" w:rsidRDefault="00C21F8F" w:rsidP="00C21F8F">
      <w:pPr>
        <w:ind w:firstLine="680"/>
        <w:jc w:val="both"/>
        <w:rPr>
          <w:color w:val="000000" w:themeColor="text1"/>
          <w:sz w:val="24"/>
          <w:szCs w:val="24"/>
        </w:rPr>
      </w:pPr>
    </w:p>
    <w:p w14:paraId="54C329CB" w14:textId="6FD320A3" w:rsidR="003B4FC1" w:rsidRPr="00C21F8F" w:rsidRDefault="003B4FC1" w:rsidP="003B4FC1">
      <w:pPr>
        <w:shd w:val="clear" w:color="auto" w:fill="FFFFFF"/>
        <w:tabs>
          <w:tab w:val="left" w:pos="900"/>
        </w:tabs>
        <w:jc w:val="both"/>
        <w:rPr>
          <w:noProof/>
          <w:color w:val="000000" w:themeColor="text1"/>
          <w:sz w:val="24"/>
          <w:szCs w:val="24"/>
          <w:lang w:eastAsia="lt-LT"/>
        </w:rPr>
      </w:pPr>
      <w:r w:rsidRPr="00C21F8F">
        <w:rPr>
          <w:noProof/>
          <w:color w:val="000000" w:themeColor="text1"/>
          <w:sz w:val="24"/>
          <w:szCs w:val="24"/>
          <w:lang w:eastAsia="lt-LT"/>
        </w:rPr>
        <w:t>Direktorius</w:t>
      </w:r>
      <w:r w:rsidRPr="00C21F8F">
        <w:rPr>
          <w:noProof/>
          <w:color w:val="000000" w:themeColor="text1"/>
          <w:sz w:val="24"/>
          <w:szCs w:val="24"/>
          <w:lang w:eastAsia="lt-LT"/>
        </w:rPr>
        <w:tab/>
      </w:r>
      <w:r w:rsidRPr="00C21F8F">
        <w:rPr>
          <w:noProof/>
          <w:color w:val="000000" w:themeColor="text1"/>
          <w:sz w:val="24"/>
          <w:szCs w:val="24"/>
          <w:lang w:eastAsia="lt-LT"/>
        </w:rPr>
        <w:tab/>
      </w:r>
      <w:r w:rsidRPr="00C21F8F">
        <w:rPr>
          <w:noProof/>
          <w:color w:val="000000" w:themeColor="text1"/>
          <w:sz w:val="24"/>
          <w:szCs w:val="24"/>
          <w:lang w:eastAsia="lt-LT"/>
        </w:rPr>
        <w:tab/>
      </w:r>
      <w:r w:rsidRPr="00C21F8F">
        <w:rPr>
          <w:noProof/>
          <w:color w:val="000000" w:themeColor="text1"/>
          <w:sz w:val="24"/>
          <w:szCs w:val="24"/>
          <w:lang w:eastAsia="lt-LT"/>
        </w:rPr>
        <w:tab/>
      </w:r>
      <w:r w:rsidRPr="00C21F8F">
        <w:rPr>
          <w:noProof/>
          <w:color w:val="000000" w:themeColor="text1"/>
          <w:sz w:val="24"/>
          <w:szCs w:val="24"/>
          <w:lang w:eastAsia="lt-LT"/>
        </w:rPr>
        <w:tab/>
      </w:r>
      <w:r w:rsidRPr="00C21F8F">
        <w:rPr>
          <w:noProof/>
          <w:color w:val="000000" w:themeColor="text1"/>
          <w:sz w:val="24"/>
          <w:szCs w:val="24"/>
          <w:lang w:eastAsia="lt-LT"/>
        </w:rPr>
        <w:tab/>
        <w:t>Darius Vedrickas</w:t>
      </w:r>
    </w:p>
    <w:tbl>
      <w:tblPr>
        <w:tblW w:w="22818" w:type="dxa"/>
        <w:tblLook w:val="01E0" w:firstRow="1" w:lastRow="1" w:firstColumn="1" w:lastColumn="1" w:noHBand="0" w:noVBand="0"/>
      </w:tblPr>
      <w:tblGrid>
        <w:gridCol w:w="9639"/>
        <w:gridCol w:w="4393"/>
        <w:gridCol w:w="4393"/>
        <w:gridCol w:w="4393"/>
      </w:tblGrid>
      <w:tr w:rsidR="00E87D91" w:rsidRPr="00C21F8F" w14:paraId="3FA920A9" w14:textId="77777777" w:rsidTr="00E87D91">
        <w:tc>
          <w:tcPr>
            <w:tcW w:w="9639" w:type="dxa"/>
          </w:tcPr>
          <w:p w14:paraId="03CF97AD" w14:textId="77777777" w:rsidR="00E87D91" w:rsidRPr="00C21F8F" w:rsidRDefault="00E87D91" w:rsidP="00C52655">
            <w:pPr>
              <w:tabs>
                <w:tab w:val="left" w:pos="900"/>
              </w:tabs>
              <w:ind w:right="-2493"/>
              <w:jc w:val="both"/>
              <w:rPr>
                <w:color w:val="000000" w:themeColor="text1"/>
                <w:sz w:val="24"/>
                <w:szCs w:val="24"/>
              </w:rPr>
            </w:pPr>
          </w:p>
          <w:p w14:paraId="1B1B0AB1" w14:textId="4DA6276E" w:rsidR="00E87D91" w:rsidRPr="00C21F8F" w:rsidRDefault="00C21F8F" w:rsidP="00C52655">
            <w:pPr>
              <w:tabs>
                <w:tab w:val="left" w:pos="900"/>
              </w:tabs>
              <w:ind w:right="-2493"/>
              <w:jc w:val="both"/>
              <w:rPr>
                <w:color w:val="000000" w:themeColor="text1"/>
                <w:sz w:val="24"/>
                <w:szCs w:val="24"/>
              </w:rPr>
            </w:pPr>
            <w:r w:rsidRPr="00C21F8F">
              <w:rPr>
                <w:noProof/>
                <w:color w:val="000000" w:themeColor="text1"/>
                <w:sz w:val="24"/>
                <w:szCs w:val="24"/>
                <w:lang w:eastAsia="lt-LT"/>
              </w:rPr>
              <mc:AlternateContent>
                <mc:Choice Requires="wps">
                  <w:drawing>
                    <wp:anchor distT="0" distB="0" distL="114300" distR="114300" simplePos="0" relativeHeight="251659264" behindDoc="0" locked="1" layoutInCell="1" allowOverlap="0" wp14:anchorId="039FC2B1" wp14:editId="1EAB44A2">
                      <wp:simplePos x="0" y="0"/>
                      <wp:positionH relativeFrom="margin">
                        <wp:posOffset>-129540</wp:posOffset>
                      </wp:positionH>
                      <wp:positionV relativeFrom="page">
                        <wp:posOffset>361315</wp:posOffset>
                      </wp:positionV>
                      <wp:extent cx="5981700" cy="4197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92C2A" w14:textId="77777777" w:rsidR="00C21F8F" w:rsidRPr="00701A8B" w:rsidRDefault="00C21F8F" w:rsidP="00C21F8F">
                                  <w:pPr>
                                    <w:rPr>
                                      <w:color w:val="808080" w:themeColor="background1" w:themeShade="80"/>
                                      <w:sz w:val="22"/>
                                      <w:szCs w:val="24"/>
                                    </w:rPr>
                                  </w:pPr>
                                  <w:r w:rsidRPr="00701A8B">
                                    <w:rPr>
                                      <w:sz w:val="24"/>
                                      <w:szCs w:val="28"/>
                                      <w:lang w:val="en-US"/>
                                    </w:rPr>
                                    <w:t>Dovilė Gataukytė</w:t>
                                  </w:r>
                                  <w:r>
                                    <w:rPr>
                                      <w:sz w:val="24"/>
                                      <w:szCs w:val="28"/>
                                      <w:lang w:val="en-US"/>
                                    </w:rPr>
                                    <w:t>-Stelmachė</w:t>
                                  </w:r>
                                  <w:r w:rsidRPr="00701A8B">
                                    <w:rPr>
                                      <w:sz w:val="24"/>
                                      <w:szCs w:val="28"/>
                                      <w:lang w:val="en-US"/>
                                    </w:rPr>
                                    <w:t>, tel.</w:t>
                                  </w:r>
                                  <w:r>
                                    <w:rPr>
                                      <w:sz w:val="24"/>
                                      <w:szCs w:val="28"/>
                                      <w:lang w:val="en-US"/>
                                    </w:rPr>
                                    <w:t xml:space="preserve"> </w:t>
                                  </w:r>
                                  <w:r w:rsidRPr="00701A8B">
                                    <w:rPr>
                                      <w:sz w:val="24"/>
                                      <w:szCs w:val="28"/>
                                      <w:lang w:val="en-US"/>
                                    </w:rPr>
                                    <w:t>(8 5) 219 7017, faks. (8 5) 213 6213</w:t>
                                  </w:r>
                                  <w:r>
                                    <w:rPr>
                                      <w:sz w:val="24"/>
                                      <w:szCs w:val="28"/>
                                      <w:lang w:val="en-US"/>
                                    </w:rPr>
                                    <w:t xml:space="preserve"> </w:t>
                                  </w:r>
                                  <w:r w:rsidRPr="00701A8B">
                                    <w:rPr>
                                      <w:sz w:val="24"/>
                                      <w:szCs w:val="28"/>
                                      <w:lang w:val="en-US"/>
                                    </w:rPr>
                                    <w:t xml:space="preserve">el. p. </w:t>
                                  </w:r>
                                  <w:r w:rsidRPr="00701A8B">
                                    <w:rPr>
                                      <w:color w:val="808080" w:themeColor="background1" w:themeShade="80"/>
                                      <w:sz w:val="24"/>
                                      <w:szCs w:val="28"/>
                                      <w:lang w:val="en-US"/>
                                    </w:rPr>
                                    <w:t>Dovile.Gataukyte</w:t>
                                  </w:r>
                                  <w:r>
                                    <w:rPr>
                                      <w:color w:val="808080" w:themeColor="background1" w:themeShade="80"/>
                                      <w:sz w:val="24"/>
                                      <w:szCs w:val="28"/>
                                      <w:lang w:val="en-US"/>
                                    </w:rPr>
                                    <w:t>-Stelmache</w:t>
                                  </w:r>
                                  <w:r w:rsidRPr="00701A8B">
                                    <w:rPr>
                                      <w:color w:val="808080" w:themeColor="background1" w:themeShade="80"/>
                                      <w:sz w:val="24"/>
                                      <w:szCs w:val="28"/>
                                      <w:lang w:val="en-US"/>
                                    </w:rPr>
                                    <w:t>@vpt.lt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FC2B1" id="_x0000_t202" coordsize="21600,21600" o:spt="202" path="m,l,21600r21600,l21600,xe">
                      <v:stroke joinstyle="miter"/>
                      <v:path gradientshapeok="t" o:connecttype="rect"/>
                    </v:shapetype>
                    <v:shape id="Text Box 3" o:spid="_x0000_s1026" type="#_x0000_t202" style="position:absolute;left:0;text-align:left;margin-left:-10.2pt;margin-top:28.45pt;width:471pt;height:3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" o:allowoverlap="f" stroked="f">
                      <v:textbox>
                        <w:txbxContent>
                          <w:p w14:paraId="79392C2A" w14:textId="77777777" w:rsidR="00C21F8F" w:rsidRPr="00701A8B" w:rsidRDefault="00C21F8F" w:rsidP="00C21F8F">
                            <w:pPr>
                              <w:rPr>
                                <w:color w:val="808080" w:themeColor="background1" w:themeShade="80"/>
                                <w:sz w:val="22"/>
                                <w:szCs w:val="24"/>
                              </w:rPr>
                            </w:pPr>
                            <w:r w:rsidRPr="00701A8B">
                              <w:rPr>
                                <w:sz w:val="24"/>
                                <w:szCs w:val="28"/>
                                <w:lang w:val="en-US"/>
                              </w:rPr>
                              <w:t>Dovilė Gataukytė</w:t>
                            </w:r>
                            <w:r>
                              <w:rPr>
                                <w:sz w:val="24"/>
                                <w:szCs w:val="28"/>
                                <w:lang w:val="en-US"/>
                              </w:rPr>
                              <w:t>-Stelmachė</w:t>
                            </w:r>
                            <w:r w:rsidRPr="00701A8B">
                              <w:rPr>
                                <w:sz w:val="24"/>
                                <w:szCs w:val="28"/>
                                <w:lang w:val="en-US"/>
                              </w:rPr>
                              <w:t>, tel.</w:t>
                            </w:r>
                            <w:r>
                              <w:rPr>
                                <w:sz w:val="24"/>
                                <w:szCs w:val="28"/>
                                <w:lang w:val="en-US"/>
                              </w:rPr>
                              <w:t xml:space="preserve"> </w:t>
                            </w:r>
                            <w:r w:rsidRPr="00701A8B">
                              <w:rPr>
                                <w:sz w:val="24"/>
                                <w:szCs w:val="28"/>
                                <w:lang w:val="en-US"/>
                              </w:rPr>
                              <w:t>(8 5) 219 7017, faks. (8 5) 213 6213</w:t>
                            </w:r>
                            <w:r>
                              <w:rPr>
                                <w:sz w:val="24"/>
                                <w:szCs w:val="28"/>
                                <w:lang w:val="en-US"/>
                              </w:rPr>
                              <w:t xml:space="preserve"> </w:t>
                            </w:r>
                            <w:r w:rsidRPr="00701A8B">
                              <w:rPr>
                                <w:sz w:val="24"/>
                                <w:szCs w:val="28"/>
                                <w:lang w:val="en-US"/>
                              </w:rPr>
                              <w:t xml:space="preserve">el. p. </w:t>
                            </w:r>
                            <w:r w:rsidRPr="00701A8B">
                              <w:rPr>
                                <w:color w:val="808080" w:themeColor="background1" w:themeShade="80"/>
                                <w:sz w:val="24"/>
                                <w:szCs w:val="28"/>
                                <w:lang w:val="en-US"/>
                              </w:rPr>
                              <w:t>Dovile.Gataukyte</w:t>
                            </w:r>
                            <w:r>
                              <w:rPr>
                                <w:color w:val="808080" w:themeColor="background1" w:themeShade="80"/>
                                <w:sz w:val="24"/>
                                <w:szCs w:val="28"/>
                                <w:lang w:val="en-US"/>
                              </w:rPr>
                              <w:t>-Stelmache</w:t>
                            </w:r>
                            <w:r w:rsidRPr="00701A8B">
                              <w:rPr>
                                <w:color w:val="808080" w:themeColor="background1" w:themeShade="80"/>
                                <w:sz w:val="24"/>
                                <w:szCs w:val="28"/>
                                <w:lang w:val="en-US"/>
                              </w:rPr>
                              <w:t>@vpt.lt</w:t>
                            </w:r>
                          </w:p>
                        </w:txbxContent>
                      </v:textbox>
                      <w10:wrap anchorx="margin" anchory="page"/>
                      <w10:anchorlock/>
                    </v:shape>
                  </w:pict>
                </mc:Fallback>
              </mc:AlternateContent>
            </w:r>
          </w:p>
          <w:p w14:paraId="7775EDE8" w14:textId="77777777" w:rsidR="00E87D91" w:rsidRPr="00C21F8F" w:rsidRDefault="00E87D91" w:rsidP="00C52655">
            <w:pPr>
              <w:tabs>
                <w:tab w:val="left" w:pos="900"/>
              </w:tabs>
              <w:ind w:right="-2493"/>
              <w:jc w:val="both"/>
              <w:rPr>
                <w:color w:val="000000" w:themeColor="text1"/>
                <w:sz w:val="24"/>
                <w:szCs w:val="24"/>
              </w:rPr>
            </w:pPr>
          </w:p>
        </w:tc>
        <w:tc>
          <w:tcPr>
            <w:tcW w:w="4393" w:type="dxa"/>
          </w:tcPr>
          <w:p w14:paraId="63DE4883" w14:textId="77777777" w:rsidR="00E87D91" w:rsidRPr="00C21F8F" w:rsidRDefault="00E87D91" w:rsidP="00C52655">
            <w:pPr>
              <w:ind w:left="2018" w:right="141"/>
              <w:rPr>
                <w:color w:val="000000" w:themeColor="text1"/>
                <w:sz w:val="24"/>
                <w:szCs w:val="24"/>
              </w:rPr>
            </w:pPr>
          </w:p>
        </w:tc>
        <w:tc>
          <w:tcPr>
            <w:tcW w:w="4393" w:type="dxa"/>
          </w:tcPr>
          <w:p w14:paraId="79CF2D83" w14:textId="1525BD5D" w:rsidR="00E87D91" w:rsidRPr="00C21F8F" w:rsidRDefault="00E87D91" w:rsidP="00C52655">
            <w:pPr>
              <w:ind w:left="2018" w:right="141"/>
              <w:rPr>
                <w:color w:val="000000" w:themeColor="text1"/>
                <w:sz w:val="24"/>
                <w:szCs w:val="24"/>
              </w:rPr>
            </w:pPr>
          </w:p>
        </w:tc>
        <w:tc>
          <w:tcPr>
            <w:tcW w:w="4393" w:type="dxa"/>
          </w:tcPr>
          <w:p w14:paraId="0234D3AC" w14:textId="0A805F28" w:rsidR="00E87D91" w:rsidRPr="00C21F8F" w:rsidRDefault="00E87D91" w:rsidP="00C52655">
            <w:pPr>
              <w:ind w:left="2018" w:right="141"/>
              <w:rPr>
                <w:color w:val="000000" w:themeColor="text1"/>
                <w:sz w:val="24"/>
                <w:szCs w:val="24"/>
              </w:rPr>
            </w:pPr>
          </w:p>
        </w:tc>
      </w:tr>
    </w:tbl>
    <w:p w14:paraId="47A30FAD" w14:textId="1E08AB73" w:rsidR="00C21F8F" w:rsidRPr="00C21F8F" w:rsidRDefault="00C21F8F" w:rsidP="00C21F8F">
      <w:pPr>
        <w:tabs>
          <w:tab w:val="left" w:pos="1716"/>
        </w:tabs>
        <w:rPr>
          <w:sz w:val="24"/>
          <w:szCs w:val="24"/>
          <w:lang w:val="en-US"/>
        </w:rPr>
      </w:pPr>
    </w:p>
    <w:sectPr w:rsidR="00C21F8F" w:rsidRPr="00C21F8F" w:rsidSect="003830E2">
      <w:headerReference w:type="even" r:id="rId12"/>
      <w:headerReference w:type="default" r:id="rId13"/>
      <w:footerReference w:type="default" r:id="rId14"/>
      <w:footerReference w:type="first" r:id="rId15"/>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E93C0" w14:textId="77777777" w:rsidR="001B6329" w:rsidRDefault="001B6329">
      <w:r>
        <w:separator/>
      </w:r>
    </w:p>
  </w:endnote>
  <w:endnote w:type="continuationSeparator" w:id="0">
    <w:p w14:paraId="225ADCA6" w14:textId="77777777" w:rsidR="001B6329" w:rsidRDefault="001B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F25B" w14:textId="56D9563D" w:rsidR="00EF7000" w:rsidRPr="00C96169" w:rsidRDefault="00541CEC" w:rsidP="00345795">
    <w:pPr>
      <w:pBdr>
        <w:top w:val="single" w:sz="4" w:space="1" w:color="auto"/>
      </w:pBdr>
    </w:pPr>
    <w:r>
      <w:rPr>
        <w:noProof/>
        <w:lang w:eastAsia="lt-LT"/>
      </w:rPr>
      <w:drawing>
        <wp:anchor distT="0" distB="0" distL="114300" distR="114300" simplePos="0" relativeHeight="251658240" behindDoc="0" locked="0" layoutInCell="1" allowOverlap="1" wp14:anchorId="11CC367F" wp14:editId="1AA2236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EF7000" w:rsidRPr="00C96169">
      <w:t>Biudžetinė įstaiga</w:t>
    </w:r>
    <w:r w:rsidR="0043489E">
      <w:tab/>
      <w:t xml:space="preserve">         </w:t>
    </w:r>
    <w:r w:rsidR="00EF7000" w:rsidRPr="00C96169">
      <w:t>Tel. (8 5) 219 7001</w:t>
    </w:r>
    <w:r w:rsidR="0043489E">
      <w:t xml:space="preserve">               </w:t>
    </w:r>
    <w:r w:rsidR="00EF7000" w:rsidRPr="00C96169">
      <w:t>Duomenys kaupiami ir saugomi </w:t>
    </w:r>
    <w:r w:rsidR="0043489E">
      <w:t xml:space="preserve">             </w:t>
    </w:r>
  </w:p>
  <w:p w14:paraId="28703B11" w14:textId="6B8B3767"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Pr="00C96169">
      <w:t>Faks. (8 5) 213 6213</w:t>
    </w:r>
    <w:r w:rsidR="0043489E">
      <w:t xml:space="preserve">             </w:t>
    </w:r>
    <w:r w:rsidRPr="00C96169">
      <w:t>Juridinių asmenų registre</w:t>
    </w:r>
    <w:r w:rsidR="0043489E">
      <w:t xml:space="preserve"> </w:t>
    </w:r>
  </w:p>
  <w:p w14:paraId="7496C2E1" w14:textId="1A4AC1D7" w:rsidR="00EF7000" w:rsidRPr="00C96169" w:rsidRDefault="001B6329" w:rsidP="00345795">
    <w:pPr>
      <w:pBdr>
        <w:top w:val="single" w:sz="4" w:space="1" w:color="auto"/>
      </w:pBdr>
      <w:jc w:val="both"/>
    </w:pPr>
    <w:hyperlink r:id="rId3" w:history="1">
      <w:r w:rsidR="003631BF" w:rsidRPr="00C96169">
        <w:rPr>
          <w:rStyle w:val="Hyperlink"/>
        </w:rPr>
        <w:t>http://www.vpt.lrv.lt</w:t>
      </w:r>
    </w:hyperlink>
    <w:r w:rsidR="003631BF" w:rsidRPr="00C96169">
      <w:tab/>
    </w:r>
    <w:r w:rsidR="0043489E">
      <w:t xml:space="preserve">         </w:t>
    </w:r>
    <w:r w:rsidR="00EF7000" w:rsidRPr="00C96169">
      <w:t>El.</w:t>
    </w:r>
    <w:r w:rsidR="003631BF" w:rsidRPr="00C96169">
      <w:t xml:space="preserve"> </w:t>
    </w:r>
    <w:r w:rsidR="00EF7000" w:rsidRPr="00C96169">
      <w:t xml:space="preserve">p. </w:t>
    </w:r>
    <w:hyperlink r:id="rId4" w:history="1">
      <w:r w:rsidR="003631BF" w:rsidRPr="00C96169">
        <w:rPr>
          <w:rStyle w:val="Hyperlink"/>
        </w:rPr>
        <w:t>info@vpt.lt</w:t>
      </w:r>
    </w:hyperlink>
    <w:r w:rsidR="0043489E">
      <w:t xml:space="preserve">                   </w:t>
    </w:r>
    <w:r w:rsidR="00EF7000" w:rsidRPr="00C96169">
      <w:t>Kodas 188656261</w:t>
    </w:r>
    <w:r w:rsidR="0043489E">
      <w:t xml:space="preserve">                                   </w:t>
    </w:r>
  </w:p>
  <w:p w14:paraId="56BF2B6C" w14:textId="1BC0B232" w:rsidR="00EF7000" w:rsidRPr="004D1BAD" w:rsidRDefault="0043489E"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9C67D" w14:textId="77777777" w:rsidR="001B6329" w:rsidRDefault="001B6329">
      <w:r>
        <w:separator/>
      </w:r>
    </w:p>
  </w:footnote>
  <w:footnote w:type="continuationSeparator" w:id="0">
    <w:p w14:paraId="07416CDC" w14:textId="77777777" w:rsidR="001B6329" w:rsidRDefault="001B6329">
      <w:r>
        <w:continuationSeparator/>
      </w:r>
    </w:p>
  </w:footnote>
  <w:footnote w:id="1">
    <w:p w14:paraId="2812FC36" w14:textId="0C1EDB5B" w:rsidR="00CE4629" w:rsidRPr="00C21F8F" w:rsidRDefault="00CE4629" w:rsidP="00C21F8F">
      <w:pPr>
        <w:pStyle w:val="FootnoteText"/>
        <w:jc w:val="both"/>
        <w:rPr>
          <w:rFonts w:ascii="Times New Roman" w:hAnsi="Times New Roman"/>
        </w:rPr>
      </w:pPr>
      <w:r w:rsidRPr="00C21F8F">
        <w:rPr>
          <w:rStyle w:val="FootnoteReference"/>
          <w:rFonts w:ascii="Times New Roman" w:hAnsi="Times New Roman"/>
        </w:rPr>
        <w:footnoteRef/>
      </w:r>
      <w:r w:rsidRPr="00C21F8F">
        <w:rPr>
          <w:rFonts w:ascii="Times New Roman" w:hAnsi="Times New Roman"/>
        </w:rPr>
        <w:t xml:space="preserve"> AB „Ignitis grupė“ (toliau – Bendrovė), vadovaujantis Lietuvos Respublikos viešųjų pirkimų įstatymo 83 str</w:t>
      </w:r>
      <w:r w:rsidR="00C21F8F" w:rsidRPr="00C21F8F">
        <w:rPr>
          <w:rFonts w:ascii="Times New Roman" w:hAnsi="Times New Roman"/>
        </w:rPr>
        <w:t>.</w:t>
      </w:r>
      <w:r w:rsidRPr="00C21F8F">
        <w:rPr>
          <w:rFonts w:ascii="Times New Roman" w:hAnsi="Times New Roman"/>
        </w:rPr>
        <w:t xml:space="preserve"> įgaliojo UAB „Ignitis grupės paslaugų centras“ atlikti tarptautinį banko sąskaitos aptarnavimo ir naujų sąskaitų atidarymo bei jų aptarnavimo paslaugų pirkimus neskelbiamų derybų būdu; </w:t>
      </w:r>
    </w:p>
  </w:footnote>
  <w:footnote w:id="2">
    <w:p w14:paraId="1E6B9363" w14:textId="42C4A31F" w:rsidR="003148D1" w:rsidRPr="00B22970" w:rsidRDefault="003148D1" w:rsidP="003148D1">
      <w:pPr>
        <w:pStyle w:val="FootnoteText"/>
        <w:jc w:val="both"/>
        <w:rPr>
          <w:rFonts w:ascii="Times New Roman" w:hAnsi="Times New Roman"/>
        </w:rPr>
      </w:pPr>
      <w:r w:rsidRPr="00B22970">
        <w:rPr>
          <w:rStyle w:val="FootnoteReference"/>
          <w:rFonts w:ascii="Times New Roman" w:hAnsi="Times New Roman"/>
        </w:rPr>
        <w:footnoteRef/>
      </w:r>
      <w:r w:rsidRPr="00B22970">
        <w:rPr>
          <w:rFonts w:ascii="Times New Roman" w:hAnsi="Times New Roman"/>
        </w:rPr>
        <w:t xml:space="preserve"> </w:t>
      </w:r>
      <w:r w:rsidRPr="00B22970">
        <w:rPr>
          <w:rFonts w:ascii="Times New Roman" w:hAnsi="Times New Roman"/>
        </w:rPr>
        <w:t xml:space="preserve">paskutinis </w:t>
      </w:r>
      <w:r>
        <w:rPr>
          <w:rFonts w:ascii="Times New Roman" w:hAnsi="Times New Roman"/>
        </w:rPr>
        <w:t xml:space="preserve">Iždo valdymo politikos </w:t>
      </w:r>
      <w:r w:rsidRPr="00B22970">
        <w:rPr>
          <w:rFonts w:ascii="Times New Roman" w:hAnsi="Times New Roman"/>
        </w:rPr>
        <w:t xml:space="preserve">atnaujinimas </w:t>
      </w:r>
      <w:r>
        <w:rPr>
          <w:rFonts w:ascii="Times New Roman" w:hAnsi="Times New Roman"/>
        </w:rPr>
        <w:t xml:space="preserve">atliktas </w:t>
      </w:r>
      <w:r w:rsidRPr="00B22970">
        <w:rPr>
          <w:rFonts w:ascii="Times New Roman" w:hAnsi="Times New Roman"/>
        </w:rPr>
        <w:t>2018 m. gruodžio 17 d.;</w:t>
      </w:r>
    </w:p>
  </w:footnote>
  <w:footnote w:id="3">
    <w:p w14:paraId="7B136050" w14:textId="59BC0C61" w:rsidR="00A95324" w:rsidRPr="00B22970" w:rsidRDefault="00A95324" w:rsidP="005D2CC0">
      <w:pPr>
        <w:pStyle w:val="FootnoteText"/>
        <w:jc w:val="both"/>
        <w:rPr>
          <w:rFonts w:ascii="Times New Roman" w:hAnsi="Times New Roman"/>
        </w:rPr>
      </w:pPr>
      <w:r w:rsidRPr="00B22970">
        <w:rPr>
          <w:rStyle w:val="FootnoteReference"/>
          <w:rFonts w:ascii="Times New Roman" w:hAnsi="Times New Roman"/>
        </w:rPr>
        <w:footnoteRef/>
      </w:r>
      <w:r w:rsidRPr="00B22970">
        <w:rPr>
          <w:rFonts w:ascii="Times New Roman" w:hAnsi="Times New Roman"/>
        </w:rPr>
        <w:t xml:space="preserve"> </w:t>
      </w:r>
      <w:r w:rsidRPr="00B22970">
        <w:rPr>
          <w:rFonts w:ascii="Times New Roman" w:hAnsi="Times New Roman"/>
        </w:rPr>
        <w:t xml:space="preserve">2021 m. sausio </w:t>
      </w:r>
      <w:r w:rsidR="00BD7C04" w:rsidRPr="00B22970">
        <w:rPr>
          <w:rFonts w:ascii="Times New Roman" w:hAnsi="Times New Roman"/>
        </w:rPr>
        <w:t>8</w:t>
      </w:r>
      <w:r w:rsidRPr="00B22970">
        <w:rPr>
          <w:rFonts w:ascii="Times New Roman" w:hAnsi="Times New Roman"/>
        </w:rPr>
        <w:t xml:space="preserve"> d. raštas </w:t>
      </w:r>
      <w:r w:rsidR="00BD7C04" w:rsidRPr="00B22970">
        <w:rPr>
          <w:rFonts w:ascii="Times New Roman" w:hAnsi="Times New Roman"/>
        </w:rPr>
        <w:t xml:space="preserve">Nr. </w:t>
      </w:r>
      <w:r w:rsidR="00BD7C04" w:rsidRPr="00B22970">
        <w:rPr>
          <w:rFonts w:ascii="Times New Roman" w:hAnsi="Times New Roman"/>
          <w:color w:val="000000"/>
          <w:shd w:val="clear" w:color="auto" w:fill="FFFFFF"/>
        </w:rPr>
        <w:t>SD-5-21</w:t>
      </w:r>
      <w:r w:rsidRPr="00B22970">
        <w:rPr>
          <w:rFonts w:ascii="Times New Roman" w:hAnsi="Times New Roman"/>
        </w:rPr>
        <w:t xml:space="preserve"> „Dėl papildomos informacijos pateikimo“;</w:t>
      </w:r>
    </w:p>
  </w:footnote>
  <w:footnote w:id="4">
    <w:p w14:paraId="574FB407" w14:textId="7B4236B8" w:rsidR="00541D7E" w:rsidRPr="00A758D9" w:rsidRDefault="00541D7E" w:rsidP="005D2CC0">
      <w:pPr>
        <w:pStyle w:val="FootnoteText"/>
        <w:jc w:val="both"/>
        <w:rPr>
          <w:rFonts w:ascii="Times New Roman" w:hAnsi="Times New Roman"/>
          <w:color w:val="000000" w:themeColor="text1"/>
        </w:rPr>
      </w:pPr>
      <w:r w:rsidRPr="00A758D9">
        <w:rPr>
          <w:rStyle w:val="FootnoteReference"/>
          <w:rFonts w:ascii="Times New Roman" w:hAnsi="Times New Roman"/>
          <w:color w:val="000000" w:themeColor="text1"/>
        </w:rPr>
        <w:footnoteRef/>
      </w:r>
      <w:r w:rsidRPr="00A758D9">
        <w:rPr>
          <w:rFonts w:ascii="Times New Roman" w:hAnsi="Times New Roman"/>
          <w:color w:val="000000" w:themeColor="text1"/>
        </w:rPr>
        <w:t xml:space="preserve"> </w:t>
      </w:r>
      <w:hyperlink r:id="rId1" w:history="1">
        <w:r w:rsidRPr="00A758D9">
          <w:rPr>
            <w:rStyle w:val="Hyperlink"/>
            <w:rFonts w:ascii="Times New Roman" w:hAnsi="Times New Roman"/>
          </w:rPr>
          <w:t>https://sebgroup.com/investor-relations/debt-investors/credit-ratings</w:t>
        </w:r>
      </w:hyperlink>
      <w:r w:rsidRPr="00A758D9">
        <w:rPr>
          <w:rFonts w:ascii="Times New Roman" w:hAnsi="Times New Roman"/>
          <w:color w:val="000000" w:themeColor="text1"/>
        </w:rPr>
        <w:t>;</w:t>
      </w:r>
    </w:p>
  </w:footnote>
  <w:footnote w:id="5">
    <w:p w14:paraId="27BA5AB8" w14:textId="1991FDA9" w:rsidR="00541D7E" w:rsidRPr="00A758D9" w:rsidRDefault="00541D7E" w:rsidP="005D2CC0">
      <w:pPr>
        <w:pStyle w:val="FootnoteText"/>
        <w:jc w:val="both"/>
        <w:rPr>
          <w:rFonts w:ascii="Times New Roman" w:hAnsi="Times New Roman"/>
          <w:color w:val="000000" w:themeColor="text1"/>
        </w:rPr>
      </w:pPr>
      <w:r w:rsidRPr="00A758D9">
        <w:rPr>
          <w:rStyle w:val="FootnoteReference"/>
          <w:rFonts w:ascii="Times New Roman" w:hAnsi="Times New Roman"/>
          <w:color w:val="000000" w:themeColor="text1"/>
        </w:rPr>
        <w:footnoteRef/>
      </w:r>
      <w:r w:rsidRPr="00A758D9">
        <w:rPr>
          <w:rFonts w:ascii="Times New Roman" w:hAnsi="Times New Roman"/>
          <w:color w:val="000000" w:themeColor="text1"/>
        </w:rPr>
        <w:t xml:space="preserve"> </w:t>
      </w:r>
      <w:hyperlink r:id="rId2" w:history="1">
        <w:r w:rsidRPr="00A758D9">
          <w:rPr>
            <w:rStyle w:val="Hyperlink"/>
            <w:rFonts w:ascii="Times New Roman" w:hAnsi="Times New Roman"/>
          </w:rPr>
          <w:t>https://www.swedbank.com/investor-relations/debt-investors/rating.html</w:t>
        </w:r>
      </w:hyperlink>
      <w:r w:rsidRPr="00A758D9">
        <w:rPr>
          <w:rFonts w:ascii="Times New Roman" w:hAnsi="Times New Roman"/>
          <w:color w:val="000000" w:themeColor="text1"/>
        </w:rPr>
        <w:t>;</w:t>
      </w:r>
    </w:p>
  </w:footnote>
  <w:footnote w:id="6">
    <w:p w14:paraId="33370715" w14:textId="1D64C492" w:rsidR="00541D7E" w:rsidRPr="00A758D9" w:rsidRDefault="00541D7E" w:rsidP="005D2CC0">
      <w:pPr>
        <w:pStyle w:val="FootnoteText"/>
        <w:jc w:val="both"/>
        <w:rPr>
          <w:rFonts w:ascii="Times New Roman" w:hAnsi="Times New Roman"/>
          <w:color w:val="000000" w:themeColor="text1"/>
        </w:rPr>
      </w:pPr>
      <w:r w:rsidRPr="00A758D9">
        <w:rPr>
          <w:rStyle w:val="FootnoteReference"/>
          <w:rFonts w:ascii="Times New Roman" w:hAnsi="Times New Roman"/>
          <w:color w:val="000000" w:themeColor="text1"/>
        </w:rPr>
        <w:footnoteRef/>
      </w:r>
      <w:r w:rsidRPr="00A758D9">
        <w:rPr>
          <w:rFonts w:ascii="Times New Roman" w:hAnsi="Times New Roman"/>
          <w:color w:val="000000" w:themeColor="text1"/>
        </w:rPr>
        <w:t xml:space="preserve"> </w:t>
      </w:r>
      <w:hyperlink r:id="rId3" w:history="1">
        <w:r w:rsidRPr="00A758D9">
          <w:rPr>
            <w:rStyle w:val="Hyperlink"/>
            <w:rFonts w:ascii="Times New Roman" w:hAnsi="Times New Roman"/>
          </w:rPr>
          <w:t>https://www.opbank.lt/apie-mus/apie-op-financial-group/kredito-reitingai/</w:t>
        </w:r>
      </w:hyperlink>
      <w:r w:rsidR="00F06054" w:rsidRPr="00A758D9">
        <w:rPr>
          <w:rFonts w:ascii="Times New Roman" w:hAnsi="Times New Roman"/>
          <w:color w:val="000000" w:themeColor="text1"/>
        </w:rPr>
        <w:t>;</w:t>
      </w:r>
    </w:p>
  </w:footnote>
  <w:footnote w:id="7">
    <w:p w14:paraId="611779FB" w14:textId="30075949" w:rsidR="00541D7E" w:rsidRPr="00A758D9" w:rsidRDefault="00541D7E" w:rsidP="005D2CC0">
      <w:pPr>
        <w:pStyle w:val="FootnoteText"/>
        <w:jc w:val="both"/>
        <w:rPr>
          <w:rFonts w:ascii="Times New Roman" w:hAnsi="Times New Roman"/>
        </w:rPr>
      </w:pPr>
      <w:r w:rsidRPr="00A758D9">
        <w:rPr>
          <w:rStyle w:val="FootnoteReference"/>
          <w:rFonts w:ascii="Times New Roman" w:hAnsi="Times New Roman"/>
          <w:color w:val="000000" w:themeColor="text1"/>
        </w:rPr>
        <w:footnoteRef/>
      </w:r>
      <w:r w:rsidRPr="00A758D9">
        <w:rPr>
          <w:rFonts w:ascii="Times New Roman" w:hAnsi="Times New Roman"/>
          <w:color w:val="000000" w:themeColor="text1"/>
        </w:rPr>
        <w:t xml:space="preserve"> </w:t>
      </w:r>
      <w:hyperlink r:id="rId4" w:history="1">
        <w:r w:rsidRPr="00A758D9">
          <w:rPr>
            <w:rStyle w:val="Hyperlink"/>
            <w:rFonts w:ascii="Times New Roman" w:hAnsi="Times New Roman"/>
          </w:rPr>
          <w:t>https://www.luminor.lt/en/financial-reports-lithuania</w:t>
        </w:r>
      </w:hyperlink>
      <w:r w:rsidRPr="00A758D9">
        <w:rPr>
          <w:rFonts w:ascii="Times New Roman" w:hAnsi="Times New Roman"/>
          <w:color w:val="000000" w:themeColor="text1"/>
        </w:rPr>
        <w:t xml:space="preserve"> Interim report Q3 2020, 17 psl;</w:t>
      </w:r>
    </w:p>
  </w:footnote>
  <w:footnote w:id="8">
    <w:p w14:paraId="5CAF8BB7" w14:textId="66D981C2" w:rsidR="00541D7E" w:rsidRPr="00A758D9" w:rsidRDefault="00541D7E" w:rsidP="005D2CC0">
      <w:pPr>
        <w:pStyle w:val="FootnoteText"/>
        <w:jc w:val="both"/>
        <w:rPr>
          <w:rFonts w:ascii="Times New Roman" w:hAnsi="Times New Roman"/>
        </w:rPr>
      </w:pPr>
      <w:r w:rsidRPr="00A758D9">
        <w:rPr>
          <w:rStyle w:val="FootnoteReference"/>
          <w:rFonts w:ascii="Times New Roman" w:hAnsi="Times New Roman"/>
        </w:rPr>
        <w:footnoteRef/>
      </w:r>
      <w:r w:rsidRPr="00A758D9">
        <w:rPr>
          <w:rFonts w:ascii="Times New Roman" w:hAnsi="Times New Roman"/>
        </w:rPr>
        <w:t xml:space="preserve"> </w:t>
      </w:r>
      <w:hyperlink r:id="rId5" w:history="1">
        <w:r w:rsidRPr="00A758D9">
          <w:rPr>
            <w:rStyle w:val="Hyperlink"/>
            <w:rFonts w:ascii="Times New Roman" w:hAnsi="Times New Roman"/>
          </w:rPr>
          <w:t>https://www.cblgroup.com/lt/media/press-releases/2020/moodys/;</w:t>
        </w:r>
      </w:hyperlink>
    </w:p>
  </w:footnote>
  <w:footnote w:id="9">
    <w:p w14:paraId="558FDD25" w14:textId="0052E1E3" w:rsidR="00541D7E" w:rsidRPr="00A758D9" w:rsidRDefault="00541D7E" w:rsidP="005D2CC0">
      <w:pPr>
        <w:pStyle w:val="FootnoteText"/>
        <w:jc w:val="both"/>
        <w:rPr>
          <w:rFonts w:ascii="Times New Roman" w:hAnsi="Times New Roman"/>
        </w:rPr>
      </w:pPr>
      <w:r w:rsidRPr="00A758D9">
        <w:rPr>
          <w:rStyle w:val="FootnoteReference"/>
          <w:rFonts w:ascii="Times New Roman" w:hAnsi="Times New Roman"/>
        </w:rPr>
        <w:footnoteRef/>
      </w:r>
      <w:r w:rsidRPr="00A758D9">
        <w:rPr>
          <w:rFonts w:ascii="Times New Roman" w:hAnsi="Times New Roman"/>
        </w:rPr>
        <w:t xml:space="preserve"> </w:t>
      </w:r>
      <w:hyperlink r:id="rId6" w:history="1">
        <w:r w:rsidRPr="00A758D9">
          <w:rPr>
            <w:rStyle w:val="Hyperlink"/>
            <w:rFonts w:ascii="Times New Roman" w:hAnsi="Times New Roman"/>
          </w:rPr>
          <w:t>https://sb.lt/lt/apie/naujienos/moodys-ivertino-siauliu-banko-pazanga-pagerintas-kredito-reitingas</w:t>
        </w:r>
      </w:hyperlink>
      <w:r w:rsidR="00C21F8F" w:rsidRPr="00A758D9">
        <w:rPr>
          <w:rFonts w:ascii="Times New Roman" w:hAnsi="Times New Roman"/>
          <w:color w:val="000000" w:themeColor="text1"/>
        </w:rPr>
        <w:t>;</w:t>
      </w:r>
    </w:p>
  </w:footnote>
  <w:footnote w:id="10">
    <w:p w14:paraId="0D471697" w14:textId="77777777" w:rsidR="00541D7E" w:rsidRPr="00A758D9" w:rsidRDefault="00541D7E" w:rsidP="005D2CC0">
      <w:pPr>
        <w:pStyle w:val="FootnoteText"/>
        <w:jc w:val="both"/>
        <w:rPr>
          <w:rFonts w:ascii="Times New Roman" w:hAnsi="Times New Roman"/>
          <w:color w:val="000000" w:themeColor="text1"/>
        </w:rPr>
      </w:pPr>
      <w:r w:rsidRPr="00A758D9">
        <w:rPr>
          <w:rStyle w:val="FootnoteReference"/>
          <w:rFonts w:ascii="Times New Roman" w:hAnsi="Times New Roman"/>
          <w:color w:val="000000" w:themeColor="text1"/>
        </w:rPr>
        <w:footnoteRef/>
      </w:r>
      <w:r w:rsidRPr="00A758D9">
        <w:rPr>
          <w:rFonts w:ascii="Times New Roman" w:hAnsi="Times New Roman"/>
          <w:color w:val="000000" w:themeColor="text1"/>
        </w:rPr>
        <w:t xml:space="preserve"> </w:t>
      </w:r>
      <w:r w:rsidRPr="00A758D9">
        <w:rPr>
          <w:rFonts w:ascii="Times New Roman" w:hAnsi="Times New Roman"/>
          <w:color w:val="000000" w:themeColor="text1"/>
        </w:rPr>
        <w:t>Sutartis dėl OP banko sąskaitų aptarnavimo paslaugų pasirašyta 2020 gruodžio 23 d. ir galioja iki 2023 gruodžio 23 d.;</w:t>
      </w:r>
    </w:p>
  </w:footnote>
  <w:footnote w:id="11">
    <w:p w14:paraId="0FCEDEE4" w14:textId="2005BFB1" w:rsidR="00541D7E" w:rsidRPr="00A758D9" w:rsidRDefault="00541D7E" w:rsidP="005D2CC0">
      <w:pPr>
        <w:pStyle w:val="FootnoteText"/>
        <w:jc w:val="both"/>
        <w:rPr>
          <w:rFonts w:ascii="Times New Roman" w:hAnsi="Times New Roman"/>
        </w:rPr>
      </w:pPr>
      <w:r w:rsidRPr="00A758D9">
        <w:rPr>
          <w:rStyle w:val="FootnoteReference"/>
          <w:rFonts w:ascii="Times New Roman" w:hAnsi="Times New Roman"/>
        </w:rPr>
        <w:footnoteRef/>
      </w:r>
      <w:r w:rsidRPr="00A758D9">
        <w:rPr>
          <w:rFonts w:ascii="Times New Roman" w:hAnsi="Times New Roman"/>
        </w:rPr>
        <w:t xml:space="preserve"> </w:t>
      </w:r>
      <w:r w:rsidRPr="00A758D9">
        <w:rPr>
          <w:rFonts w:ascii="Times New Roman" w:hAnsi="Times New Roman"/>
        </w:rPr>
        <w:t xml:space="preserve">Sutartys su bankais  sudarytos atlikus </w:t>
      </w:r>
      <w:r w:rsidR="00E54EA8" w:rsidRPr="00A758D9">
        <w:rPr>
          <w:rFonts w:ascii="Times New Roman" w:hAnsi="Times New Roman"/>
        </w:rPr>
        <w:t xml:space="preserve">pirkimus </w:t>
      </w:r>
      <w:r w:rsidRPr="00A758D9">
        <w:rPr>
          <w:rFonts w:ascii="Times New Roman" w:hAnsi="Times New Roman"/>
        </w:rPr>
        <w:t xml:space="preserve">neskelbiamos apklausos </w:t>
      </w:r>
      <w:r w:rsidR="00E54EA8" w:rsidRPr="00A758D9">
        <w:rPr>
          <w:rFonts w:ascii="Times New Roman" w:hAnsi="Times New Roman"/>
        </w:rPr>
        <w:t>būdu</w:t>
      </w:r>
      <w:r w:rsidRPr="00A758D9">
        <w:rPr>
          <w:rFonts w:ascii="Times New Roman" w:hAnsi="Times New Roman"/>
        </w:rPr>
        <w:t xml:space="preserve">s: </w:t>
      </w:r>
      <w:r w:rsidR="00E54EA8" w:rsidRPr="00A758D9">
        <w:rPr>
          <w:rFonts w:ascii="Times New Roman" w:hAnsi="Times New Roman"/>
        </w:rPr>
        <w:t xml:space="preserve">Sutarties </w:t>
      </w:r>
      <w:r w:rsidRPr="00A758D9">
        <w:rPr>
          <w:rFonts w:ascii="Times New Roman" w:hAnsi="Times New Roman"/>
        </w:rPr>
        <w:t>su AB „SEB Bankas“ vertė 20 000 EUR be PVM; Sutarti</w:t>
      </w:r>
      <w:r w:rsidR="00E54EA8" w:rsidRPr="00A758D9">
        <w:rPr>
          <w:rFonts w:ascii="Times New Roman" w:hAnsi="Times New Roman"/>
        </w:rPr>
        <w:t>e</w:t>
      </w:r>
      <w:r w:rsidRPr="00A758D9">
        <w:rPr>
          <w:rFonts w:ascii="Times New Roman" w:hAnsi="Times New Roman"/>
        </w:rPr>
        <w:t>s su AB „Swedbank“ vertė 20 000 EUR be PVM; Sutarti</w:t>
      </w:r>
      <w:r w:rsidR="00E54EA8" w:rsidRPr="00A758D9">
        <w:rPr>
          <w:rFonts w:ascii="Times New Roman" w:hAnsi="Times New Roman"/>
        </w:rPr>
        <w:t>e</w:t>
      </w:r>
      <w:r w:rsidRPr="00A758D9">
        <w:rPr>
          <w:rFonts w:ascii="Times New Roman" w:hAnsi="Times New Roman"/>
        </w:rPr>
        <w:t>s su Luminor Bank AS Lietuvos skyriumi vertė 10 000 EUR be PVM;</w:t>
      </w:r>
    </w:p>
  </w:footnote>
  <w:footnote w:id="12">
    <w:p w14:paraId="3501E757" w14:textId="1797B0B6" w:rsidR="00B22970" w:rsidRPr="00A758D9" w:rsidRDefault="00B22970" w:rsidP="005D2CC0">
      <w:pPr>
        <w:pStyle w:val="FootnoteText"/>
        <w:jc w:val="both"/>
        <w:rPr>
          <w:rFonts w:ascii="Times New Roman" w:hAnsi="Times New Roman"/>
          <w:color w:val="000000" w:themeColor="text1"/>
        </w:rPr>
      </w:pPr>
      <w:r w:rsidRPr="00A758D9">
        <w:rPr>
          <w:rStyle w:val="FootnoteReference"/>
          <w:rFonts w:ascii="Times New Roman" w:hAnsi="Times New Roman"/>
          <w:color w:val="000000" w:themeColor="text1"/>
        </w:rPr>
        <w:footnoteRef/>
      </w:r>
      <w:r w:rsidRPr="00A758D9">
        <w:rPr>
          <w:rFonts w:ascii="Times New Roman" w:hAnsi="Times New Roman"/>
          <w:color w:val="000000" w:themeColor="text1"/>
        </w:rPr>
        <w:t xml:space="preserve"> </w:t>
      </w:r>
      <w:r w:rsidRPr="00A758D9">
        <w:rPr>
          <w:rFonts w:ascii="Times New Roman" w:hAnsi="Times New Roman"/>
          <w:color w:val="000000" w:themeColor="text1"/>
        </w:rPr>
        <w:t>kurių tarpe yra tokios strateginės įmonės kaip AB „Energijos skirstymo operatorius“, AB „Ignitis gamyba“; UAB „Ignitis“ ir kt.;</w:t>
      </w:r>
    </w:p>
  </w:footnote>
  <w:footnote w:id="13">
    <w:p w14:paraId="62FFCD26" w14:textId="415E4AC1" w:rsidR="009B3913" w:rsidRPr="00A758D9" w:rsidRDefault="009B3913" w:rsidP="005D2CC0">
      <w:pPr>
        <w:pStyle w:val="FootnoteText"/>
        <w:jc w:val="both"/>
        <w:rPr>
          <w:rFonts w:ascii="Times New Roman" w:hAnsi="Times New Roman"/>
          <w:color w:val="000000" w:themeColor="text1"/>
        </w:rPr>
      </w:pPr>
      <w:r w:rsidRPr="00A758D9">
        <w:rPr>
          <w:rStyle w:val="FootnoteReference"/>
          <w:rFonts w:ascii="Times New Roman" w:hAnsi="Times New Roman"/>
          <w:color w:val="000000" w:themeColor="text1"/>
        </w:rPr>
        <w:footnoteRef/>
      </w:r>
      <w:r w:rsidRPr="00A758D9">
        <w:rPr>
          <w:rFonts w:ascii="Times New Roman" w:hAnsi="Times New Roman"/>
          <w:color w:val="000000" w:themeColor="text1"/>
        </w:rPr>
        <w:t xml:space="preserve"> </w:t>
      </w:r>
      <w:r w:rsidR="00800D82" w:rsidRPr="00A758D9">
        <w:rPr>
          <w:rFonts w:ascii="Times New Roman" w:hAnsi="Times New Roman"/>
          <w:color w:val="000000" w:themeColor="text1"/>
        </w:rPr>
        <w:t>Ignitis grupės“ akcijomis prekiaujama Nasdaq Vilnius biržoje, o tarptautiniais depozitoriumo pakvitavimais – Londono vertybinių popierių biržoje;</w:t>
      </w:r>
    </w:p>
  </w:footnote>
  <w:footnote w:id="14">
    <w:p w14:paraId="1EBAAEDC" w14:textId="553B75F2" w:rsidR="009B3913" w:rsidRPr="00A758D9" w:rsidRDefault="009B3913" w:rsidP="00D0116A">
      <w:pPr>
        <w:pStyle w:val="FootnoteText"/>
        <w:jc w:val="both"/>
        <w:rPr>
          <w:rFonts w:ascii="Times New Roman" w:hAnsi="Times New Roman"/>
          <w:color w:val="000000" w:themeColor="text1"/>
        </w:rPr>
      </w:pPr>
      <w:r w:rsidRPr="00A758D9">
        <w:rPr>
          <w:rStyle w:val="FootnoteReference"/>
          <w:rFonts w:ascii="Times New Roman" w:hAnsi="Times New Roman"/>
          <w:color w:val="000000" w:themeColor="text1"/>
        </w:rPr>
        <w:footnoteRef/>
      </w:r>
      <w:r w:rsidRPr="00A758D9">
        <w:rPr>
          <w:rFonts w:ascii="Times New Roman" w:hAnsi="Times New Roman"/>
          <w:color w:val="000000" w:themeColor="text1"/>
        </w:rPr>
        <w:t xml:space="preserve"> </w:t>
      </w:r>
      <w:r w:rsidRPr="00A758D9">
        <w:rPr>
          <w:rFonts w:ascii="Times New Roman" w:hAnsi="Times New Roman"/>
          <w:color w:val="000000" w:themeColor="text1"/>
        </w:rPr>
        <w:t>angl. Escrow;</w:t>
      </w:r>
    </w:p>
  </w:footnote>
  <w:footnote w:id="15">
    <w:p w14:paraId="4F203132" w14:textId="67581D20" w:rsidR="00E77A81" w:rsidRPr="00A758D9" w:rsidRDefault="00E77A81" w:rsidP="00D0116A">
      <w:pPr>
        <w:pStyle w:val="FootnoteText"/>
        <w:jc w:val="both"/>
      </w:pPr>
      <w:r w:rsidRPr="00A758D9">
        <w:rPr>
          <w:rStyle w:val="FootnoteReference"/>
          <w:rFonts w:ascii="Times New Roman" w:hAnsi="Times New Roman"/>
        </w:rPr>
        <w:footnoteRef/>
      </w:r>
      <w:r w:rsidRPr="00A758D9">
        <w:rPr>
          <w:rFonts w:ascii="Times New Roman" w:hAnsi="Times New Roman"/>
        </w:rPr>
        <w:t xml:space="preserve"> </w:t>
      </w:r>
      <w:r w:rsidRPr="00A758D9">
        <w:rPr>
          <w:rFonts w:ascii="Times New Roman" w:hAnsi="Times New Roman"/>
        </w:rPr>
        <w:t xml:space="preserve">Paslaugos iš </w:t>
      </w:r>
      <w:r w:rsidRPr="00A758D9">
        <w:rPr>
          <w:rFonts w:ascii="Times New Roman" w:hAnsi="Times New Roman"/>
          <w:color w:val="000000" w:themeColor="text1"/>
        </w:rPr>
        <w:t xml:space="preserve">AB „Swedbank“ įsigytos vadovaujantis </w:t>
      </w:r>
      <w:r w:rsidRPr="00A758D9">
        <w:rPr>
          <w:rFonts w:ascii="Times New Roman" w:hAnsi="Times New Roman"/>
        </w:rPr>
        <w:t xml:space="preserve">Įstatymo 6 str. 1 d. 5 p. išimtimi. </w:t>
      </w:r>
      <w:r w:rsidRPr="00A758D9">
        <w:rPr>
          <w:rFonts w:ascii="Times New Roman" w:hAnsi="Times New Roman"/>
          <w:color w:val="000000" w:themeColor="text1"/>
        </w:rPr>
        <w:t>2020 m. gegužės 29 d. Pirkimų koordinavimo vadovo sprendimu Nr. IS-108-20 sudarytos Veiklos palaikymo viešųjų pirkimų komisijos Pirkimo organizavimo protokolai</w:t>
      </w:r>
      <w:r w:rsidR="00D0116A" w:rsidRPr="00A758D9">
        <w:rPr>
          <w:rFonts w:ascii="Times New Roman" w:hAnsi="Times New Roman"/>
          <w:color w:val="000000" w:themeColor="text1"/>
        </w:rPr>
        <w:t>;</w:t>
      </w:r>
    </w:p>
  </w:footnote>
  <w:footnote w:id="16">
    <w:p w14:paraId="438DDA57" w14:textId="5F335490" w:rsidR="005D2CC0" w:rsidRPr="005D2CC0" w:rsidRDefault="005D2CC0" w:rsidP="005D2CC0">
      <w:pPr>
        <w:pStyle w:val="FootnoteText"/>
        <w:jc w:val="both"/>
        <w:rPr>
          <w:rFonts w:ascii="Times New Roman" w:hAnsi="Times New Roman"/>
          <w:color w:val="000000" w:themeColor="text1"/>
        </w:rPr>
      </w:pPr>
      <w:r w:rsidRPr="005D2CC0">
        <w:rPr>
          <w:rStyle w:val="FootnoteReference"/>
          <w:rFonts w:ascii="Times New Roman" w:hAnsi="Times New Roman"/>
          <w:color w:val="000000" w:themeColor="text1"/>
        </w:rPr>
        <w:footnoteRef/>
      </w:r>
      <w:r w:rsidRPr="005D2CC0">
        <w:rPr>
          <w:rFonts w:ascii="Times New Roman" w:hAnsi="Times New Roman"/>
          <w:color w:val="000000" w:themeColor="text1"/>
        </w:rPr>
        <w:t xml:space="preserve"> </w:t>
      </w:r>
      <w:r w:rsidRPr="005D2CC0">
        <w:rPr>
          <w:rFonts w:ascii="Times New Roman" w:hAnsi="Times New Roman"/>
          <w:color w:val="000000" w:themeColor="text1"/>
        </w:rPr>
        <w:t>Planuojamų Pirkimų vertės</w:t>
      </w:r>
      <w:r w:rsidR="00B82D92">
        <w:rPr>
          <w:rFonts w:ascii="Times New Roman" w:hAnsi="Times New Roman"/>
          <w:color w:val="000000" w:themeColor="text1"/>
        </w:rPr>
        <w:t xml:space="preserve">: </w:t>
      </w:r>
      <w:r w:rsidRPr="005D2CC0">
        <w:rPr>
          <w:rFonts w:ascii="Times New Roman" w:hAnsi="Times New Roman"/>
          <w:color w:val="000000" w:themeColor="text1"/>
        </w:rPr>
        <w:t xml:space="preserve">su </w:t>
      </w:r>
      <w:r w:rsidR="00B82D92" w:rsidRPr="00B82D92">
        <w:rPr>
          <w:rFonts w:ascii="Times New Roman" w:hAnsi="Times New Roman"/>
          <w:color w:val="000000" w:themeColor="text1"/>
        </w:rPr>
        <w:t>AB „SEB Bankas“</w:t>
      </w:r>
      <w:r w:rsidRPr="005D2CC0">
        <w:rPr>
          <w:rFonts w:ascii="Times New Roman" w:hAnsi="Times New Roman"/>
          <w:color w:val="000000" w:themeColor="text1"/>
        </w:rPr>
        <w:t xml:space="preserve">- 300000,00 </w:t>
      </w:r>
      <w:r w:rsidRPr="005D2CC0">
        <w:rPr>
          <w:rFonts w:ascii="Times New Roman" w:hAnsi="Times New Roman"/>
          <w:bCs/>
          <w:color w:val="000000" w:themeColor="text1"/>
        </w:rPr>
        <w:t xml:space="preserve">EUR be PVM; su </w:t>
      </w:r>
      <w:r w:rsidR="00B82D92" w:rsidRPr="00B82D92">
        <w:rPr>
          <w:rFonts w:ascii="Times New Roman" w:hAnsi="Times New Roman"/>
          <w:bCs/>
          <w:color w:val="000000" w:themeColor="text1"/>
        </w:rPr>
        <w:t>AB „Swedbank“</w:t>
      </w:r>
      <w:r w:rsidRPr="005D2CC0">
        <w:rPr>
          <w:rFonts w:ascii="Times New Roman" w:hAnsi="Times New Roman"/>
          <w:bCs/>
          <w:color w:val="000000" w:themeColor="text1"/>
        </w:rPr>
        <w:t xml:space="preserve">- 3000000,00 EUR be PVM; su </w:t>
      </w:r>
      <w:r w:rsidR="00B82D92" w:rsidRPr="00B82D92">
        <w:rPr>
          <w:rFonts w:ascii="Times New Roman" w:hAnsi="Times New Roman"/>
          <w:bCs/>
          <w:color w:val="000000" w:themeColor="text1"/>
        </w:rPr>
        <w:t>Luminor Bank AS Lietuvos skyri</w:t>
      </w:r>
      <w:r w:rsidR="00B82D92">
        <w:rPr>
          <w:rFonts w:ascii="Times New Roman" w:hAnsi="Times New Roman"/>
          <w:bCs/>
          <w:color w:val="000000" w:themeColor="text1"/>
        </w:rPr>
        <w:t>us</w:t>
      </w:r>
      <w:r w:rsidRPr="005D2CC0">
        <w:rPr>
          <w:rFonts w:ascii="Times New Roman" w:hAnsi="Times New Roman"/>
          <w:color w:val="000000" w:themeColor="text1"/>
        </w:rPr>
        <w:t xml:space="preserve">1 400 000,00 </w:t>
      </w:r>
      <w:r w:rsidRPr="005D2CC0">
        <w:rPr>
          <w:rFonts w:ascii="Times New Roman" w:hAnsi="Times New Roman"/>
          <w:bCs/>
          <w:color w:val="000000" w:themeColor="text1"/>
        </w:rPr>
        <w:t>EUR be PVM)</w:t>
      </w:r>
      <w:r w:rsidR="00C21F8F">
        <w:rPr>
          <w:rFonts w:ascii="Times New Roman" w:hAnsi="Times New Roman"/>
          <w:bCs/>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6397" w14:textId="4E5BDBA2"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55C1">
      <w:rPr>
        <w:rStyle w:val="PageNumber"/>
        <w:noProof/>
      </w:rPr>
      <w:t>3</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127B"/>
    <w:multiLevelType w:val="hybridMultilevel"/>
    <w:tmpl w:val="AB0A1350"/>
    <w:lvl w:ilvl="0" w:tplc="1818AEC8">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4"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DA1854"/>
    <w:multiLevelType w:val="hybridMultilevel"/>
    <w:tmpl w:val="071030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451330FA"/>
    <w:multiLevelType w:val="hybridMultilevel"/>
    <w:tmpl w:val="4446BB92"/>
    <w:lvl w:ilvl="0" w:tplc="355673E2">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5AA5B74"/>
    <w:multiLevelType w:val="hybridMultilevel"/>
    <w:tmpl w:val="508C94C4"/>
    <w:lvl w:ilvl="0" w:tplc="087866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1"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3"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2"/>
  </w:num>
  <w:num w:numId="4">
    <w:abstractNumId w:val="12"/>
  </w:num>
  <w:num w:numId="5">
    <w:abstractNumId w:val="3"/>
  </w:num>
  <w:num w:numId="6">
    <w:abstractNumId w:val="7"/>
  </w:num>
  <w:num w:numId="7">
    <w:abstractNumId w:val="10"/>
  </w:num>
  <w:num w:numId="8">
    <w:abstractNumId w:val="5"/>
  </w:num>
  <w:num w:numId="9">
    <w:abstractNumId w:val="4"/>
  </w:num>
  <w:num w:numId="10">
    <w:abstractNumId w:val="11"/>
  </w:num>
  <w:num w:numId="11">
    <w:abstractNumId w:val="6"/>
  </w:num>
  <w:num w:numId="12">
    <w:abstractNumId w:val="0"/>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BCA"/>
    <w:rsid w:val="00011229"/>
    <w:rsid w:val="000205A5"/>
    <w:rsid w:val="00020AEA"/>
    <w:rsid w:val="00032E30"/>
    <w:rsid w:val="00041165"/>
    <w:rsid w:val="0005793E"/>
    <w:rsid w:val="00060736"/>
    <w:rsid w:val="00064275"/>
    <w:rsid w:val="00065D63"/>
    <w:rsid w:val="00067E13"/>
    <w:rsid w:val="00073FCC"/>
    <w:rsid w:val="00091B12"/>
    <w:rsid w:val="00094D97"/>
    <w:rsid w:val="00096D17"/>
    <w:rsid w:val="000A5831"/>
    <w:rsid w:val="000A5DDD"/>
    <w:rsid w:val="000A5F05"/>
    <w:rsid w:val="000B3F13"/>
    <w:rsid w:val="000B476E"/>
    <w:rsid w:val="000C26A8"/>
    <w:rsid w:val="000C2DFC"/>
    <w:rsid w:val="000D0EA9"/>
    <w:rsid w:val="000D2CBD"/>
    <w:rsid w:val="000D695C"/>
    <w:rsid w:val="000E76C7"/>
    <w:rsid w:val="0010247F"/>
    <w:rsid w:val="0010506F"/>
    <w:rsid w:val="0010592B"/>
    <w:rsid w:val="00120487"/>
    <w:rsid w:val="00120B1E"/>
    <w:rsid w:val="0012239F"/>
    <w:rsid w:val="00126EDE"/>
    <w:rsid w:val="0013157D"/>
    <w:rsid w:val="00135455"/>
    <w:rsid w:val="0013783E"/>
    <w:rsid w:val="001413CF"/>
    <w:rsid w:val="00141EF4"/>
    <w:rsid w:val="00142022"/>
    <w:rsid w:val="001444C2"/>
    <w:rsid w:val="00147903"/>
    <w:rsid w:val="001515B0"/>
    <w:rsid w:val="00162FFD"/>
    <w:rsid w:val="00164491"/>
    <w:rsid w:val="00177B63"/>
    <w:rsid w:val="00185600"/>
    <w:rsid w:val="0018705A"/>
    <w:rsid w:val="0019643A"/>
    <w:rsid w:val="001A0227"/>
    <w:rsid w:val="001A20D5"/>
    <w:rsid w:val="001A3939"/>
    <w:rsid w:val="001B6329"/>
    <w:rsid w:val="001C2ACF"/>
    <w:rsid w:val="001C3767"/>
    <w:rsid w:val="001D1168"/>
    <w:rsid w:val="001D3A13"/>
    <w:rsid w:val="001E1299"/>
    <w:rsid w:val="001E4DA1"/>
    <w:rsid w:val="001E4F4B"/>
    <w:rsid w:val="001E6B4E"/>
    <w:rsid w:val="001E7D68"/>
    <w:rsid w:val="001F21C3"/>
    <w:rsid w:val="001F3240"/>
    <w:rsid w:val="001F3259"/>
    <w:rsid w:val="001F54EA"/>
    <w:rsid w:val="001F557F"/>
    <w:rsid w:val="001F7EEE"/>
    <w:rsid w:val="00200CBA"/>
    <w:rsid w:val="00201C9C"/>
    <w:rsid w:val="00205813"/>
    <w:rsid w:val="00212DE7"/>
    <w:rsid w:val="002150D8"/>
    <w:rsid w:val="00217670"/>
    <w:rsid w:val="00220F8C"/>
    <w:rsid w:val="002237A5"/>
    <w:rsid w:val="00227615"/>
    <w:rsid w:val="00233FF7"/>
    <w:rsid w:val="00234580"/>
    <w:rsid w:val="00235D66"/>
    <w:rsid w:val="00236278"/>
    <w:rsid w:val="0023768A"/>
    <w:rsid w:val="00237E48"/>
    <w:rsid w:val="00244B27"/>
    <w:rsid w:val="00245409"/>
    <w:rsid w:val="0025785A"/>
    <w:rsid w:val="00263C03"/>
    <w:rsid w:val="002672AB"/>
    <w:rsid w:val="00267D26"/>
    <w:rsid w:val="00273073"/>
    <w:rsid w:val="00275667"/>
    <w:rsid w:val="002824E2"/>
    <w:rsid w:val="00285309"/>
    <w:rsid w:val="00285F4F"/>
    <w:rsid w:val="00295462"/>
    <w:rsid w:val="0029776E"/>
    <w:rsid w:val="002A24E6"/>
    <w:rsid w:val="002A37FA"/>
    <w:rsid w:val="002A6FD8"/>
    <w:rsid w:val="002A78D5"/>
    <w:rsid w:val="002C3D78"/>
    <w:rsid w:val="002C427F"/>
    <w:rsid w:val="002D229A"/>
    <w:rsid w:val="002E19B3"/>
    <w:rsid w:val="002E270E"/>
    <w:rsid w:val="002E3BE6"/>
    <w:rsid w:val="002F3103"/>
    <w:rsid w:val="002F7678"/>
    <w:rsid w:val="002F7DA1"/>
    <w:rsid w:val="00310941"/>
    <w:rsid w:val="003126F6"/>
    <w:rsid w:val="00312B1A"/>
    <w:rsid w:val="00312F73"/>
    <w:rsid w:val="00313908"/>
    <w:rsid w:val="003148D1"/>
    <w:rsid w:val="00323502"/>
    <w:rsid w:val="00326596"/>
    <w:rsid w:val="00330F2D"/>
    <w:rsid w:val="00334F10"/>
    <w:rsid w:val="00335354"/>
    <w:rsid w:val="003410EB"/>
    <w:rsid w:val="0034260D"/>
    <w:rsid w:val="00344D5E"/>
    <w:rsid w:val="00345795"/>
    <w:rsid w:val="0034771D"/>
    <w:rsid w:val="0036093A"/>
    <w:rsid w:val="00360CC7"/>
    <w:rsid w:val="003631BF"/>
    <w:rsid w:val="00371C99"/>
    <w:rsid w:val="003830E2"/>
    <w:rsid w:val="00386371"/>
    <w:rsid w:val="003871FF"/>
    <w:rsid w:val="00390281"/>
    <w:rsid w:val="003A4870"/>
    <w:rsid w:val="003A5B17"/>
    <w:rsid w:val="003A64B7"/>
    <w:rsid w:val="003B0261"/>
    <w:rsid w:val="003B4FC1"/>
    <w:rsid w:val="003B71B4"/>
    <w:rsid w:val="003C11D2"/>
    <w:rsid w:val="003C5714"/>
    <w:rsid w:val="003C6B99"/>
    <w:rsid w:val="003D36FE"/>
    <w:rsid w:val="003D70BB"/>
    <w:rsid w:val="003E34D8"/>
    <w:rsid w:val="003E5B85"/>
    <w:rsid w:val="003F1EE1"/>
    <w:rsid w:val="003F220C"/>
    <w:rsid w:val="003F2584"/>
    <w:rsid w:val="003F2855"/>
    <w:rsid w:val="003F4B96"/>
    <w:rsid w:val="003F55CE"/>
    <w:rsid w:val="003F5B08"/>
    <w:rsid w:val="00400538"/>
    <w:rsid w:val="00400B80"/>
    <w:rsid w:val="00411310"/>
    <w:rsid w:val="0041379D"/>
    <w:rsid w:val="00420B99"/>
    <w:rsid w:val="00422589"/>
    <w:rsid w:val="00427CC6"/>
    <w:rsid w:val="0043041A"/>
    <w:rsid w:val="004309DA"/>
    <w:rsid w:val="00430B91"/>
    <w:rsid w:val="0043489E"/>
    <w:rsid w:val="00441571"/>
    <w:rsid w:val="00454216"/>
    <w:rsid w:val="00457A4A"/>
    <w:rsid w:val="00471289"/>
    <w:rsid w:val="00474479"/>
    <w:rsid w:val="004763F4"/>
    <w:rsid w:val="00481479"/>
    <w:rsid w:val="004826A4"/>
    <w:rsid w:val="004828F7"/>
    <w:rsid w:val="00493AE6"/>
    <w:rsid w:val="0049567F"/>
    <w:rsid w:val="004974C3"/>
    <w:rsid w:val="004A3586"/>
    <w:rsid w:val="004A4318"/>
    <w:rsid w:val="004B1D3A"/>
    <w:rsid w:val="004B41BA"/>
    <w:rsid w:val="004B4D76"/>
    <w:rsid w:val="004C2772"/>
    <w:rsid w:val="004D18E9"/>
    <w:rsid w:val="004D47C1"/>
    <w:rsid w:val="004F150F"/>
    <w:rsid w:val="004F787A"/>
    <w:rsid w:val="00505F34"/>
    <w:rsid w:val="0051338C"/>
    <w:rsid w:val="00521032"/>
    <w:rsid w:val="00523B0B"/>
    <w:rsid w:val="00524684"/>
    <w:rsid w:val="0052505A"/>
    <w:rsid w:val="005277C1"/>
    <w:rsid w:val="00534E0D"/>
    <w:rsid w:val="00536BD1"/>
    <w:rsid w:val="0054095A"/>
    <w:rsid w:val="00541CEC"/>
    <w:rsid w:val="00541D7E"/>
    <w:rsid w:val="005541DF"/>
    <w:rsid w:val="00561AEF"/>
    <w:rsid w:val="005633F6"/>
    <w:rsid w:val="00576910"/>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2C89"/>
    <w:rsid w:val="005D2CC0"/>
    <w:rsid w:val="005D6DCF"/>
    <w:rsid w:val="005E304B"/>
    <w:rsid w:val="005E386D"/>
    <w:rsid w:val="005E6FCF"/>
    <w:rsid w:val="005F16E7"/>
    <w:rsid w:val="005F2425"/>
    <w:rsid w:val="005F242B"/>
    <w:rsid w:val="005F2825"/>
    <w:rsid w:val="005F2C7C"/>
    <w:rsid w:val="00603DF2"/>
    <w:rsid w:val="006157DD"/>
    <w:rsid w:val="00616232"/>
    <w:rsid w:val="0062617D"/>
    <w:rsid w:val="00631C67"/>
    <w:rsid w:val="00635C14"/>
    <w:rsid w:val="00635D84"/>
    <w:rsid w:val="00642E1E"/>
    <w:rsid w:val="00646FEC"/>
    <w:rsid w:val="00651C88"/>
    <w:rsid w:val="00651D27"/>
    <w:rsid w:val="00655BBA"/>
    <w:rsid w:val="00664415"/>
    <w:rsid w:val="006755D0"/>
    <w:rsid w:val="006772F3"/>
    <w:rsid w:val="006821F4"/>
    <w:rsid w:val="0068226E"/>
    <w:rsid w:val="00685AA6"/>
    <w:rsid w:val="00687076"/>
    <w:rsid w:val="00690800"/>
    <w:rsid w:val="00692318"/>
    <w:rsid w:val="00692D70"/>
    <w:rsid w:val="00693D5D"/>
    <w:rsid w:val="006A0434"/>
    <w:rsid w:val="006A5456"/>
    <w:rsid w:val="006A6DC3"/>
    <w:rsid w:val="006C1805"/>
    <w:rsid w:val="006C3CE6"/>
    <w:rsid w:val="006C3DE0"/>
    <w:rsid w:val="006C4D48"/>
    <w:rsid w:val="006D2A79"/>
    <w:rsid w:val="006E1FB1"/>
    <w:rsid w:val="006E5BDF"/>
    <w:rsid w:val="006F5A1F"/>
    <w:rsid w:val="006F6A2B"/>
    <w:rsid w:val="006F7E56"/>
    <w:rsid w:val="0070278F"/>
    <w:rsid w:val="00703255"/>
    <w:rsid w:val="00716D01"/>
    <w:rsid w:val="007229DE"/>
    <w:rsid w:val="00722A57"/>
    <w:rsid w:val="007302DD"/>
    <w:rsid w:val="007304BD"/>
    <w:rsid w:val="007307D7"/>
    <w:rsid w:val="007336CA"/>
    <w:rsid w:val="00734403"/>
    <w:rsid w:val="00736125"/>
    <w:rsid w:val="007407B5"/>
    <w:rsid w:val="00740FCA"/>
    <w:rsid w:val="007476E6"/>
    <w:rsid w:val="00751AD9"/>
    <w:rsid w:val="00754E9D"/>
    <w:rsid w:val="007724B7"/>
    <w:rsid w:val="00775BE5"/>
    <w:rsid w:val="00781A8B"/>
    <w:rsid w:val="00785319"/>
    <w:rsid w:val="007A094A"/>
    <w:rsid w:val="007A7CC6"/>
    <w:rsid w:val="007B18D7"/>
    <w:rsid w:val="007B418D"/>
    <w:rsid w:val="007B5F54"/>
    <w:rsid w:val="007C37DB"/>
    <w:rsid w:val="007C7EC9"/>
    <w:rsid w:val="007D0BB6"/>
    <w:rsid w:val="007D2C04"/>
    <w:rsid w:val="007E5CFB"/>
    <w:rsid w:val="007E66F4"/>
    <w:rsid w:val="007F09D7"/>
    <w:rsid w:val="007F205E"/>
    <w:rsid w:val="007F4DB5"/>
    <w:rsid w:val="00800D82"/>
    <w:rsid w:val="00805FB6"/>
    <w:rsid w:val="00806DC3"/>
    <w:rsid w:val="0081123D"/>
    <w:rsid w:val="0081258D"/>
    <w:rsid w:val="00822507"/>
    <w:rsid w:val="0082471C"/>
    <w:rsid w:val="0083611F"/>
    <w:rsid w:val="008403BB"/>
    <w:rsid w:val="0084263D"/>
    <w:rsid w:val="00851AF0"/>
    <w:rsid w:val="00862D96"/>
    <w:rsid w:val="0087178C"/>
    <w:rsid w:val="00876609"/>
    <w:rsid w:val="008842E8"/>
    <w:rsid w:val="00892C2E"/>
    <w:rsid w:val="008A6509"/>
    <w:rsid w:val="008A6E81"/>
    <w:rsid w:val="008B3261"/>
    <w:rsid w:val="008C218C"/>
    <w:rsid w:val="008D20C6"/>
    <w:rsid w:val="008D4DFC"/>
    <w:rsid w:val="008D6832"/>
    <w:rsid w:val="008D74A5"/>
    <w:rsid w:val="008E2B0B"/>
    <w:rsid w:val="008F0B5C"/>
    <w:rsid w:val="008F0EB8"/>
    <w:rsid w:val="008F62AA"/>
    <w:rsid w:val="00905DF3"/>
    <w:rsid w:val="009103EC"/>
    <w:rsid w:val="009149F4"/>
    <w:rsid w:val="00922E31"/>
    <w:rsid w:val="00926C48"/>
    <w:rsid w:val="00926DA2"/>
    <w:rsid w:val="009331BE"/>
    <w:rsid w:val="00935C07"/>
    <w:rsid w:val="00944B46"/>
    <w:rsid w:val="00947CD5"/>
    <w:rsid w:val="00952E39"/>
    <w:rsid w:val="0095511C"/>
    <w:rsid w:val="00963D62"/>
    <w:rsid w:val="009640EC"/>
    <w:rsid w:val="009847BD"/>
    <w:rsid w:val="00986D62"/>
    <w:rsid w:val="009931AC"/>
    <w:rsid w:val="009A008C"/>
    <w:rsid w:val="009A19C0"/>
    <w:rsid w:val="009A2A2F"/>
    <w:rsid w:val="009A4719"/>
    <w:rsid w:val="009A5747"/>
    <w:rsid w:val="009B3913"/>
    <w:rsid w:val="009C2C98"/>
    <w:rsid w:val="009E18B8"/>
    <w:rsid w:val="009E56CC"/>
    <w:rsid w:val="009F1B90"/>
    <w:rsid w:val="009F5A01"/>
    <w:rsid w:val="00A0159E"/>
    <w:rsid w:val="00A0280B"/>
    <w:rsid w:val="00A11F4A"/>
    <w:rsid w:val="00A1308C"/>
    <w:rsid w:val="00A269F6"/>
    <w:rsid w:val="00A26BB4"/>
    <w:rsid w:val="00A27B6C"/>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758D9"/>
    <w:rsid w:val="00A810F1"/>
    <w:rsid w:val="00A85EC3"/>
    <w:rsid w:val="00A87DF7"/>
    <w:rsid w:val="00A95324"/>
    <w:rsid w:val="00A9746D"/>
    <w:rsid w:val="00AA13F0"/>
    <w:rsid w:val="00AA66EC"/>
    <w:rsid w:val="00AB1B38"/>
    <w:rsid w:val="00AB346E"/>
    <w:rsid w:val="00AC16CB"/>
    <w:rsid w:val="00AC5C85"/>
    <w:rsid w:val="00AD6768"/>
    <w:rsid w:val="00AE1F4E"/>
    <w:rsid w:val="00AE3433"/>
    <w:rsid w:val="00AE357F"/>
    <w:rsid w:val="00AE5D6A"/>
    <w:rsid w:val="00AE6A81"/>
    <w:rsid w:val="00AF031A"/>
    <w:rsid w:val="00AF220F"/>
    <w:rsid w:val="00B00D21"/>
    <w:rsid w:val="00B0406C"/>
    <w:rsid w:val="00B043CA"/>
    <w:rsid w:val="00B22970"/>
    <w:rsid w:val="00B23044"/>
    <w:rsid w:val="00B23944"/>
    <w:rsid w:val="00B33D0D"/>
    <w:rsid w:val="00B43C80"/>
    <w:rsid w:val="00B449B5"/>
    <w:rsid w:val="00B513F0"/>
    <w:rsid w:val="00B52446"/>
    <w:rsid w:val="00B55C05"/>
    <w:rsid w:val="00B56BEA"/>
    <w:rsid w:val="00B64414"/>
    <w:rsid w:val="00B64D5D"/>
    <w:rsid w:val="00B71637"/>
    <w:rsid w:val="00B74584"/>
    <w:rsid w:val="00B82D92"/>
    <w:rsid w:val="00B96F96"/>
    <w:rsid w:val="00B97313"/>
    <w:rsid w:val="00BA1022"/>
    <w:rsid w:val="00BA5737"/>
    <w:rsid w:val="00BA7823"/>
    <w:rsid w:val="00BA7F95"/>
    <w:rsid w:val="00BB0779"/>
    <w:rsid w:val="00BB139E"/>
    <w:rsid w:val="00BB1BA7"/>
    <w:rsid w:val="00BB5959"/>
    <w:rsid w:val="00BB5BE8"/>
    <w:rsid w:val="00BB7E08"/>
    <w:rsid w:val="00BD26D0"/>
    <w:rsid w:val="00BD6C5E"/>
    <w:rsid w:val="00BD7C04"/>
    <w:rsid w:val="00BE12CD"/>
    <w:rsid w:val="00BE16FC"/>
    <w:rsid w:val="00BF03E9"/>
    <w:rsid w:val="00BF2D89"/>
    <w:rsid w:val="00BF78AF"/>
    <w:rsid w:val="00C05A9C"/>
    <w:rsid w:val="00C066CB"/>
    <w:rsid w:val="00C13EE4"/>
    <w:rsid w:val="00C14D1C"/>
    <w:rsid w:val="00C177C5"/>
    <w:rsid w:val="00C21F8F"/>
    <w:rsid w:val="00C225F6"/>
    <w:rsid w:val="00C22B6A"/>
    <w:rsid w:val="00C255C9"/>
    <w:rsid w:val="00C25676"/>
    <w:rsid w:val="00C3301D"/>
    <w:rsid w:val="00C34F10"/>
    <w:rsid w:val="00C43438"/>
    <w:rsid w:val="00C442F4"/>
    <w:rsid w:val="00C45851"/>
    <w:rsid w:val="00C50192"/>
    <w:rsid w:val="00C52655"/>
    <w:rsid w:val="00C616C5"/>
    <w:rsid w:val="00C65220"/>
    <w:rsid w:val="00C70B46"/>
    <w:rsid w:val="00C7148D"/>
    <w:rsid w:val="00C76152"/>
    <w:rsid w:val="00C874ED"/>
    <w:rsid w:val="00C901A1"/>
    <w:rsid w:val="00C918D3"/>
    <w:rsid w:val="00C932CA"/>
    <w:rsid w:val="00C96169"/>
    <w:rsid w:val="00C97613"/>
    <w:rsid w:val="00CA6600"/>
    <w:rsid w:val="00CB0669"/>
    <w:rsid w:val="00CB0FE5"/>
    <w:rsid w:val="00CB4367"/>
    <w:rsid w:val="00CB5024"/>
    <w:rsid w:val="00CB511F"/>
    <w:rsid w:val="00CB7DD8"/>
    <w:rsid w:val="00CC2618"/>
    <w:rsid w:val="00CD32F4"/>
    <w:rsid w:val="00CE0859"/>
    <w:rsid w:val="00CE229D"/>
    <w:rsid w:val="00CE3901"/>
    <w:rsid w:val="00CE4629"/>
    <w:rsid w:val="00CE5815"/>
    <w:rsid w:val="00CE6183"/>
    <w:rsid w:val="00D0116A"/>
    <w:rsid w:val="00D037FE"/>
    <w:rsid w:val="00D04A3A"/>
    <w:rsid w:val="00D07A2E"/>
    <w:rsid w:val="00D11DD3"/>
    <w:rsid w:val="00D1280A"/>
    <w:rsid w:val="00D13032"/>
    <w:rsid w:val="00D14C8F"/>
    <w:rsid w:val="00D23138"/>
    <w:rsid w:val="00D25F45"/>
    <w:rsid w:val="00D351F9"/>
    <w:rsid w:val="00D469FE"/>
    <w:rsid w:val="00D475C2"/>
    <w:rsid w:val="00D52DAB"/>
    <w:rsid w:val="00D555C1"/>
    <w:rsid w:val="00D55AF8"/>
    <w:rsid w:val="00D57C46"/>
    <w:rsid w:val="00D619CB"/>
    <w:rsid w:val="00D670B0"/>
    <w:rsid w:val="00D74CD2"/>
    <w:rsid w:val="00D807D2"/>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23C2"/>
    <w:rsid w:val="00DF48E5"/>
    <w:rsid w:val="00E105D7"/>
    <w:rsid w:val="00E32469"/>
    <w:rsid w:val="00E33DA2"/>
    <w:rsid w:val="00E375C0"/>
    <w:rsid w:val="00E424BD"/>
    <w:rsid w:val="00E46269"/>
    <w:rsid w:val="00E47BA3"/>
    <w:rsid w:val="00E50D25"/>
    <w:rsid w:val="00E52C4E"/>
    <w:rsid w:val="00E546DA"/>
    <w:rsid w:val="00E54EA8"/>
    <w:rsid w:val="00E56998"/>
    <w:rsid w:val="00E644BF"/>
    <w:rsid w:val="00E73883"/>
    <w:rsid w:val="00E75B4A"/>
    <w:rsid w:val="00E76B8E"/>
    <w:rsid w:val="00E77A81"/>
    <w:rsid w:val="00E873DE"/>
    <w:rsid w:val="00E87A05"/>
    <w:rsid w:val="00E87D91"/>
    <w:rsid w:val="00E900D3"/>
    <w:rsid w:val="00EA3B5D"/>
    <w:rsid w:val="00EA4E2B"/>
    <w:rsid w:val="00EB6FA4"/>
    <w:rsid w:val="00EB79C5"/>
    <w:rsid w:val="00EC4F58"/>
    <w:rsid w:val="00EC5839"/>
    <w:rsid w:val="00ED19CF"/>
    <w:rsid w:val="00ED5F50"/>
    <w:rsid w:val="00ED6946"/>
    <w:rsid w:val="00ED7FBF"/>
    <w:rsid w:val="00EE2A8E"/>
    <w:rsid w:val="00EE3316"/>
    <w:rsid w:val="00EE41DE"/>
    <w:rsid w:val="00EF201F"/>
    <w:rsid w:val="00EF7000"/>
    <w:rsid w:val="00F00111"/>
    <w:rsid w:val="00F06054"/>
    <w:rsid w:val="00F10DD2"/>
    <w:rsid w:val="00F114EF"/>
    <w:rsid w:val="00F17D9E"/>
    <w:rsid w:val="00F202B1"/>
    <w:rsid w:val="00F23366"/>
    <w:rsid w:val="00F24F89"/>
    <w:rsid w:val="00F2612C"/>
    <w:rsid w:val="00F30236"/>
    <w:rsid w:val="00F358A9"/>
    <w:rsid w:val="00F37DB6"/>
    <w:rsid w:val="00F424B2"/>
    <w:rsid w:val="00F452C4"/>
    <w:rsid w:val="00F62141"/>
    <w:rsid w:val="00F62F10"/>
    <w:rsid w:val="00F64F60"/>
    <w:rsid w:val="00F6674F"/>
    <w:rsid w:val="00F66D96"/>
    <w:rsid w:val="00F705CD"/>
    <w:rsid w:val="00F72BD0"/>
    <w:rsid w:val="00F75E2A"/>
    <w:rsid w:val="00F81AEE"/>
    <w:rsid w:val="00F85F24"/>
    <w:rsid w:val="00F87C46"/>
    <w:rsid w:val="00F87F2E"/>
    <w:rsid w:val="00F903B5"/>
    <w:rsid w:val="00F92D4E"/>
    <w:rsid w:val="00F93CA0"/>
    <w:rsid w:val="00FA0C2E"/>
    <w:rsid w:val="00FA5DDD"/>
    <w:rsid w:val="00FA65F3"/>
    <w:rsid w:val="00FC0222"/>
    <w:rsid w:val="00FC101E"/>
    <w:rsid w:val="00FD1061"/>
    <w:rsid w:val="00FD339F"/>
    <w:rsid w:val="00FD3DE9"/>
    <w:rsid w:val="00FD56A5"/>
    <w:rsid w:val="00FD5D7D"/>
    <w:rsid w:val="00FD5E3C"/>
    <w:rsid w:val="00FD6E2C"/>
    <w:rsid w:val="00FE2F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paragraph" w:styleId="Heading5">
    <w:name w:val="heading 5"/>
    <w:basedOn w:val="Normal"/>
    <w:next w:val="Normal"/>
    <w:link w:val="Heading5Char"/>
    <w:uiPriority w:val="9"/>
    <w:semiHidden/>
    <w:unhideWhenUsed/>
    <w:qFormat/>
    <w:rsid w:val="00C52655"/>
    <w:pPr>
      <w:keepNext/>
      <w:keepLines/>
      <w:spacing w:before="40"/>
      <w:outlineLvl w:val="4"/>
    </w:pPr>
    <w:rPr>
      <w:rFonts w:ascii="Calibri Light" w:hAnsi="Calibri Light"/>
      <w:color w:val="2F549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customStyle="1" w:styleId="UnresolvedMention1">
    <w:name w:val="Unresolved Mention1"/>
    <w:basedOn w:val="DefaultParagraphFont"/>
    <w:uiPriority w:val="99"/>
    <w:semiHidden/>
    <w:unhideWhenUsed/>
    <w:rsid w:val="003631BF"/>
    <w:rPr>
      <w:color w:val="605E5C"/>
      <w:shd w:val="clear" w:color="auto" w:fill="E1DFDD"/>
    </w:rPr>
  </w:style>
  <w:style w:type="paragraph" w:customStyle="1" w:styleId="Antrat51">
    <w:name w:val="Antraštė 51"/>
    <w:basedOn w:val="Normal"/>
    <w:next w:val="Normal"/>
    <w:uiPriority w:val="9"/>
    <w:unhideWhenUsed/>
    <w:qFormat/>
    <w:rsid w:val="00C52655"/>
    <w:pPr>
      <w:keepNext/>
      <w:keepLines/>
      <w:spacing w:before="40" w:line="276" w:lineRule="auto"/>
      <w:outlineLvl w:val="4"/>
    </w:pPr>
    <w:rPr>
      <w:rFonts w:ascii="Calibri Light" w:hAnsi="Calibri Light"/>
      <w:color w:val="2F5496"/>
      <w:sz w:val="22"/>
      <w:szCs w:val="22"/>
    </w:rPr>
  </w:style>
  <w:style w:type="paragraph" w:styleId="FootnoteText">
    <w:name w:val="footnote text"/>
    <w:basedOn w:val="Normal"/>
    <w:link w:val="FootnoteTextChar"/>
    <w:uiPriority w:val="99"/>
    <w:unhideWhenUsed/>
    <w:rsid w:val="00C52655"/>
    <w:rPr>
      <w:rFonts w:ascii="Calibri" w:eastAsia="Calibri" w:hAnsi="Calibri"/>
    </w:rPr>
  </w:style>
  <w:style w:type="character" w:customStyle="1" w:styleId="FootnoteTextChar">
    <w:name w:val="Footnote Text Char"/>
    <w:basedOn w:val="DefaultParagraphFont"/>
    <w:link w:val="FootnoteText"/>
    <w:uiPriority w:val="99"/>
    <w:rsid w:val="00C52655"/>
    <w:rPr>
      <w:rFonts w:ascii="Calibri" w:eastAsia="Calibri" w:hAnsi="Calibri"/>
      <w:lang w:eastAsia="en-US"/>
    </w:rPr>
  </w:style>
  <w:style w:type="character" w:styleId="FootnoteReference">
    <w:name w:val="footnote reference"/>
    <w:basedOn w:val="DefaultParagraphFont"/>
    <w:uiPriority w:val="99"/>
    <w:unhideWhenUsed/>
    <w:rsid w:val="00C52655"/>
    <w:rPr>
      <w:vertAlign w:val="superscript"/>
    </w:rPr>
  </w:style>
  <w:style w:type="character" w:customStyle="1" w:styleId="Heading5Char">
    <w:name w:val="Heading 5 Char"/>
    <w:basedOn w:val="DefaultParagraphFont"/>
    <w:link w:val="Heading5"/>
    <w:uiPriority w:val="9"/>
    <w:semiHidden/>
    <w:rsid w:val="00C52655"/>
    <w:rPr>
      <w:rFonts w:ascii="Calibri Light" w:eastAsia="Times New Roman" w:hAnsi="Calibri Light" w:cs="Times New Roman"/>
      <w:color w:val="2F5496"/>
    </w:rPr>
  </w:style>
  <w:style w:type="character" w:customStyle="1" w:styleId="Antrat5Diagrama1">
    <w:name w:val="Antraštė 5 Diagrama1"/>
    <w:basedOn w:val="DefaultParagraphFont"/>
    <w:semiHidden/>
    <w:rsid w:val="00C52655"/>
    <w:rPr>
      <w:rFonts w:asciiTheme="majorHAnsi" w:eastAsiaTheme="majorEastAsia" w:hAnsiTheme="majorHAnsi" w:cstheme="majorBidi"/>
      <w:color w:val="2F5496" w:themeColor="accent1" w:themeShade="BF"/>
      <w:lang w:eastAsia="en-US"/>
    </w:rPr>
  </w:style>
  <w:style w:type="character" w:customStyle="1" w:styleId="ListParagraphChar">
    <w:name w:val="List Paragraph Char"/>
    <w:basedOn w:val="DefaultParagraphFont"/>
    <w:link w:val="ListParagraph"/>
    <w:uiPriority w:val="34"/>
    <w:rsid w:val="00481479"/>
    <w:rPr>
      <w:lang w:eastAsia="en-US"/>
    </w:rPr>
  </w:style>
  <w:style w:type="character" w:styleId="UnresolvedMention">
    <w:name w:val="Unresolved Mention"/>
    <w:basedOn w:val="DefaultParagraphFont"/>
    <w:uiPriority w:val="99"/>
    <w:semiHidden/>
    <w:unhideWhenUsed/>
    <w:rsid w:val="00703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134573">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105349689">
      <w:bodyDiv w:val="1"/>
      <w:marLeft w:val="0"/>
      <w:marRight w:val="0"/>
      <w:marTop w:val="0"/>
      <w:marBottom w:val="0"/>
      <w:divBdr>
        <w:top w:val="none" w:sz="0" w:space="0" w:color="auto"/>
        <w:left w:val="none" w:sz="0" w:space="0" w:color="auto"/>
        <w:bottom w:val="none" w:sz="0" w:space="0" w:color="auto"/>
        <w:right w:val="none" w:sz="0" w:space="0" w:color="auto"/>
      </w:divBdr>
    </w:div>
    <w:div w:id="1191921187">
      <w:bodyDiv w:val="1"/>
      <w:marLeft w:val="0"/>
      <w:marRight w:val="0"/>
      <w:marTop w:val="0"/>
      <w:marBottom w:val="0"/>
      <w:divBdr>
        <w:top w:val="none" w:sz="0" w:space="0" w:color="auto"/>
        <w:left w:val="none" w:sz="0" w:space="0" w:color="auto"/>
        <w:bottom w:val="none" w:sz="0" w:space="0" w:color="auto"/>
        <w:right w:val="none" w:sz="0" w:space="0" w:color="auto"/>
      </w:divBdr>
    </w:div>
    <w:div w:id="14936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Nariuniene\AppData\Local\Microsoft\Windows\INetCache\Content.Outlook\ISV98GX8\linas.krasauskas@igniti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LNariuniene\AppData\Local\Microsoft\Windows\INetCache\Content.Outlook\ISV98GX8\grupe@ignit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bank.lt/apie-mus/apie-op-financial-group/kredito-reitingai/" TargetMode="External"/><Relationship Id="rId2" Type="http://schemas.openxmlformats.org/officeDocument/2006/relationships/hyperlink" Target="https://www.swedbank.com/investor-relations/debt-investors/rating.html" TargetMode="External"/><Relationship Id="rId1" Type="http://schemas.openxmlformats.org/officeDocument/2006/relationships/hyperlink" Target="https://sebgroup.com/investor-relations/debt-investors/credit-ratings" TargetMode="External"/><Relationship Id="rId6" Type="http://schemas.openxmlformats.org/officeDocument/2006/relationships/hyperlink" Target="https://sb.lt/lt/apie/naujienos/moodys-ivertino-siauliu-banko-pazanga-pagerintas-kredito-reitingas" TargetMode="External"/><Relationship Id="rId5" Type="http://schemas.openxmlformats.org/officeDocument/2006/relationships/hyperlink" Target="https://www.cblgroup.com/lt/media/press-releases/2020/moodys/;" TargetMode="External"/><Relationship Id="rId4" Type="http://schemas.openxmlformats.org/officeDocument/2006/relationships/hyperlink" Target="https://www.luminor.lt/en/financial-reports-lithuania%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13FDB-CF45-423A-8AD5-CB69CADF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1553</Words>
  <Characters>8857</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Dovilė Gataukytė</cp:lastModifiedBy>
  <cp:revision>2</cp:revision>
  <cp:lastPrinted>2017-04-05T07:57:00Z</cp:lastPrinted>
  <dcterms:created xsi:type="dcterms:W3CDTF">2021-01-25T13:42:00Z</dcterms:created>
  <dcterms:modified xsi:type="dcterms:W3CDTF">2021-01-25T13:42:00Z</dcterms:modified>
</cp:coreProperties>
</file>