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E5A4" w14:textId="77777777" w:rsidR="00D57C0D" w:rsidRDefault="00837107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0D83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64192705" r:id="rId9"/>
        </w:object>
      </w:r>
    </w:p>
    <w:p w14:paraId="48BF9E6B" w14:textId="77777777" w:rsidR="00D57C0D" w:rsidRPr="008A38CD" w:rsidRDefault="00D57C0D" w:rsidP="00D57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2D408A" w14:textId="77777777" w:rsidR="00D57C0D" w:rsidRPr="008A38CD" w:rsidRDefault="00D57C0D" w:rsidP="00D57C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DFEBC5" w14:textId="5A88AA89" w:rsidR="00D57C0D" w:rsidRPr="008A38CD" w:rsidRDefault="00D57C0D" w:rsidP="000C6C3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286490ED" w14:textId="4D74CDA9" w:rsidR="00D57C0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029BE5" w14:textId="77777777" w:rsidR="000C6C36" w:rsidRPr="008A38CD" w:rsidRDefault="000C6C36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189BF4" w14:textId="77777777" w:rsidR="00D57C0D" w:rsidRPr="008A38CD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D57C0D" w:rsidRPr="008A38CD" w14:paraId="2CDF8AD2" w14:textId="77777777" w:rsidTr="005751A1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0C23C0E7" w14:textId="59E82AB7" w:rsidR="00D57C0D" w:rsidRDefault="005E3ED0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Valstybinė ligonių kasa</w:t>
            </w:r>
          </w:p>
          <w:p w14:paraId="3ABB8745" w14:textId="5D908FE6" w:rsidR="005E3ED0" w:rsidRDefault="005E3ED0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 Sveikatos apsaugos ministerijos</w:t>
            </w:r>
          </w:p>
          <w:p w14:paraId="52AC088D" w14:textId="6CDAF8C2" w:rsidR="00595888" w:rsidRDefault="005E3ED0" w:rsidP="005751A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Europos aikštė 1</w:t>
            </w:r>
          </w:p>
          <w:p w14:paraId="66ABF713" w14:textId="677A9466" w:rsidR="00D57C0D" w:rsidRDefault="005E3ED0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03505 Vilnius</w:t>
            </w:r>
          </w:p>
          <w:p w14:paraId="661B8D5A" w14:textId="77777777" w:rsidR="000C6C36" w:rsidRPr="000440D4" w:rsidRDefault="000C6C36" w:rsidP="000C6C3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E3282A5" w14:textId="6DFE2BA9" w:rsidR="00D57C0D" w:rsidRDefault="00D57C0D" w:rsidP="005751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3ED0">
              <w:rPr>
                <w:rFonts w:ascii="Times New Roman" w:eastAsia="Times New Roman" w:hAnsi="Times New Roman" w:cs="Times New Roman"/>
                <w:sz w:val="24"/>
                <w:szCs w:val="24"/>
              </w:rPr>
              <w:t>vlk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5E3ED0">
              <w:rPr>
                <w:rFonts w:ascii="Times New Roman" w:hAnsi="Times New Roman" w:cs="Times New Roman"/>
                <w:sz w:val="24"/>
                <w:szCs w:val="24"/>
              </w:rPr>
              <w:t>vlk</w:t>
            </w:r>
            <w:r w:rsidR="00D95337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  <w:p w14:paraId="22CADF9E" w14:textId="77777777" w:rsidR="00D57C0D" w:rsidRPr="000440D4" w:rsidRDefault="00D57C0D" w:rsidP="005751A1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F1649F" w14:textId="2B023105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6AE18C1" w14:textId="02A8D153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CB1AD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F4EA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6FF87AA7" w14:textId="34C0BFFE" w:rsidR="00FD41F4" w:rsidRPr="008A38CD" w:rsidRDefault="00FD41F4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865101" w14:textId="77777777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772482F" w14:textId="17952FAD" w:rsidR="00D57C0D" w:rsidRPr="008A38C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="00C35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56481E98" w14:textId="5BF71A38" w:rsidR="00D57C0D" w:rsidRPr="008A38CD" w:rsidRDefault="00D57C0D" w:rsidP="005751A1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2044F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E60E2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204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7CAA029" w14:textId="5CAE991F" w:rsidR="00D57C0D" w:rsidRDefault="00BB4206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4K-6810</w:t>
            </w:r>
          </w:p>
          <w:p w14:paraId="236F10CD" w14:textId="77777777"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43C05" w14:textId="77777777" w:rsidR="00D57C0D" w:rsidRPr="008A38CD" w:rsidRDefault="00D57C0D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9F732C" w14:textId="77777777" w:rsidR="000C6C36" w:rsidRDefault="000C6C36" w:rsidP="00D57C0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06F6B" w14:textId="3A09E388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PIRKIM</w:t>
      </w:r>
      <w:r w:rsidR="000C38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Ą</w:t>
      </w:r>
      <w:r w:rsidR="00BC1A3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NESKELBIAMŲ DERYBŲ BŪDU</w:t>
      </w:r>
    </w:p>
    <w:p w14:paraId="398F4658" w14:textId="0D0371D3" w:rsidR="00D57C0D" w:rsidRDefault="00D57C0D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327442" w14:textId="77777777" w:rsidR="00CB1AD4" w:rsidRDefault="00CB1AD4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EF0A6E" w14:textId="65237894" w:rsidR="00C76FD2" w:rsidRDefault="00C76FD2" w:rsidP="00C76FD2">
      <w:pPr>
        <w:spacing w:after="0" w:line="264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Valstybinės ligonių kasos prie Sveikatos apsaugos ministerijos (toliau – Perkančioji organizacija) prašymą </w:t>
      </w:r>
      <w:r w:rsidR="00BB4206">
        <w:rPr>
          <w:rFonts w:ascii="Times New Roman" w:eastAsia="Calibri" w:hAnsi="Times New Roman" w:cs="Times New Roman"/>
          <w:i/>
          <w:sz w:val="24"/>
          <w:szCs w:val="24"/>
        </w:rPr>
        <w:t xml:space="preserve">Sąnarių </w:t>
      </w:r>
      <w:proofErr w:type="spellStart"/>
      <w:r w:rsidR="00BB4206">
        <w:rPr>
          <w:rFonts w:ascii="Times New Roman" w:eastAsia="Calibri" w:hAnsi="Times New Roman" w:cs="Times New Roman"/>
          <w:i/>
          <w:sz w:val="24"/>
          <w:szCs w:val="24"/>
        </w:rPr>
        <w:t>endoprotezų</w:t>
      </w:r>
      <w:proofErr w:type="spellEnd"/>
      <w:r w:rsidR="00BB4206">
        <w:rPr>
          <w:rFonts w:ascii="Times New Roman" w:eastAsia="Calibri" w:hAnsi="Times New Roman" w:cs="Times New Roman"/>
          <w:i/>
          <w:sz w:val="24"/>
          <w:szCs w:val="24"/>
        </w:rPr>
        <w:t xml:space="preserve"> (revizinių sąnarių </w:t>
      </w:r>
      <w:proofErr w:type="spellStart"/>
      <w:r w:rsidR="00BB4206">
        <w:rPr>
          <w:rFonts w:ascii="Times New Roman" w:eastAsia="Calibri" w:hAnsi="Times New Roman" w:cs="Times New Roman"/>
          <w:i/>
          <w:sz w:val="24"/>
          <w:szCs w:val="24"/>
        </w:rPr>
        <w:t>endoprotezų</w:t>
      </w:r>
      <w:proofErr w:type="spellEnd"/>
      <w:r w:rsidR="00BB4206">
        <w:rPr>
          <w:rFonts w:ascii="Times New Roman" w:eastAsia="Calibri" w:hAnsi="Times New Roman" w:cs="Times New Roman"/>
          <w:i/>
          <w:sz w:val="24"/>
          <w:szCs w:val="24"/>
        </w:rPr>
        <w:t xml:space="preserve"> komponentų)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pirkimą</w:t>
      </w:r>
      <w:r w:rsidR="00086B08">
        <w:rPr>
          <w:rStyle w:val="FootnoteReference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(toliau – Pirkimas)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vykdyti neskelbiamų derybų būdu, vadovaujantis Įstatymo 71 straipsnio 1 dalies 2 punkto (b) papunkčio nuostatomis.</w:t>
      </w:r>
    </w:p>
    <w:p w14:paraId="596FFB78" w14:textId="1CAD9D11" w:rsidR="00C76FD2" w:rsidRDefault="00C76FD2" w:rsidP="00C76FD2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Perkančioji organizacija nurodo, kad per Centrinę perkančiąją organizaciją (toliau – CPO) centralizuotai perka klubo, kelio bei kitų sąnarių (peties, alkūnės, čiurnos</w:t>
      </w:r>
      <w:r w:rsidR="002D00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008D">
        <w:rPr>
          <w:rFonts w:ascii="Times New Roman" w:hAnsi="Times New Roman" w:cs="Times New Roman"/>
          <w:sz w:val="24"/>
          <w:szCs w:val="24"/>
        </w:rPr>
        <w:t>riešinio</w:t>
      </w:r>
      <w:proofErr w:type="spellEnd"/>
      <w:r w:rsidR="002D008D">
        <w:rPr>
          <w:rFonts w:ascii="Times New Roman" w:hAnsi="Times New Roman" w:cs="Times New Roman"/>
          <w:sz w:val="24"/>
          <w:szCs w:val="24"/>
        </w:rPr>
        <w:t xml:space="preserve"> nykščio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(toliau – pirminiai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endoprotezai</w:t>
      </w:r>
      <w:proofErr w:type="spellEnd"/>
      <w:r>
        <w:rPr>
          <w:rFonts w:ascii="Times New Roman" w:hAnsi="Times New Roman" w:cs="Times New Roman"/>
          <w:sz w:val="24"/>
          <w:szCs w:val="24"/>
        </w:rPr>
        <w:t>) pirminėms sąnarių keitimo operacijoms atlikti</w:t>
      </w:r>
      <w:r w:rsidR="001461D5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86B08">
        <w:rPr>
          <w:rFonts w:ascii="Times New Roman" w:hAnsi="Times New Roman" w:cs="Times New Roman"/>
          <w:sz w:val="24"/>
          <w:szCs w:val="24"/>
        </w:rPr>
        <w:t xml:space="preserve">Prašyme nurodoma, kad </w:t>
      </w:r>
      <w:r>
        <w:rPr>
          <w:rFonts w:ascii="Times New Roman" w:hAnsi="Times New Roman" w:cs="Times New Roman"/>
          <w:sz w:val="24"/>
          <w:szCs w:val="24"/>
        </w:rPr>
        <w:t>Lietuvos gydymo įstaigos</w:t>
      </w:r>
      <w:r w:rsidR="00492E08">
        <w:rPr>
          <w:rFonts w:ascii="Times New Roman" w:hAnsi="Times New Roman" w:cs="Times New Roman"/>
          <w:sz w:val="24"/>
          <w:szCs w:val="24"/>
        </w:rPr>
        <w:t xml:space="preserve"> naudojo (arba</w:t>
      </w:r>
      <w:r>
        <w:rPr>
          <w:rFonts w:ascii="Times New Roman" w:hAnsi="Times New Roman" w:cs="Times New Roman"/>
          <w:sz w:val="24"/>
          <w:szCs w:val="24"/>
        </w:rPr>
        <w:t xml:space="preserve"> naudoja</w:t>
      </w:r>
      <w:r w:rsidR="00492E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B08">
        <w:rPr>
          <w:rFonts w:ascii="Times New Roman" w:hAnsi="Times New Roman" w:cs="Times New Roman"/>
          <w:sz w:val="24"/>
          <w:szCs w:val="24"/>
        </w:rPr>
        <w:t xml:space="preserve">skirtingų gamintojų sąnarių </w:t>
      </w:r>
      <w:proofErr w:type="spellStart"/>
      <w:r w:rsidR="00086B08">
        <w:rPr>
          <w:rFonts w:ascii="Times New Roman" w:hAnsi="Times New Roman" w:cs="Times New Roman"/>
          <w:sz w:val="24"/>
          <w:szCs w:val="24"/>
        </w:rPr>
        <w:t>endoprotezus</w:t>
      </w:r>
      <w:proofErr w:type="spellEnd"/>
      <w:r w:rsidR="00086B08">
        <w:rPr>
          <w:rFonts w:ascii="Times New Roman" w:hAnsi="Times New Roman" w:cs="Times New Roman"/>
          <w:sz w:val="24"/>
          <w:szCs w:val="24"/>
        </w:rPr>
        <w:t>, t. y. yra naudojami šie</w:t>
      </w:r>
      <w:r>
        <w:rPr>
          <w:rFonts w:ascii="Times New Roman" w:hAnsi="Times New Roman" w:cs="Times New Roman"/>
          <w:sz w:val="24"/>
          <w:szCs w:val="24"/>
        </w:rPr>
        <w:t xml:space="preserve"> pirmini</w:t>
      </w:r>
      <w:r w:rsidR="00086B08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klubo sąnario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endoprotez</w:t>
      </w:r>
      <w:r w:rsidR="00086B08">
        <w:rPr>
          <w:rFonts w:ascii="Times New Roman" w:hAnsi="Times New Roman" w:cs="Times New Roman"/>
          <w:bCs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en-IE"/>
        </w:rPr>
        <w:t>Institution</w:t>
      </w:r>
      <w:r>
        <w:rPr>
          <w:rFonts w:ascii="Times New Roman" w:hAnsi="Times New Roman" w:cs="Times New Roman"/>
          <w:sz w:val="24"/>
          <w:szCs w:val="24"/>
        </w:rPr>
        <w:t xml:space="preserve"> (tiekėjas – UAB „Chirurgijos technologijos“),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IE"/>
        </w:rPr>
        <w:t>Twinsys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Graina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BiContact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„B. </w:t>
      </w:r>
      <w:proofErr w:type="spellStart"/>
      <w:r>
        <w:rPr>
          <w:rFonts w:ascii="Times New Roman" w:hAnsi="Times New Roman" w:cs="Times New Roman"/>
          <w:sz w:val="24"/>
          <w:szCs w:val="24"/>
        </w:rPr>
        <w:t>Braun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r>
        <w:rPr>
          <w:rFonts w:ascii="Times New Roman" w:hAnsi="Times New Roman" w:cs="Times New Roman"/>
          <w:i/>
          <w:sz w:val="24"/>
          <w:szCs w:val="24"/>
        </w:rPr>
        <w:t>MS30</w:t>
      </w:r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r>
        <w:rPr>
          <w:rFonts w:ascii="Times New Roman" w:hAnsi="Times New Roman" w:cs="Times New Roman"/>
          <w:i/>
          <w:sz w:val="24"/>
          <w:szCs w:val="24"/>
        </w:rPr>
        <w:t>Lubinus</w:t>
      </w:r>
      <w:r>
        <w:rPr>
          <w:rFonts w:ascii="Times New Roman" w:hAnsi="Times New Roman" w:cs="Times New Roman"/>
          <w:sz w:val="24"/>
          <w:szCs w:val="24"/>
        </w:rPr>
        <w:t xml:space="preserve"> (tiekėjas – </w:t>
      </w:r>
      <w:r>
        <w:rPr>
          <w:rFonts w:ascii="Times New Roman" w:hAnsi="Times New Roman" w:cs="Times New Roman"/>
          <w:sz w:val="24"/>
          <w:szCs w:val="24"/>
        </w:rPr>
        <w:lastRenderedPageBreak/>
        <w:t>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Bonameda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r>
        <w:rPr>
          <w:rFonts w:ascii="Times New Roman" w:hAnsi="Times New Roman" w:cs="Times New Roman"/>
          <w:i/>
          <w:sz w:val="24"/>
          <w:szCs w:val="24"/>
        </w:rPr>
        <w:t xml:space="preserve">CS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Osteca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Bi-Metric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Taperloc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Cortina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„Baltic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Corail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Osteal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Formedics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Ecofit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„Baltic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“); </w:t>
      </w:r>
      <w:r>
        <w:rPr>
          <w:rFonts w:ascii="Times New Roman" w:hAnsi="Times New Roman" w:cs="Times New Roman"/>
          <w:bCs/>
          <w:sz w:val="24"/>
          <w:szCs w:val="24"/>
        </w:rPr>
        <w:t>kelio sąnario pirmini</w:t>
      </w:r>
      <w:r w:rsidR="00086B08">
        <w:rPr>
          <w:rFonts w:ascii="Times New Roman" w:hAnsi="Times New Roman" w:cs="Times New Roman"/>
          <w:bCs/>
          <w:sz w:val="24"/>
          <w:szCs w:val="24"/>
        </w:rPr>
        <w:t>ai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endoprotez</w:t>
      </w:r>
      <w:r w:rsidR="00086B08">
        <w:rPr>
          <w:rFonts w:ascii="Times New Roman" w:hAnsi="Times New Roman" w:cs="Times New Roman"/>
          <w:bCs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PFC Sigma</w:t>
      </w:r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r>
        <w:rPr>
          <w:rFonts w:ascii="Times New Roman" w:hAnsi="Times New Roman" w:cs="Times New Roman"/>
          <w:i/>
          <w:sz w:val="24"/>
          <w:szCs w:val="24"/>
        </w:rPr>
        <w:t>Vanguard</w:t>
      </w:r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NexGen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„Chirurgijos technologijos“),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Genesis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II </w:t>
      </w:r>
      <w:r>
        <w:rPr>
          <w:rFonts w:ascii="Times New Roman" w:hAnsi="Times New Roman" w:cs="Times New Roman"/>
          <w:sz w:val="24"/>
          <w:szCs w:val="24"/>
        </w:rPr>
        <w:t>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Osteca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Gemini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Bonameda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Balansys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Graina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Columbus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„B. </w:t>
      </w:r>
      <w:proofErr w:type="spellStart"/>
      <w:r>
        <w:rPr>
          <w:rFonts w:ascii="Times New Roman" w:hAnsi="Times New Roman" w:cs="Times New Roman"/>
          <w:sz w:val="24"/>
          <w:szCs w:val="24"/>
        </w:rPr>
        <w:t>Braun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Hermes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Formedics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Oxford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Biomedica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“); </w:t>
      </w:r>
      <w:r>
        <w:rPr>
          <w:rFonts w:ascii="Times New Roman" w:hAnsi="Times New Roman" w:cs="Times New Roman"/>
          <w:bCs/>
          <w:sz w:val="24"/>
          <w:szCs w:val="24"/>
        </w:rPr>
        <w:t>peties sąnario pirmini</w:t>
      </w:r>
      <w:r w:rsidR="00086B08">
        <w:rPr>
          <w:rFonts w:ascii="Times New Roman" w:hAnsi="Times New Roman" w:cs="Times New Roman"/>
          <w:bCs/>
          <w:sz w:val="24"/>
          <w:szCs w:val="24"/>
        </w:rPr>
        <w:t>ai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endoprotez</w:t>
      </w:r>
      <w:r w:rsidR="00086B08">
        <w:rPr>
          <w:rFonts w:ascii="Times New Roman" w:hAnsi="Times New Roman" w:cs="Times New Roman"/>
          <w:bCs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Ulys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Formedics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r>
        <w:rPr>
          <w:rFonts w:ascii="Times New Roman" w:hAnsi="Times New Roman" w:cs="Times New Roman"/>
          <w:i/>
          <w:sz w:val="24"/>
          <w:szCs w:val="24"/>
        </w:rPr>
        <w:t>Global</w:t>
      </w:r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r>
        <w:rPr>
          <w:rFonts w:ascii="Times New Roman" w:hAnsi="Times New Roman" w:cs="Times New Roman"/>
          <w:i/>
          <w:sz w:val="24"/>
          <w:szCs w:val="24"/>
        </w:rPr>
        <w:t>Delta</w:t>
      </w:r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Bonameda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Anatomical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shoulder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Copeland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“); </w:t>
      </w:r>
      <w:r>
        <w:rPr>
          <w:rFonts w:ascii="Times New Roman" w:hAnsi="Times New Roman" w:cs="Times New Roman"/>
          <w:bCs/>
          <w:sz w:val="24"/>
          <w:szCs w:val="24"/>
        </w:rPr>
        <w:t>čiurnos sąnario pirmin</w:t>
      </w:r>
      <w:r w:rsidR="00DE4579">
        <w:rPr>
          <w:rFonts w:ascii="Times New Roman" w:hAnsi="Times New Roman" w:cs="Times New Roman"/>
          <w:bCs/>
          <w:sz w:val="24"/>
          <w:szCs w:val="24"/>
        </w:rPr>
        <w:t>i</w:t>
      </w:r>
      <w:r w:rsidR="00086B08">
        <w:rPr>
          <w:rFonts w:ascii="Times New Roman" w:hAnsi="Times New Roman" w:cs="Times New Roman"/>
          <w:bCs/>
          <w:sz w:val="24"/>
          <w:szCs w:val="24"/>
        </w:rPr>
        <w:t>ai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endprotez</w:t>
      </w:r>
      <w:r w:rsidR="00086B08">
        <w:rPr>
          <w:rFonts w:ascii="Times New Roman" w:hAnsi="Times New Roman" w:cs="Times New Roman"/>
          <w:bCs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Hintegra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Osteca</w:t>
      </w:r>
      <w:proofErr w:type="spellEnd"/>
      <w:r>
        <w:rPr>
          <w:rFonts w:ascii="Times New Roman" w:hAnsi="Times New Roman" w:cs="Times New Roman"/>
          <w:sz w:val="24"/>
          <w:szCs w:val="24"/>
        </w:rPr>
        <w:t>“)</w:t>
      </w:r>
      <w:r w:rsidR="00DE4579">
        <w:rPr>
          <w:rFonts w:ascii="Times New Roman" w:hAnsi="Times New Roman" w:cs="Times New Roman"/>
          <w:sz w:val="24"/>
          <w:szCs w:val="24"/>
        </w:rPr>
        <w:t xml:space="preserve">, </w:t>
      </w:r>
      <w:r w:rsidR="00DE4579" w:rsidRPr="00DE4579">
        <w:rPr>
          <w:rFonts w:ascii="Times New Roman" w:hAnsi="Times New Roman" w:cs="Times New Roman"/>
          <w:i/>
          <w:iCs/>
          <w:sz w:val="24"/>
          <w:szCs w:val="24"/>
        </w:rPr>
        <w:t>STAR</w:t>
      </w:r>
      <w:r w:rsidR="00DE4579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="00DE4579">
        <w:rPr>
          <w:rFonts w:ascii="Times New Roman" w:hAnsi="Times New Roman" w:cs="Times New Roman"/>
          <w:sz w:val="24"/>
          <w:szCs w:val="24"/>
        </w:rPr>
        <w:t>Limeta</w:t>
      </w:r>
      <w:proofErr w:type="spellEnd"/>
      <w:r w:rsidR="00DE4579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</w:rPr>
        <w:t>alkūnės sąnario pirmin</w:t>
      </w:r>
      <w:r w:rsidR="00086B08">
        <w:rPr>
          <w:rFonts w:ascii="Times New Roman" w:hAnsi="Times New Roman" w:cs="Times New Roman"/>
          <w:bCs/>
          <w:sz w:val="24"/>
          <w:szCs w:val="24"/>
        </w:rPr>
        <w:t>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endoprotez</w:t>
      </w:r>
      <w:r w:rsidR="00086B08"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Coonrad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Morrey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>
        <w:rPr>
          <w:rFonts w:ascii="Times New Roman" w:hAnsi="Times New Roman" w:cs="Times New Roman"/>
          <w:sz w:val="24"/>
          <w:szCs w:val="24"/>
        </w:rPr>
        <w:t>“)</w:t>
      </w:r>
      <w:r w:rsidR="00DE45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E4579">
        <w:rPr>
          <w:rFonts w:ascii="Times New Roman" w:hAnsi="Times New Roman" w:cs="Times New Roman"/>
          <w:sz w:val="24"/>
          <w:szCs w:val="24"/>
        </w:rPr>
        <w:t>riešinio</w:t>
      </w:r>
      <w:proofErr w:type="spellEnd"/>
      <w:r w:rsidR="00DE4579">
        <w:rPr>
          <w:rFonts w:ascii="Times New Roman" w:hAnsi="Times New Roman" w:cs="Times New Roman"/>
          <w:sz w:val="24"/>
          <w:szCs w:val="24"/>
        </w:rPr>
        <w:t xml:space="preserve"> nykščio sąnario pirmin</w:t>
      </w:r>
      <w:r w:rsidR="00086B08">
        <w:rPr>
          <w:rFonts w:ascii="Times New Roman" w:hAnsi="Times New Roman" w:cs="Times New Roman"/>
          <w:sz w:val="24"/>
          <w:szCs w:val="24"/>
        </w:rPr>
        <w:t>is</w:t>
      </w:r>
      <w:r w:rsidR="00DE45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579">
        <w:rPr>
          <w:rFonts w:ascii="Times New Roman" w:hAnsi="Times New Roman" w:cs="Times New Roman"/>
          <w:sz w:val="24"/>
          <w:szCs w:val="24"/>
        </w:rPr>
        <w:t>endoprotez</w:t>
      </w:r>
      <w:r w:rsidR="00086B08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DE4579">
        <w:rPr>
          <w:rFonts w:ascii="Times New Roman" w:hAnsi="Times New Roman" w:cs="Times New Roman"/>
          <w:sz w:val="24"/>
          <w:szCs w:val="24"/>
        </w:rPr>
        <w:t xml:space="preserve"> – </w:t>
      </w:r>
      <w:r w:rsidR="00DE4579" w:rsidRPr="00DE4579">
        <w:rPr>
          <w:rFonts w:ascii="Times New Roman" w:hAnsi="Times New Roman" w:cs="Times New Roman"/>
          <w:i/>
          <w:iCs/>
          <w:sz w:val="24"/>
          <w:szCs w:val="24"/>
        </w:rPr>
        <w:t>MAIA</w:t>
      </w:r>
      <w:r w:rsidR="00DE4579">
        <w:rPr>
          <w:rFonts w:ascii="Times New Roman" w:hAnsi="Times New Roman" w:cs="Times New Roman"/>
          <w:sz w:val="24"/>
          <w:szCs w:val="24"/>
        </w:rPr>
        <w:t xml:space="preserve"> (tiekėjas – UAB „Chirurgijos technologijos“).</w:t>
      </w:r>
    </w:p>
    <w:p w14:paraId="380F1ECF" w14:textId="0F73A42A" w:rsidR="00C76FD2" w:rsidRDefault="00C76FD2" w:rsidP="00C76FD2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Prašyme </w:t>
      </w:r>
      <w:r w:rsidR="001A5BE4">
        <w:rPr>
          <w:rFonts w:ascii="Times New Roman" w:hAnsi="Times New Roman" w:cs="Times New Roman"/>
          <w:sz w:val="24"/>
          <w:szCs w:val="24"/>
        </w:rPr>
        <w:t>pažymima</w:t>
      </w:r>
      <w:r>
        <w:rPr>
          <w:rFonts w:ascii="Times New Roman" w:hAnsi="Times New Roman" w:cs="Times New Roman"/>
          <w:sz w:val="24"/>
          <w:szCs w:val="24"/>
        </w:rPr>
        <w:t xml:space="preserve">, kad revizinių </w:t>
      </w:r>
      <w:bookmarkStart w:id="0" w:name="_Hlk53573068"/>
      <w:r w:rsidR="001A5BE4">
        <w:rPr>
          <w:rFonts w:ascii="Times New Roman" w:hAnsi="Times New Roman" w:cs="Times New Roman"/>
          <w:sz w:val="24"/>
          <w:szCs w:val="24"/>
        </w:rPr>
        <w:t xml:space="preserve">(pakartotinų to paties </w:t>
      </w:r>
      <w:proofErr w:type="spellStart"/>
      <w:r w:rsidR="001A5BE4">
        <w:rPr>
          <w:rFonts w:ascii="Times New Roman" w:hAnsi="Times New Roman" w:cs="Times New Roman"/>
          <w:sz w:val="24"/>
          <w:szCs w:val="24"/>
        </w:rPr>
        <w:t>endoprotezuoto</w:t>
      </w:r>
      <w:proofErr w:type="spellEnd"/>
      <w:r w:rsidR="001A5BE4">
        <w:rPr>
          <w:rFonts w:ascii="Times New Roman" w:hAnsi="Times New Roman" w:cs="Times New Roman"/>
          <w:sz w:val="24"/>
          <w:szCs w:val="24"/>
        </w:rPr>
        <w:t xml:space="preserve"> sąnario) </w:t>
      </w:r>
      <w:r>
        <w:rPr>
          <w:rFonts w:ascii="Times New Roman" w:hAnsi="Times New Roman" w:cs="Times New Roman"/>
          <w:sz w:val="24"/>
          <w:szCs w:val="24"/>
        </w:rPr>
        <w:t>endoprotezavimo operacijų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metu dažnai tenka keisti ne visą pirminį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vieną ar kelis jo komponentus. Dalinės revizijos atveju, lyginant su pilnos revizijos atvejais, operacija būna mažesnė, pacientai mažiau žalojami, nešalinamas nepakenktas kaulas ir/ar pirminio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dalis, be to, keisti vieną ar kelis komponentus yra žymiai pigiau nei keisti visą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Pacientui parenkant revizinius klubo </w:t>
      </w:r>
      <w:r w:rsidR="00CD523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 kelio sąnarių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vadovaujamasi revizinių klubo ir kelio sąnarių endoprotezavimo algoritmu, kuriame nurodyta, kokiais atvejais keičiamas visas pirminis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 kokiais galėtų būti keičiami tik pirminio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atskiri komponentai. Keičiant ir revizuojant vieną ar kelis komponentus, tinka tik to paties gamintojo  revizinis komponentas ne tik dėl savo konstrukcinių ypatumų, tačiau ir metalų suderinamumo atžvilgiu. </w:t>
      </w:r>
      <w:r w:rsidR="001A5BE4">
        <w:rPr>
          <w:rFonts w:ascii="Times New Roman" w:hAnsi="Times New Roman" w:cs="Times New Roman"/>
          <w:sz w:val="24"/>
          <w:szCs w:val="24"/>
        </w:rPr>
        <w:t xml:space="preserve">Įsigijus ir operacijos metu naudojant </w:t>
      </w:r>
      <w:r>
        <w:rPr>
          <w:rFonts w:ascii="Times New Roman" w:hAnsi="Times New Roman" w:cs="Times New Roman"/>
          <w:sz w:val="24"/>
          <w:szCs w:val="24"/>
        </w:rPr>
        <w:t xml:space="preserve">kito gamintojo revizinius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komponentus, atsirastų specifinis techninis nesuderinamumas ir tektų keisti ne vieną ar kelis komponentus, bet šalinti visą pirminį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vietoje jo implantuoti visą naują revizinį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endoprotezą</w:t>
      </w:r>
      <w:proofErr w:type="spellEnd"/>
      <w:r>
        <w:rPr>
          <w:rFonts w:ascii="Times New Roman" w:hAnsi="Times New Roman" w:cs="Times New Roman"/>
          <w:sz w:val="24"/>
          <w:szCs w:val="24"/>
        </w:rPr>
        <w:t>. Tai būtų žymiai brangiau, o pacienta</w:t>
      </w:r>
      <w:r w:rsidR="001A5BE4">
        <w:rPr>
          <w:rFonts w:ascii="Times New Roman" w:hAnsi="Times New Roman" w:cs="Times New Roman"/>
          <w:sz w:val="24"/>
          <w:szCs w:val="24"/>
        </w:rPr>
        <w:t>ms būtų atliekamos</w:t>
      </w:r>
      <w:r>
        <w:rPr>
          <w:rFonts w:ascii="Times New Roman" w:hAnsi="Times New Roman" w:cs="Times New Roman"/>
          <w:sz w:val="24"/>
          <w:szCs w:val="24"/>
        </w:rPr>
        <w:t xml:space="preserve"> didesnės apimties operacij</w:t>
      </w:r>
      <w:r w:rsidR="001A5BE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s, būtų ilgesnis ir sunkesnis pooperacinis laikotarpis. </w:t>
      </w:r>
    </w:p>
    <w:p w14:paraId="371DBA79" w14:textId="21CB1AA6" w:rsidR="00C76FD2" w:rsidRDefault="00C76FD2" w:rsidP="00593BEC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sveikatos apsaugos ministro įsakymu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patvirtintame Centralizuotai apmokamų vaistinių preparatų ir medicinos pagalbos priemonių sąraše įrašyti sąnarių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5BE4">
        <w:rPr>
          <w:rFonts w:ascii="Times New Roman" w:hAnsi="Times New Roman" w:cs="Times New Roman"/>
          <w:sz w:val="24"/>
          <w:szCs w:val="24"/>
        </w:rPr>
        <w:t xml:space="preserve">kurie </w:t>
      </w:r>
      <w:r>
        <w:rPr>
          <w:rFonts w:ascii="Times New Roman" w:hAnsi="Times New Roman" w:cs="Times New Roman"/>
          <w:sz w:val="24"/>
          <w:szCs w:val="24"/>
        </w:rPr>
        <w:t xml:space="preserve">kiekvienais metais </w:t>
      </w:r>
      <w:r w:rsidR="001A5BE4">
        <w:rPr>
          <w:rFonts w:ascii="Times New Roman" w:hAnsi="Times New Roman" w:cs="Times New Roman"/>
          <w:sz w:val="24"/>
          <w:szCs w:val="24"/>
        </w:rPr>
        <w:t xml:space="preserve">skiriami apie </w:t>
      </w:r>
      <w:r>
        <w:rPr>
          <w:rFonts w:ascii="Times New Roman" w:hAnsi="Times New Roman" w:cs="Times New Roman"/>
          <w:sz w:val="24"/>
          <w:szCs w:val="24"/>
        </w:rPr>
        <w:t xml:space="preserve">6 000 pacientų gydymui. Kadangi revizinis endoprotezavimas dažniausiai atliekamas esant neatidėliotinoms, skubioms ar neplaninėms indikacijoms, t. y. dėl pirminio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lūžio, išklibimo ar infekcijos apie implantuotą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endoprotezą</w:t>
      </w:r>
      <w:proofErr w:type="spellEnd"/>
      <w:r>
        <w:rPr>
          <w:rFonts w:ascii="Times New Roman" w:hAnsi="Times New Roman" w:cs="Times New Roman"/>
          <w:sz w:val="24"/>
          <w:szCs w:val="24"/>
        </w:rPr>
        <w:t>, todėl tiksliai numatyti, kiek bus atlikta revizinių sąnarių endoprotezavimo operacijų, nėra galimybių.</w:t>
      </w:r>
      <w:r w:rsidR="00CD5238">
        <w:rPr>
          <w:rFonts w:ascii="Times New Roman" w:hAnsi="Times New Roman" w:cs="Times New Roman"/>
          <w:sz w:val="24"/>
          <w:szCs w:val="24"/>
        </w:rPr>
        <w:t xml:space="preserve"> Perkančioji organizacija nurodo, kad 2019 metais Lietuvoje buvo atliktos 629 klubo sąnario, 320 kelio sąnario, 22 peties sąnario, 3 čiurnos sąnario ir 2 alkūnės sąnario endoprotezavimo operacijos, kuomet buvo naudojami reviziniai komponentai.</w:t>
      </w:r>
      <w:r w:rsidR="00593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Perkančiosios organizacijos 20</w:t>
      </w:r>
      <w:r w:rsidR="00593B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m. viešųjų pirkimų plane šiam Pirkimui yra numatyta skirti </w:t>
      </w:r>
      <w:r w:rsidR="00593BE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 000</w:t>
      </w:r>
      <w:r w:rsidR="00593BE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593BEC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93BEC">
        <w:rPr>
          <w:rFonts w:ascii="Times New Roman" w:hAnsi="Times New Roman" w:cs="Times New Roman"/>
          <w:sz w:val="24"/>
          <w:szCs w:val="24"/>
        </w:rPr>
        <w:t xml:space="preserve"> be PVM, sutartys su Pirkimo laimėtojais b</w:t>
      </w:r>
      <w:r w:rsidR="001A5BE4">
        <w:rPr>
          <w:rFonts w:ascii="Times New Roman" w:hAnsi="Times New Roman" w:cs="Times New Roman"/>
          <w:sz w:val="24"/>
          <w:szCs w:val="24"/>
        </w:rPr>
        <w:t>ūtų</w:t>
      </w:r>
      <w:r w:rsidR="00593BEC">
        <w:rPr>
          <w:rFonts w:ascii="Times New Roman" w:hAnsi="Times New Roman" w:cs="Times New Roman"/>
          <w:sz w:val="24"/>
          <w:szCs w:val="24"/>
        </w:rPr>
        <w:t xml:space="preserve"> sudaromos 24 mėnesių laikotarpiui</w:t>
      </w:r>
      <w:r w:rsidR="00A47F26">
        <w:rPr>
          <w:rFonts w:ascii="Times New Roman" w:hAnsi="Times New Roman" w:cs="Times New Roman"/>
          <w:sz w:val="24"/>
          <w:szCs w:val="24"/>
        </w:rPr>
        <w:t xml:space="preserve"> su galimybe jas pratęsti dar 12 mėnesių</w:t>
      </w:r>
      <w:r w:rsidR="001A5B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7948B" w14:textId="07CA293A" w:rsidR="00C76FD2" w:rsidRDefault="00C76FD2" w:rsidP="00C76FD2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Įvertinusi visas aukščiau nurodytas  aplinkybes, Perkančiosios organizacijos viešojo pirkimo komisija nutarė kreiptis į Tarnybą su prašymu leisti </w:t>
      </w:r>
      <w:bookmarkStart w:id="1" w:name="_Hlk53487890"/>
      <w:r w:rsidR="007F4D2D">
        <w:rPr>
          <w:rFonts w:ascii="Times New Roman" w:hAnsi="Times New Roman" w:cs="Times New Roman"/>
          <w:sz w:val="24"/>
          <w:szCs w:val="24"/>
        </w:rPr>
        <w:t xml:space="preserve">vykdyti </w:t>
      </w:r>
      <w:bookmarkStart w:id="2" w:name="_Hlk53568353"/>
      <w:r w:rsidR="00AC58A5">
        <w:rPr>
          <w:rFonts w:ascii="Times New Roman" w:eastAsia="Calibri" w:hAnsi="Times New Roman" w:cs="Times New Roman"/>
          <w:i/>
          <w:sz w:val="24"/>
          <w:szCs w:val="24"/>
        </w:rPr>
        <w:t xml:space="preserve">Sąnarių </w:t>
      </w:r>
      <w:proofErr w:type="spellStart"/>
      <w:r w:rsidR="00AC58A5">
        <w:rPr>
          <w:rFonts w:ascii="Times New Roman" w:eastAsia="Calibri" w:hAnsi="Times New Roman" w:cs="Times New Roman"/>
          <w:i/>
          <w:sz w:val="24"/>
          <w:szCs w:val="24"/>
        </w:rPr>
        <w:t>endoprotezų</w:t>
      </w:r>
      <w:proofErr w:type="spellEnd"/>
      <w:r w:rsidR="00AC58A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bookmarkEnd w:id="2"/>
      <w:r w:rsidR="00AC58A5">
        <w:rPr>
          <w:rFonts w:ascii="Times New Roman" w:eastAsia="Calibri" w:hAnsi="Times New Roman" w:cs="Times New Roman"/>
          <w:i/>
          <w:sz w:val="24"/>
          <w:szCs w:val="24"/>
        </w:rPr>
        <w:t xml:space="preserve">(revizinių klubo, kelio bei kitų sąnarių </w:t>
      </w:r>
      <w:proofErr w:type="spellStart"/>
      <w:r w:rsidR="00AC58A5">
        <w:rPr>
          <w:rFonts w:ascii="Times New Roman" w:eastAsia="Calibri" w:hAnsi="Times New Roman" w:cs="Times New Roman"/>
          <w:i/>
          <w:sz w:val="24"/>
          <w:szCs w:val="24"/>
        </w:rPr>
        <w:t>endoprotezų</w:t>
      </w:r>
      <w:proofErr w:type="spellEnd"/>
      <w:r w:rsidR="00AC58A5">
        <w:rPr>
          <w:rFonts w:ascii="Times New Roman" w:eastAsia="Calibri" w:hAnsi="Times New Roman" w:cs="Times New Roman"/>
          <w:i/>
          <w:sz w:val="24"/>
          <w:szCs w:val="24"/>
        </w:rPr>
        <w:t xml:space="preserve"> komponentų bei papildomų priemonių) </w:t>
      </w:r>
      <w:r w:rsidR="00AC58A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pirkimą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neskelbiamų derybų būdu, vadovaujantis Įstatymo </w:t>
      </w:r>
      <w:r>
        <w:rPr>
          <w:rFonts w:ascii="Times New Roman" w:eastAsia="Calibri" w:hAnsi="Times New Roman" w:cs="Times New Roman"/>
          <w:sz w:val="24"/>
          <w:szCs w:val="24"/>
        </w:rPr>
        <w:t>71 straipsnio 1 dalies 2 punkto (b) papunkčio nuostatomis</w:t>
      </w:r>
      <w:r>
        <w:rPr>
          <w:rFonts w:ascii="Times New Roman" w:hAnsi="Times New Roman" w:cs="Times New Roman"/>
          <w:sz w:val="24"/>
          <w:szCs w:val="24"/>
        </w:rPr>
        <w:t xml:space="preserve">, į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derybas kviečiant </w:t>
      </w:r>
      <w:r w:rsidR="007F4D2D">
        <w:rPr>
          <w:rFonts w:ascii="Times New Roman" w:hAnsi="Times New Roman" w:cs="Times New Roman"/>
          <w:sz w:val="24"/>
          <w:szCs w:val="24"/>
        </w:rPr>
        <w:t>konkre</w:t>
      </w:r>
      <w:r w:rsidR="00F9384F">
        <w:rPr>
          <w:rFonts w:ascii="Times New Roman" w:hAnsi="Times New Roman" w:cs="Times New Roman"/>
          <w:sz w:val="24"/>
          <w:szCs w:val="24"/>
        </w:rPr>
        <w:t xml:space="preserve">taus gamintojo </w:t>
      </w:r>
      <w:r w:rsidR="007F4D2D" w:rsidRPr="009A7B05">
        <w:rPr>
          <w:rFonts w:ascii="Times New Roman" w:eastAsia="Calibri" w:hAnsi="Times New Roman" w:cs="Times New Roman"/>
          <w:iCs/>
          <w:sz w:val="24"/>
          <w:szCs w:val="24"/>
        </w:rPr>
        <w:t xml:space="preserve">sąnarių </w:t>
      </w:r>
      <w:proofErr w:type="spellStart"/>
      <w:r w:rsidR="007F4D2D" w:rsidRPr="009A7B05">
        <w:rPr>
          <w:rFonts w:ascii="Times New Roman" w:eastAsia="Calibri" w:hAnsi="Times New Roman" w:cs="Times New Roman"/>
          <w:iCs/>
          <w:sz w:val="24"/>
          <w:szCs w:val="24"/>
        </w:rPr>
        <w:t>endoprotez</w:t>
      </w:r>
      <w:r w:rsidR="007F4D2D">
        <w:rPr>
          <w:rFonts w:ascii="Times New Roman" w:eastAsia="Calibri" w:hAnsi="Times New Roman" w:cs="Times New Roman"/>
          <w:iCs/>
          <w:sz w:val="24"/>
          <w:szCs w:val="24"/>
        </w:rPr>
        <w:t>ų</w:t>
      </w:r>
      <w:r w:rsidR="00703645">
        <w:rPr>
          <w:rFonts w:ascii="Times New Roman" w:eastAsia="Calibri" w:hAnsi="Times New Roman" w:cs="Times New Roman"/>
          <w:iCs/>
          <w:sz w:val="24"/>
          <w:szCs w:val="24"/>
        </w:rPr>
        <w:t>s</w:t>
      </w:r>
      <w:proofErr w:type="spellEnd"/>
      <w:r w:rsidR="00703645">
        <w:rPr>
          <w:rFonts w:ascii="Times New Roman" w:eastAsia="Calibri" w:hAnsi="Times New Roman" w:cs="Times New Roman"/>
          <w:iCs/>
          <w:sz w:val="24"/>
          <w:szCs w:val="24"/>
        </w:rPr>
        <w:t xml:space="preserve"> teikiančius</w:t>
      </w:r>
      <w:r w:rsidR="007F4D2D" w:rsidRPr="009A7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tiekėjus, su kuriais sudarytos (buvo sudarytos) sutartys, pagal kurias Lietuvos gydymo įstaigos įsigyja (yra įsigijusios) pirminius klubo, kelio ir kitų sąnarių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endoprotezus</w:t>
      </w:r>
      <w:proofErr w:type="spellEnd"/>
      <w:r w:rsidR="00F9384F">
        <w:rPr>
          <w:rFonts w:ascii="Times New Roman" w:hAnsi="Times New Roman" w:cs="Times New Roman"/>
          <w:sz w:val="24"/>
          <w:szCs w:val="24"/>
        </w:rPr>
        <w:t>, t. y</w:t>
      </w:r>
      <w:r w:rsidR="003D29D5">
        <w:rPr>
          <w:rFonts w:ascii="Times New Roman" w:hAnsi="Times New Roman" w:cs="Times New Roman"/>
          <w:sz w:val="24"/>
          <w:szCs w:val="24"/>
        </w:rPr>
        <w:t>.</w:t>
      </w:r>
      <w:r w:rsidR="00F9384F">
        <w:rPr>
          <w:rFonts w:ascii="Times New Roman" w:hAnsi="Times New Roman" w:cs="Times New Roman"/>
          <w:sz w:val="24"/>
          <w:szCs w:val="24"/>
        </w:rPr>
        <w:t xml:space="preserve"> į derybas kvie</w:t>
      </w:r>
      <w:r w:rsidR="00703645">
        <w:rPr>
          <w:rFonts w:ascii="Times New Roman" w:hAnsi="Times New Roman" w:cs="Times New Roman"/>
          <w:sz w:val="24"/>
          <w:szCs w:val="24"/>
        </w:rPr>
        <w:t>čiant</w:t>
      </w:r>
      <w:r w:rsidR="00F938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UAB „Chirurgijos technologijos“,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Graina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UAB „B. </w:t>
      </w:r>
      <w:proofErr w:type="spellStart"/>
      <w:r>
        <w:rPr>
          <w:rFonts w:ascii="Times New Roman" w:hAnsi="Times New Roman" w:cs="Times New Roman"/>
          <w:sz w:val="24"/>
          <w:szCs w:val="24"/>
        </w:rPr>
        <w:t>Braun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>“, 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Bonameda</w:t>
      </w:r>
      <w:proofErr w:type="spellEnd"/>
      <w:r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Osteca</w:t>
      </w:r>
      <w:proofErr w:type="spellEnd"/>
      <w:r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Formedics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UAB „Baltic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5A5125" w14:textId="2D6450BD" w:rsidR="00C76FD2" w:rsidRDefault="00C76FD2" w:rsidP="00C76FD2">
      <w:pPr>
        <w:tabs>
          <w:tab w:val="left" w:pos="1134"/>
        </w:tabs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Įstatymo 71 straipsnio 1 dalies 2 punkto (b) papunkčio nuostatose įtvirtinta, kad prekės, paslaugos ar darbai neskelbiamų derybų būdu gali būti perkam</w:t>
      </w:r>
      <w:r w:rsidR="00BE3619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„jeigu prekes patiekti, paslaugas teikti ar darbus atlikti gali tik konkretus tiekėjas dėl vienos iš šių priežasčių: &lt;...&gt; b) konkurencijos nėra dėl techninių priežasčių &lt;...&gt;“.</w:t>
      </w:r>
    </w:p>
    <w:p w14:paraId="099292D6" w14:textId="0A39F44C" w:rsidR="00C76FD2" w:rsidRPr="00BE3619" w:rsidRDefault="00C76FD2" w:rsidP="00BE3619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Perkančiosios organizacijos prašyme nurodytos aplinkybės ir pateikti dokumentai patvirtina, kad dėl specifinio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jų dalių techninio suderinamumo revizinių </w:t>
      </w:r>
      <w:r w:rsidR="00703645">
        <w:rPr>
          <w:rFonts w:ascii="Times New Roman" w:hAnsi="Times New Roman" w:cs="Times New Roman"/>
          <w:sz w:val="24"/>
          <w:szCs w:val="24"/>
        </w:rPr>
        <w:t xml:space="preserve">(pakartotinų to paties </w:t>
      </w:r>
      <w:proofErr w:type="spellStart"/>
      <w:r w:rsidR="00703645">
        <w:rPr>
          <w:rFonts w:ascii="Times New Roman" w:hAnsi="Times New Roman" w:cs="Times New Roman"/>
          <w:sz w:val="24"/>
          <w:szCs w:val="24"/>
        </w:rPr>
        <w:t>endoprotezuoto</w:t>
      </w:r>
      <w:proofErr w:type="spellEnd"/>
      <w:r w:rsidR="00703645">
        <w:rPr>
          <w:rFonts w:ascii="Times New Roman" w:hAnsi="Times New Roman" w:cs="Times New Roman"/>
          <w:sz w:val="24"/>
          <w:szCs w:val="24"/>
        </w:rPr>
        <w:t xml:space="preserve"> sąnario) </w:t>
      </w:r>
      <w:r>
        <w:rPr>
          <w:rFonts w:ascii="Times New Roman" w:hAnsi="Times New Roman" w:cs="Times New Roman"/>
          <w:sz w:val="24"/>
          <w:szCs w:val="24"/>
        </w:rPr>
        <w:t xml:space="preserve">klubo, kelio ir kitų sąnarių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endoprotezus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sudarančius komponentus bei jų dalis gali pateikti tik konkretūs tiekėjai</w:t>
      </w:r>
      <w:r w:rsidR="00703645">
        <w:rPr>
          <w:rFonts w:ascii="Times New Roman" w:hAnsi="Times New Roman" w:cs="Times New Roman"/>
          <w:sz w:val="24"/>
          <w:szCs w:val="24"/>
        </w:rPr>
        <w:t>, su kuriais Lietuvos gydymo įstaigos yra sudariusios pirmines sutartis</w:t>
      </w:r>
      <w:r>
        <w:rPr>
          <w:rFonts w:ascii="Times New Roman" w:hAnsi="Times New Roman" w:cs="Times New Roman"/>
          <w:sz w:val="24"/>
          <w:szCs w:val="24"/>
        </w:rPr>
        <w:t>, t. y. UAB „Chirurgijos technologijos“,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Graina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UAB „B. </w:t>
      </w:r>
      <w:proofErr w:type="spellStart"/>
      <w:r>
        <w:rPr>
          <w:rFonts w:ascii="Times New Roman" w:hAnsi="Times New Roman" w:cs="Times New Roman"/>
          <w:sz w:val="24"/>
          <w:szCs w:val="24"/>
        </w:rPr>
        <w:t>Braun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Bonameda</w:t>
      </w:r>
      <w:proofErr w:type="spellEnd"/>
      <w:r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Osteca</w:t>
      </w:r>
      <w:proofErr w:type="spellEnd"/>
      <w:r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Formedics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UAB „Baltic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BE3619">
        <w:rPr>
          <w:rFonts w:ascii="Times New Roman" w:hAnsi="Times New Roman" w:cs="Times New Roman"/>
          <w:sz w:val="24"/>
          <w:szCs w:val="24"/>
        </w:rPr>
        <w:t xml:space="preserve"> bei UAB „</w:t>
      </w:r>
      <w:proofErr w:type="spellStart"/>
      <w:r w:rsidR="00BE3619">
        <w:rPr>
          <w:rFonts w:ascii="Times New Roman" w:hAnsi="Times New Roman" w:cs="Times New Roman"/>
          <w:sz w:val="24"/>
          <w:szCs w:val="24"/>
        </w:rPr>
        <w:t>Limeta</w:t>
      </w:r>
      <w:proofErr w:type="spellEnd"/>
      <w:r w:rsidR="00BE361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todėl yra tenkinamos neskelbiamų derybų sąlygos, įtvirtintos Įstatymo </w:t>
      </w:r>
      <w:r>
        <w:rPr>
          <w:rFonts w:ascii="Times New Roman" w:eastAsia="Times New Roman" w:hAnsi="Times New Roman" w:cs="Times New Roman"/>
          <w:sz w:val="24"/>
          <w:szCs w:val="24"/>
        </w:rPr>
        <w:t>71 straipsnio 1 dalies 2 punkto (b) papunktyje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3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Įvertinusi aukščiau išdėstytą bei vadovaudamasi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>
        <w:rPr>
          <w:rFonts w:ascii="Times New Roman" w:eastAsia="Calibri" w:hAnsi="Times New Roman" w:cs="Times New Roman"/>
          <w:sz w:val="24"/>
          <w:szCs w:val="24"/>
        </w:rPr>
        <w:t xml:space="preserve">95 straipsnio 2 dalies 6 punkto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nuostatomis,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Tarnyba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kad Valstybinė ligonių kasa prie Sveikatos apsaugos ministerijos viešąjį </w:t>
      </w:r>
      <w:r w:rsidR="00BE3619">
        <w:rPr>
          <w:rFonts w:ascii="Times New Roman" w:eastAsia="Calibri" w:hAnsi="Times New Roman" w:cs="Times New Roman"/>
          <w:i/>
          <w:sz w:val="24"/>
          <w:szCs w:val="24"/>
        </w:rPr>
        <w:t xml:space="preserve">Sąnarių </w:t>
      </w:r>
      <w:proofErr w:type="spellStart"/>
      <w:r w:rsidR="00BE3619">
        <w:rPr>
          <w:rFonts w:ascii="Times New Roman" w:eastAsia="Calibri" w:hAnsi="Times New Roman" w:cs="Times New Roman"/>
          <w:i/>
          <w:sz w:val="24"/>
          <w:szCs w:val="24"/>
        </w:rPr>
        <w:t>endoprotezų</w:t>
      </w:r>
      <w:proofErr w:type="spellEnd"/>
      <w:r w:rsidR="00BE3619">
        <w:rPr>
          <w:rFonts w:ascii="Times New Roman" w:eastAsia="Calibri" w:hAnsi="Times New Roman" w:cs="Times New Roman"/>
          <w:i/>
          <w:sz w:val="24"/>
          <w:szCs w:val="24"/>
        </w:rPr>
        <w:t xml:space="preserve"> (revizinių klubo, kelio bei kitų sąnarių </w:t>
      </w:r>
      <w:proofErr w:type="spellStart"/>
      <w:r w:rsidR="00BE3619">
        <w:rPr>
          <w:rFonts w:ascii="Times New Roman" w:eastAsia="Calibri" w:hAnsi="Times New Roman" w:cs="Times New Roman"/>
          <w:i/>
          <w:sz w:val="24"/>
          <w:szCs w:val="24"/>
        </w:rPr>
        <w:t>endoprotezų</w:t>
      </w:r>
      <w:proofErr w:type="spellEnd"/>
      <w:r w:rsidR="00BE3619">
        <w:rPr>
          <w:rFonts w:ascii="Times New Roman" w:eastAsia="Calibri" w:hAnsi="Times New Roman" w:cs="Times New Roman"/>
          <w:i/>
          <w:sz w:val="24"/>
          <w:szCs w:val="24"/>
        </w:rPr>
        <w:t xml:space="preserve"> komponentų bei papildomų priemonių) </w:t>
      </w:r>
      <w:r w:rsidR="00BE361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pirkimą </w:t>
      </w:r>
      <w:r>
        <w:rPr>
          <w:rFonts w:ascii="Times New Roman" w:hAnsi="Times New Roman" w:cs="Times New Roman"/>
          <w:sz w:val="24"/>
          <w:szCs w:val="24"/>
        </w:rPr>
        <w:t xml:space="preserve">vykdytų neskelbiamų derybų būdu, vadovaujantis Įstatymo </w:t>
      </w:r>
      <w:r>
        <w:rPr>
          <w:rFonts w:ascii="Times New Roman" w:eastAsia="Calibri" w:hAnsi="Times New Roman" w:cs="Times New Roman"/>
          <w:sz w:val="24"/>
          <w:szCs w:val="24"/>
        </w:rPr>
        <w:t>71 straipsnio 1 dalies 2 punkto (b) papunkčio nuostatomis</w:t>
      </w:r>
      <w:r>
        <w:rPr>
          <w:rFonts w:ascii="Times New Roman" w:hAnsi="Times New Roman" w:cs="Times New Roman"/>
          <w:sz w:val="24"/>
          <w:szCs w:val="24"/>
        </w:rPr>
        <w:t xml:space="preserve">, šias prekes </w:t>
      </w:r>
      <w:r w:rsidR="00703645">
        <w:rPr>
          <w:rFonts w:ascii="Times New Roman" w:hAnsi="Times New Roman" w:cs="Times New Roman"/>
          <w:sz w:val="24"/>
          <w:szCs w:val="24"/>
        </w:rPr>
        <w:t xml:space="preserve">įsigyjant </w:t>
      </w:r>
      <w:r>
        <w:rPr>
          <w:rFonts w:ascii="Times New Roman" w:hAnsi="Times New Roman" w:cs="Times New Roman"/>
          <w:sz w:val="24"/>
          <w:szCs w:val="24"/>
        </w:rPr>
        <w:t>iš UAB „Chirurgijos technologijos“,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Graina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UAB „B. </w:t>
      </w:r>
      <w:proofErr w:type="spellStart"/>
      <w:r>
        <w:rPr>
          <w:rFonts w:ascii="Times New Roman" w:hAnsi="Times New Roman" w:cs="Times New Roman"/>
          <w:sz w:val="24"/>
          <w:szCs w:val="24"/>
        </w:rPr>
        <w:t>Braun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Bonameda</w:t>
      </w:r>
      <w:proofErr w:type="spellEnd"/>
      <w:r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Osteca</w:t>
      </w:r>
      <w:proofErr w:type="spellEnd"/>
      <w:r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Formedics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UAB „Baltic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492E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46814B" w14:textId="19E43FA7" w:rsidR="004E1D44" w:rsidRPr="001D6BE8" w:rsidRDefault="004E1D44" w:rsidP="00F63B44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24913" w14:textId="7490C1FE" w:rsidR="000C6C36" w:rsidRDefault="000C6C36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F1725" w14:textId="77777777" w:rsidR="00BE3619" w:rsidRPr="000D6F76" w:rsidRDefault="00BE3619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B719C2" w14:textId="77777777" w:rsidR="00EF24E0" w:rsidRPr="00E362AB" w:rsidRDefault="00EF24E0" w:rsidP="00EF24E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 xml:space="preserve">Direktoriaus pavaduotoja, </w:t>
      </w:r>
    </w:p>
    <w:p w14:paraId="755C49BC" w14:textId="3B87E70C" w:rsidR="00617770" w:rsidRDefault="00EF24E0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2AB">
        <w:rPr>
          <w:rFonts w:ascii="Times New Roman" w:hAnsi="Times New Roman" w:cs="Times New Roman"/>
          <w:sz w:val="24"/>
          <w:szCs w:val="24"/>
        </w:rPr>
        <w:t>laikinai atliekanti direktoriaus funkcijas</w:t>
      </w:r>
      <w:r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Jovita Petkuvienė </w:t>
      </w:r>
    </w:p>
    <w:p w14:paraId="7DF22025" w14:textId="4CC836E2" w:rsidR="001D6BE8" w:rsidRDefault="001D6BE8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E574A" w14:textId="2A2FB55C" w:rsidR="001D6BE8" w:rsidRDefault="001D6BE8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D64DD" w14:textId="568A318C" w:rsidR="008B2380" w:rsidRDefault="008B2380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BBA5A" w14:textId="0748D728" w:rsidR="00BE3619" w:rsidRDefault="00BE3619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6DAE0D" w14:textId="39BB203C" w:rsidR="00BE3619" w:rsidRDefault="00BE3619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096531" w14:textId="77777777" w:rsidR="003D29D5" w:rsidRDefault="003D29D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0E31D5" w14:textId="549A9B82" w:rsidR="00BE3619" w:rsidRDefault="00BE3619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4CB00E" w14:textId="7B0ADD27" w:rsidR="00BE3619" w:rsidRDefault="00BE3619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D319BA" w14:textId="3F8ED873" w:rsidR="00BE3619" w:rsidRDefault="00BE3619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12928F" w14:textId="718D6F88" w:rsidR="00BE3619" w:rsidRDefault="00BE3619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EE4E9" w14:textId="77777777" w:rsidR="00BE3619" w:rsidRDefault="00BE3619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59CAB" w14:textId="77777777" w:rsidR="000F7AD1" w:rsidRPr="00D57C0D" w:rsidRDefault="00B2320C" w:rsidP="00D57C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Agnė Marčiulionytė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>
        <w:rPr>
          <w:rFonts w:ascii="Times New Roman" w:eastAsia="Times New Roman" w:hAnsi="Times New Roman" w:cs="Times New Roman"/>
          <w:sz w:val="24"/>
          <w:szCs w:val="24"/>
        </w:rPr>
        <w:t>219 7011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 xml:space="preserve">, faks. (8 5) 213 6213, el. p. </w:t>
      </w:r>
      <w:r>
        <w:rPr>
          <w:rFonts w:ascii="Times New Roman" w:eastAsia="Times New Roman" w:hAnsi="Times New Roman" w:cs="Times New Roman"/>
          <w:sz w:val="24"/>
          <w:szCs w:val="24"/>
        </w:rPr>
        <w:t>Agne.Marciulionyte</w:t>
      </w:r>
      <w:r w:rsidR="00D57C0D" w:rsidRPr="00731BA6">
        <w:rPr>
          <w:rFonts w:ascii="Times New Roman" w:eastAsia="Times New Roman" w:hAnsi="Times New Roman" w:cs="Times New Roman"/>
          <w:sz w:val="24"/>
          <w:szCs w:val="24"/>
        </w:rPr>
        <w:t>@vpt.lt</w:t>
      </w:r>
      <w:r w:rsidR="002E349E">
        <w:t xml:space="preserve"> </w:t>
      </w:r>
    </w:p>
    <w:sectPr w:rsidR="000F7AD1" w:rsidRPr="00D57C0D" w:rsidSect="00E52A99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44C7B" w14:textId="77777777" w:rsidR="00837107" w:rsidRDefault="00837107">
      <w:pPr>
        <w:spacing w:after="0" w:line="240" w:lineRule="auto"/>
      </w:pPr>
      <w:r>
        <w:separator/>
      </w:r>
    </w:p>
  </w:endnote>
  <w:endnote w:type="continuationSeparator" w:id="0">
    <w:p w14:paraId="1844A280" w14:textId="77777777" w:rsidR="00837107" w:rsidRDefault="0083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51E27" w14:textId="77777777" w:rsidR="006C06BD" w:rsidRDefault="00837107">
    <w:pPr>
      <w:pStyle w:val="Footer"/>
    </w:pPr>
  </w:p>
  <w:p w14:paraId="028287AD" w14:textId="77777777" w:rsidR="006C06BD" w:rsidRDefault="00837107">
    <w:pPr>
      <w:pStyle w:val="Footer"/>
    </w:pPr>
  </w:p>
  <w:p w14:paraId="649BB297" w14:textId="77777777" w:rsidR="006C06BD" w:rsidRDefault="00837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41F71" w14:textId="77777777" w:rsidR="008049BB" w:rsidRPr="004948EF" w:rsidRDefault="008049BB" w:rsidP="008049BB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2DA6E680" wp14:editId="76E593A3">
          <wp:simplePos x="0" y="0"/>
          <wp:positionH relativeFrom="margin">
            <wp:posOffset>5130165</wp:posOffset>
          </wp:positionH>
          <wp:positionV relativeFrom="paragraph">
            <wp:posOffset>50165</wp:posOffset>
          </wp:positionV>
          <wp:extent cx="990600" cy="742950"/>
          <wp:effectExtent l="0" t="0" r="0" b="0"/>
          <wp:wrapNone/>
          <wp:docPr id="5" name="Paveikslėlis 5" descr="cid:image001.jpg@01D5DB6C.BCAEF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cid:image001.jpg@01D5DB6C.BCAEF0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46F71C60" w14:textId="77777777" w:rsidR="008049BB" w:rsidRPr="004948EF" w:rsidRDefault="008049BB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11085F0D" w14:textId="77777777" w:rsidR="008049BB" w:rsidRPr="004948EF" w:rsidRDefault="00837107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3" w:history="1">
      <w:r w:rsidR="008049BB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4" w:history="1">
      <w:r w:rsidR="008049BB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093336D7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0CCB83AA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</w:p>
  <w:p w14:paraId="7686D504" w14:textId="77777777" w:rsidR="008049BB" w:rsidRPr="00380BA0" w:rsidRDefault="008049BB" w:rsidP="008049BB">
    <w:pPr>
      <w:pStyle w:val="Footer"/>
    </w:pPr>
  </w:p>
  <w:p w14:paraId="3618489E" w14:textId="77777777" w:rsidR="006C06BD" w:rsidRPr="008049BB" w:rsidRDefault="00837107" w:rsidP="00804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7B4B1" w14:textId="77777777" w:rsidR="00837107" w:rsidRDefault="00837107">
      <w:pPr>
        <w:spacing w:after="0" w:line="240" w:lineRule="auto"/>
      </w:pPr>
      <w:r>
        <w:separator/>
      </w:r>
    </w:p>
  </w:footnote>
  <w:footnote w:type="continuationSeparator" w:id="0">
    <w:p w14:paraId="36094AC1" w14:textId="77777777" w:rsidR="00837107" w:rsidRDefault="00837107">
      <w:pPr>
        <w:spacing w:after="0" w:line="240" w:lineRule="auto"/>
      </w:pPr>
      <w:r>
        <w:continuationSeparator/>
      </w:r>
    </w:p>
  </w:footnote>
  <w:footnote w:id="1">
    <w:p w14:paraId="1CD5A3A7" w14:textId="4EE21A0B" w:rsidR="00086B08" w:rsidRPr="009A7B05" w:rsidRDefault="00086B08" w:rsidP="00E5594E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9A7B05">
        <w:rPr>
          <w:rFonts w:ascii="Times New Roman" w:hAnsi="Times New Roman" w:cs="Times New Roman"/>
        </w:rPr>
        <w:t xml:space="preserve">Siekiama įsigyti klubo sąnario, kelio sąnario, peties sąnario, čiurnos sąnario, alkūnės sąnario, </w:t>
      </w:r>
      <w:proofErr w:type="spellStart"/>
      <w:r w:rsidRPr="009A7B05">
        <w:rPr>
          <w:rFonts w:ascii="Times New Roman" w:hAnsi="Times New Roman" w:cs="Times New Roman"/>
        </w:rPr>
        <w:t>riešinio</w:t>
      </w:r>
      <w:proofErr w:type="spellEnd"/>
      <w:r w:rsidRPr="009A7B05">
        <w:rPr>
          <w:rFonts w:ascii="Times New Roman" w:hAnsi="Times New Roman" w:cs="Times New Roman"/>
        </w:rPr>
        <w:t xml:space="preserve"> nykščio sąnario komponentus; </w:t>
      </w:r>
    </w:p>
  </w:footnote>
  <w:footnote w:id="2">
    <w:p w14:paraId="482F360B" w14:textId="52D9CA89" w:rsidR="001461D5" w:rsidRPr="001461D5" w:rsidRDefault="001461D5" w:rsidP="001461D5">
      <w:pPr>
        <w:pStyle w:val="FootnoteText"/>
        <w:jc w:val="both"/>
        <w:rPr>
          <w:rFonts w:ascii="Times New Roman" w:hAnsi="Times New Roman" w:cs="Times New Roman"/>
        </w:rPr>
      </w:pPr>
      <w:r w:rsidRPr="001461D5">
        <w:rPr>
          <w:rStyle w:val="FootnoteReference"/>
          <w:rFonts w:ascii="Times New Roman" w:hAnsi="Times New Roman" w:cs="Times New Roman"/>
        </w:rPr>
        <w:footnoteRef/>
      </w:r>
      <w:r w:rsidRPr="001461D5">
        <w:rPr>
          <w:rFonts w:ascii="Times New Roman" w:hAnsi="Times New Roman" w:cs="Times New Roman"/>
        </w:rPr>
        <w:t xml:space="preserve"> </w:t>
      </w:r>
      <w:r w:rsidRPr="001461D5">
        <w:rPr>
          <w:rFonts w:ascii="Times New Roman" w:eastAsia="Times New Roman" w:hAnsi="Times New Roman" w:cs="Times New Roman"/>
        </w:rPr>
        <w:t xml:space="preserve">Vadovaujantis Lietuvos Respublikos sveikatos apsaugos ministro 2012 m. rugpjūčio 30 d. įsakymo Nr. V-810 „Dėl sąnarių endoprotezavimo ir išlaidų sąnarių </w:t>
      </w:r>
      <w:proofErr w:type="spellStart"/>
      <w:r w:rsidRPr="001461D5">
        <w:rPr>
          <w:rFonts w:ascii="Times New Roman" w:eastAsia="Times New Roman" w:hAnsi="Times New Roman" w:cs="Times New Roman"/>
        </w:rPr>
        <w:t>endoprotezams</w:t>
      </w:r>
      <w:proofErr w:type="spellEnd"/>
      <w:r w:rsidRPr="001461D5">
        <w:rPr>
          <w:rFonts w:ascii="Times New Roman" w:eastAsia="Times New Roman" w:hAnsi="Times New Roman" w:cs="Times New Roman"/>
        </w:rPr>
        <w:t xml:space="preserve"> įsigyti kompensavimo tvarkos aprašo patvirtinimo“ (kartu su pakeitimais) (toliau – Aprašas) 24 punktu: VLK organizuoja ASP įstaigų, teikiančių sąnarių endoprotezavimo paslaugas apdraustiesiems, aprūpinimą kompensuojamaisiais sąnarių </w:t>
      </w:r>
      <w:proofErr w:type="spellStart"/>
      <w:r w:rsidRPr="001461D5">
        <w:rPr>
          <w:rFonts w:ascii="Times New Roman" w:eastAsia="Times New Roman" w:hAnsi="Times New Roman" w:cs="Times New Roman"/>
        </w:rPr>
        <w:t>endoprotezais</w:t>
      </w:r>
      <w:proofErr w:type="spellEnd"/>
      <w:r w:rsidRPr="001461D5">
        <w:rPr>
          <w:rFonts w:ascii="Times New Roman" w:eastAsia="Times New Roman" w:hAnsi="Times New Roman" w:cs="Times New Roman"/>
        </w:rPr>
        <w:t xml:space="preserve"> Lietuvos Respublikos viešųjų pirkimų įstatymo ir Aprašo nustatyta tvarka bei vadovaujantis 4.4.3. punktu: visų lokalizacijų sąnarių </w:t>
      </w:r>
      <w:proofErr w:type="spellStart"/>
      <w:r w:rsidRPr="001461D5">
        <w:rPr>
          <w:rFonts w:ascii="Times New Roman" w:eastAsia="Times New Roman" w:hAnsi="Times New Roman" w:cs="Times New Roman"/>
        </w:rPr>
        <w:t>endoprotezų</w:t>
      </w:r>
      <w:proofErr w:type="spellEnd"/>
      <w:r w:rsidRPr="001461D5">
        <w:rPr>
          <w:rFonts w:ascii="Times New Roman" w:eastAsia="Times New Roman" w:hAnsi="Times New Roman" w:cs="Times New Roman"/>
        </w:rPr>
        <w:t xml:space="preserve"> komponentus ir priedus, naudojamus visoms Aprašo 4.3 papunktyje įvardytoms operacijoms, kurių metu keičiama operacijos taktika (jei dėl klinikinių aplinkybių negali būti naudojamas standartinis sąnario </w:t>
      </w:r>
      <w:proofErr w:type="spellStart"/>
      <w:r w:rsidRPr="001461D5">
        <w:rPr>
          <w:rFonts w:ascii="Times New Roman" w:eastAsia="Times New Roman" w:hAnsi="Times New Roman" w:cs="Times New Roman"/>
        </w:rPr>
        <w:t>endoprotezas</w:t>
      </w:r>
      <w:proofErr w:type="spellEnd"/>
      <w:r w:rsidRPr="001461D5">
        <w:rPr>
          <w:rFonts w:ascii="Times New Roman" w:eastAsia="Times New Roman" w:hAnsi="Times New Roman" w:cs="Times New Roman"/>
        </w:rPr>
        <w:t xml:space="preserve">), atlikti. </w:t>
      </w:r>
      <w:r w:rsidRPr="001461D5">
        <w:rPr>
          <w:rFonts w:ascii="Times New Roman" w:hAnsi="Times New Roman" w:cs="Times New Roman"/>
          <w:color w:val="000000"/>
        </w:rPr>
        <w:t xml:space="preserve">Šie sąnarių </w:t>
      </w:r>
      <w:proofErr w:type="spellStart"/>
      <w:r w:rsidRPr="001461D5">
        <w:rPr>
          <w:rFonts w:ascii="Times New Roman" w:hAnsi="Times New Roman" w:cs="Times New Roman"/>
          <w:color w:val="000000"/>
        </w:rPr>
        <w:t>endoprotezų</w:t>
      </w:r>
      <w:proofErr w:type="spellEnd"/>
      <w:r w:rsidRPr="001461D5">
        <w:rPr>
          <w:rFonts w:ascii="Times New Roman" w:hAnsi="Times New Roman" w:cs="Times New Roman"/>
          <w:color w:val="000000"/>
        </w:rPr>
        <w:t xml:space="preserve"> komponentai ir priedai turi būti techniškai suderinami su VLK nupirktų (perkamų) ir pacientams implantuotų </w:t>
      </w:r>
      <w:proofErr w:type="spellStart"/>
      <w:r w:rsidRPr="001461D5">
        <w:rPr>
          <w:rFonts w:ascii="Times New Roman" w:hAnsi="Times New Roman" w:cs="Times New Roman"/>
          <w:color w:val="000000"/>
        </w:rPr>
        <w:t>sanarių</w:t>
      </w:r>
      <w:proofErr w:type="spellEnd"/>
      <w:r w:rsidRPr="001461D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461D5">
        <w:rPr>
          <w:rFonts w:ascii="Times New Roman" w:hAnsi="Times New Roman" w:cs="Times New Roman"/>
          <w:color w:val="000000"/>
        </w:rPr>
        <w:t>endoprotezų</w:t>
      </w:r>
      <w:proofErr w:type="spellEnd"/>
      <w:r w:rsidRPr="001461D5">
        <w:rPr>
          <w:rFonts w:ascii="Times New Roman" w:hAnsi="Times New Roman" w:cs="Times New Roman"/>
          <w:color w:val="000000"/>
        </w:rPr>
        <w:t xml:space="preserve"> komponentais</w:t>
      </w:r>
      <w:r>
        <w:rPr>
          <w:rFonts w:ascii="Times New Roman" w:hAnsi="Times New Roman" w:cs="Times New Roman"/>
          <w:color w:val="000000"/>
        </w:rPr>
        <w:t>;</w:t>
      </w:r>
    </w:p>
  </w:footnote>
  <w:footnote w:id="3">
    <w:p w14:paraId="5717DD74" w14:textId="77777777" w:rsidR="00C76FD2" w:rsidRDefault="00C76FD2" w:rsidP="00C76FD2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2014 m. rugpjūčio 28 d. įsakymas Nr. V-910 „Dėl centralizuotai apmokamų vaistinių preparatų ir medicinos pagalbos priemonių sąrašo patvirtinimo“;</w:t>
      </w:r>
    </w:p>
  </w:footnote>
  <w:footnote w:id="4">
    <w:p w14:paraId="49979072" w14:textId="76137FE5" w:rsidR="00C76FD2" w:rsidRDefault="00C76FD2" w:rsidP="00C76FD2">
      <w:pPr>
        <w:pStyle w:val="FootnoteText"/>
        <w:jc w:val="both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Perkančiosios organizacijos </w:t>
      </w:r>
      <w:r w:rsidR="00D04762">
        <w:rPr>
          <w:rFonts w:ascii="Times New Roman" w:hAnsi="Times New Roman" w:cs="Times New Roman"/>
        </w:rPr>
        <w:t xml:space="preserve">Nuolat veikiančios </w:t>
      </w:r>
      <w:r>
        <w:rPr>
          <w:rFonts w:ascii="Times New Roman" w:hAnsi="Times New Roman" w:cs="Times New Roman"/>
        </w:rPr>
        <w:t xml:space="preserve">centralizuotai apmokamų vaistinių preparatų ir medicinos pagalbos priemonių viešųjų pirkimų komisijos </w:t>
      </w:r>
      <w:r w:rsidR="00D04762">
        <w:rPr>
          <w:rFonts w:ascii="Times New Roman" w:hAnsi="Times New Roman" w:cs="Times New Roman"/>
        </w:rPr>
        <w:t xml:space="preserve">2020 m. spalio 5 d. </w:t>
      </w:r>
      <w:r>
        <w:rPr>
          <w:rFonts w:ascii="Times New Roman" w:hAnsi="Times New Roman" w:cs="Times New Roman"/>
        </w:rPr>
        <w:t>posėdžio protokolas Nr. VP-</w:t>
      </w:r>
      <w:r w:rsidR="00D04762">
        <w:rPr>
          <w:rFonts w:ascii="Times New Roman" w:hAnsi="Times New Roman" w:cs="Times New Roman"/>
        </w:rPr>
        <w:t>630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D51A5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1D7F2" w14:textId="77777777" w:rsidR="006C06BD" w:rsidRDefault="00837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637F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5C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D4C100" w14:textId="77777777" w:rsidR="006C06BD" w:rsidRDefault="00837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C6E71"/>
    <w:multiLevelType w:val="hybridMultilevel"/>
    <w:tmpl w:val="C91AA8C4"/>
    <w:lvl w:ilvl="0" w:tplc="10AA97E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9E"/>
    <w:rsid w:val="00000C99"/>
    <w:rsid w:val="00014B4E"/>
    <w:rsid w:val="0001705B"/>
    <w:rsid w:val="000231EA"/>
    <w:rsid w:val="000266AD"/>
    <w:rsid w:val="00027E7B"/>
    <w:rsid w:val="00032741"/>
    <w:rsid w:val="0005566A"/>
    <w:rsid w:val="000849B5"/>
    <w:rsid w:val="00086B08"/>
    <w:rsid w:val="000A2DBA"/>
    <w:rsid w:val="000A6C1B"/>
    <w:rsid w:val="000B1944"/>
    <w:rsid w:val="000B534A"/>
    <w:rsid w:val="000B6400"/>
    <w:rsid w:val="000B6C7B"/>
    <w:rsid w:val="000C0F3C"/>
    <w:rsid w:val="000C23C5"/>
    <w:rsid w:val="000C3834"/>
    <w:rsid w:val="000C4329"/>
    <w:rsid w:val="000C6C36"/>
    <w:rsid w:val="000D08E4"/>
    <w:rsid w:val="000D6F76"/>
    <w:rsid w:val="000E25C4"/>
    <w:rsid w:val="000E5100"/>
    <w:rsid w:val="000F128B"/>
    <w:rsid w:val="000F7AD1"/>
    <w:rsid w:val="00112578"/>
    <w:rsid w:val="001361B4"/>
    <w:rsid w:val="00140BF1"/>
    <w:rsid w:val="00143CC1"/>
    <w:rsid w:val="001461D5"/>
    <w:rsid w:val="001624D5"/>
    <w:rsid w:val="00167F14"/>
    <w:rsid w:val="001825FB"/>
    <w:rsid w:val="00196318"/>
    <w:rsid w:val="001A0227"/>
    <w:rsid w:val="001A17A7"/>
    <w:rsid w:val="001A5BE4"/>
    <w:rsid w:val="001C0B19"/>
    <w:rsid w:val="001D6BE8"/>
    <w:rsid w:val="001F2E59"/>
    <w:rsid w:val="00207C02"/>
    <w:rsid w:val="00213A97"/>
    <w:rsid w:val="00227EF7"/>
    <w:rsid w:val="002410F9"/>
    <w:rsid w:val="00257569"/>
    <w:rsid w:val="00264608"/>
    <w:rsid w:val="00282153"/>
    <w:rsid w:val="00284943"/>
    <w:rsid w:val="00295779"/>
    <w:rsid w:val="002A361F"/>
    <w:rsid w:val="002A6BE1"/>
    <w:rsid w:val="002B6087"/>
    <w:rsid w:val="002D008D"/>
    <w:rsid w:val="002E349E"/>
    <w:rsid w:val="002F0C50"/>
    <w:rsid w:val="002F0D3C"/>
    <w:rsid w:val="002F3218"/>
    <w:rsid w:val="002F414C"/>
    <w:rsid w:val="0031140A"/>
    <w:rsid w:val="0031232A"/>
    <w:rsid w:val="00321AF8"/>
    <w:rsid w:val="00331FF9"/>
    <w:rsid w:val="0033479B"/>
    <w:rsid w:val="003515C7"/>
    <w:rsid w:val="00356324"/>
    <w:rsid w:val="0036177B"/>
    <w:rsid w:val="003629C2"/>
    <w:rsid w:val="003728D5"/>
    <w:rsid w:val="00391723"/>
    <w:rsid w:val="00392132"/>
    <w:rsid w:val="003D29D5"/>
    <w:rsid w:val="003D3C7B"/>
    <w:rsid w:val="003E694E"/>
    <w:rsid w:val="003F1FCA"/>
    <w:rsid w:val="003F338B"/>
    <w:rsid w:val="00403175"/>
    <w:rsid w:val="00405ED2"/>
    <w:rsid w:val="004076C5"/>
    <w:rsid w:val="00420A28"/>
    <w:rsid w:val="00426B96"/>
    <w:rsid w:val="00430EE1"/>
    <w:rsid w:val="00437475"/>
    <w:rsid w:val="00445489"/>
    <w:rsid w:val="00486C7C"/>
    <w:rsid w:val="00490DAA"/>
    <w:rsid w:val="00492E08"/>
    <w:rsid w:val="004B39D0"/>
    <w:rsid w:val="004C670B"/>
    <w:rsid w:val="004D1254"/>
    <w:rsid w:val="004E1D44"/>
    <w:rsid w:val="00512031"/>
    <w:rsid w:val="00512E3C"/>
    <w:rsid w:val="005138D3"/>
    <w:rsid w:val="00516207"/>
    <w:rsid w:val="0052425A"/>
    <w:rsid w:val="00550D77"/>
    <w:rsid w:val="00555994"/>
    <w:rsid w:val="0058585C"/>
    <w:rsid w:val="00586DD5"/>
    <w:rsid w:val="00593BEC"/>
    <w:rsid w:val="00595888"/>
    <w:rsid w:val="0059709E"/>
    <w:rsid w:val="005A5048"/>
    <w:rsid w:val="005B5B77"/>
    <w:rsid w:val="005B733E"/>
    <w:rsid w:val="005D40B7"/>
    <w:rsid w:val="005E309A"/>
    <w:rsid w:val="005E3ED0"/>
    <w:rsid w:val="005F593F"/>
    <w:rsid w:val="005F6733"/>
    <w:rsid w:val="00601E12"/>
    <w:rsid w:val="006048DB"/>
    <w:rsid w:val="00617770"/>
    <w:rsid w:val="00627AB1"/>
    <w:rsid w:val="00631E12"/>
    <w:rsid w:val="00647D38"/>
    <w:rsid w:val="006752AB"/>
    <w:rsid w:val="00680891"/>
    <w:rsid w:val="00680C2F"/>
    <w:rsid w:val="00691CFD"/>
    <w:rsid w:val="006A3055"/>
    <w:rsid w:val="006A6A6B"/>
    <w:rsid w:val="006B1D68"/>
    <w:rsid w:val="006C11D6"/>
    <w:rsid w:val="006F539E"/>
    <w:rsid w:val="00703645"/>
    <w:rsid w:val="00704A4F"/>
    <w:rsid w:val="00707C18"/>
    <w:rsid w:val="00734A10"/>
    <w:rsid w:val="007356A3"/>
    <w:rsid w:val="00735803"/>
    <w:rsid w:val="00745A0E"/>
    <w:rsid w:val="0075352E"/>
    <w:rsid w:val="00762E00"/>
    <w:rsid w:val="00790B76"/>
    <w:rsid w:val="0079685E"/>
    <w:rsid w:val="007A4BF9"/>
    <w:rsid w:val="007B352E"/>
    <w:rsid w:val="007B3E37"/>
    <w:rsid w:val="007B495B"/>
    <w:rsid w:val="007E177E"/>
    <w:rsid w:val="007E382A"/>
    <w:rsid w:val="007E41C0"/>
    <w:rsid w:val="007F08AD"/>
    <w:rsid w:val="007F44A4"/>
    <w:rsid w:val="007F4D2D"/>
    <w:rsid w:val="008049BB"/>
    <w:rsid w:val="008116C6"/>
    <w:rsid w:val="008217F2"/>
    <w:rsid w:val="00823CC6"/>
    <w:rsid w:val="0082665B"/>
    <w:rsid w:val="00837107"/>
    <w:rsid w:val="0084391A"/>
    <w:rsid w:val="00843D68"/>
    <w:rsid w:val="008451A4"/>
    <w:rsid w:val="008524F7"/>
    <w:rsid w:val="00860690"/>
    <w:rsid w:val="00861353"/>
    <w:rsid w:val="00863E1A"/>
    <w:rsid w:val="00866ABB"/>
    <w:rsid w:val="00877F2C"/>
    <w:rsid w:val="0088690F"/>
    <w:rsid w:val="008A2EB1"/>
    <w:rsid w:val="008B0B67"/>
    <w:rsid w:val="008B2380"/>
    <w:rsid w:val="008B33B5"/>
    <w:rsid w:val="008B4A8A"/>
    <w:rsid w:val="008D1858"/>
    <w:rsid w:val="008E3041"/>
    <w:rsid w:val="008E50FD"/>
    <w:rsid w:val="008F2E64"/>
    <w:rsid w:val="008F4FD2"/>
    <w:rsid w:val="009019C8"/>
    <w:rsid w:val="0090445A"/>
    <w:rsid w:val="00905321"/>
    <w:rsid w:val="00920D8B"/>
    <w:rsid w:val="00923F37"/>
    <w:rsid w:val="00931A44"/>
    <w:rsid w:val="0096725F"/>
    <w:rsid w:val="0097199E"/>
    <w:rsid w:val="00972A5A"/>
    <w:rsid w:val="00986295"/>
    <w:rsid w:val="00996ECC"/>
    <w:rsid w:val="009A2EBD"/>
    <w:rsid w:val="009A7B05"/>
    <w:rsid w:val="009C6814"/>
    <w:rsid w:val="009C69BB"/>
    <w:rsid w:val="009D63DF"/>
    <w:rsid w:val="009E214F"/>
    <w:rsid w:val="009F07E7"/>
    <w:rsid w:val="009F1167"/>
    <w:rsid w:val="009F52AB"/>
    <w:rsid w:val="00A136F9"/>
    <w:rsid w:val="00A47F26"/>
    <w:rsid w:val="00A52758"/>
    <w:rsid w:val="00A65012"/>
    <w:rsid w:val="00A66787"/>
    <w:rsid w:val="00A71E11"/>
    <w:rsid w:val="00A96A73"/>
    <w:rsid w:val="00AA0A6E"/>
    <w:rsid w:val="00AA4D90"/>
    <w:rsid w:val="00AC16D2"/>
    <w:rsid w:val="00AC2F38"/>
    <w:rsid w:val="00AC58A5"/>
    <w:rsid w:val="00AC58C3"/>
    <w:rsid w:val="00AC6567"/>
    <w:rsid w:val="00AD0B07"/>
    <w:rsid w:val="00AD1C2B"/>
    <w:rsid w:val="00AD25B6"/>
    <w:rsid w:val="00AF4DF2"/>
    <w:rsid w:val="00B027D4"/>
    <w:rsid w:val="00B2320C"/>
    <w:rsid w:val="00B27295"/>
    <w:rsid w:val="00B43329"/>
    <w:rsid w:val="00B445DD"/>
    <w:rsid w:val="00B511CE"/>
    <w:rsid w:val="00B55C06"/>
    <w:rsid w:val="00BA6F77"/>
    <w:rsid w:val="00BB38D1"/>
    <w:rsid w:val="00BB4206"/>
    <w:rsid w:val="00BB4A2E"/>
    <w:rsid w:val="00BB73CA"/>
    <w:rsid w:val="00BC1A3D"/>
    <w:rsid w:val="00BC4E38"/>
    <w:rsid w:val="00BC55D4"/>
    <w:rsid w:val="00BE3619"/>
    <w:rsid w:val="00BF7A77"/>
    <w:rsid w:val="00C10598"/>
    <w:rsid w:val="00C23A13"/>
    <w:rsid w:val="00C333F3"/>
    <w:rsid w:val="00C33E89"/>
    <w:rsid w:val="00C35580"/>
    <w:rsid w:val="00C4336F"/>
    <w:rsid w:val="00C513C8"/>
    <w:rsid w:val="00C71E45"/>
    <w:rsid w:val="00C76FD2"/>
    <w:rsid w:val="00CB1AD4"/>
    <w:rsid w:val="00CB5567"/>
    <w:rsid w:val="00CC6759"/>
    <w:rsid w:val="00CC7730"/>
    <w:rsid w:val="00CD2838"/>
    <w:rsid w:val="00CD5238"/>
    <w:rsid w:val="00CE3ACB"/>
    <w:rsid w:val="00CE48D3"/>
    <w:rsid w:val="00CE7F2D"/>
    <w:rsid w:val="00D04762"/>
    <w:rsid w:val="00D04D9D"/>
    <w:rsid w:val="00D147DA"/>
    <w:rsid w:val="00D14EB2"/>
    <w:rsid w:val="00D22C4C"/>
    <w:rsid w:val="00D3214E"/>
    <w:rsid w:val="00D50115"/>
    <w:rsid w:val="00D56C4D"/>
    <w:rsid w:val="00D57C0D"/>
    <w:rsid w:val="00D65355"/>
    <w:rsid w:val="00D653FB"/>
    <w:rsid w:val="00D667CE"/>
    <w:rsid w:val="00D75484"/>
    <w:rsid w:val="00D8792E"/>
    <w:rsid w:val="00D87C59"/>
    <w:rsid w:val="00D95337"/>
    <w:rsid w:val="00D975EF"/>
    <w:rsid w:val="00DB40E8"/>
    <w:rsid w:val="00DC60E3"/>
    <w:rsid w:val="00DD3780"/>
    <w:rsid w:val="00DD43F3"/>
    <w:rsid w:val="00DE44D9"/>
    <w:rsid w:val="00DE4579"/>
    <w:rsid w:val="00DF66C1"/>
    <w:rsid w:val="00E27F2C"/>
    <w:rsid w:val="00E47C15"/>
    <w:rsid w:val="00E50A95"/>
    <w:rsid w:val="00E52A99"/>
    <w:rsid w:val="00E5594E"/>
    <w:rsid w:val="00E60E22"/>
    <w:rsid w:val="00E61462"/>
    <w:rsid w:val="00E64544"/>
    <w:rsid w:val="00E71CDB"/>
    <w:rsid w:val="00E80D70"/>
    <w:rsid w:val="00EA5A87"/>
    <w:rsid w:val="00EA5C01"/>
    <w:rsid w:val="00EB2264"/>
    <w:rsid w:val="00EB30FE"/>
    <w:rsid w:val="00EB7F79"/>
    <w:rsid w:val="00EC3A65"/>
    <w:rsid w:val="00EC5587"/>
    <w:rsid w:val="00EE0E0F"/>
    <w:rsid w:val="00EE392A"/>
    <w:rsid w:val="00EF1808"/>
    <w:rsid w:val="00EF24E0"/>
    <w:rsid w:val="00EF4474"/>
    <w:rsid w:val="00EF4B66"/>
    <w:rsid w:val="00EF6238"/>
    <w:rsid w:val="00EF6F4E"/>
    <w:rsid w:val="00F053B4"/>
    <w:rsid w:val="00F200D5"/>
    <w:rsid w:val="00F2044F"/>
    <w:rsid w:val="00F22EF0"/>
    <w:rsid w:val="00F63B44"/>
    <w:rsid w:val="00F66BF8"/>
    <w:rsid w:val="00F75166"/>
    <w:rsid w:val="00F9384F"/>
    <w:rsid w:val="00FA0BD4"/>
    <w:rsid w:val="00FB5913"/>
    <w:rsid w:val="00FD3B79"/>
    <w:rsid w:val="00FD41F4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ED4602"/>
  <w15:docId w15:val="{23F9746A-059E-474E-8850-B1FD058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9E"/>
  </w:style>
  <w:style w:type="paragraph" w:styleId="Footer">
    <w:name w:val="footer"/>
    <w:basedOn w:val="Normal"/>
    <w:link w:val="Foot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9E"/>
  </w:style>
  <w:style w:type="character" w:styleId="PageNumber">
    <w:name w:val="page number"/>
    <w:basedOn w:val="DefaultParagraphFont"/>
    <w:rsid w:val="002E349E"/>
  </w:style>
  <w:style w:type="paragraph" w:styleId="BalloonText">
    <w:name w:val="Balloon Text"/>
    <w:basedOn w:val="Normal"/>
    <w:link w:val="BalloonTextChar"/>
    <w:uiPriority w:val="99"/>
    <w:semiHidden/>
    <w:unhideWhenUsed/>
    <w:rsid w:val="0059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8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F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F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F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4B66"/>
    <w:pPr>
      <w:ind w:left="720"/>
      <w:contextualSpacing/>
    </w:pPr>
  </w:style>
  <w:style w:type="character" w:styleId="Hyperlink">
    <w:name w:val="Hyperlink"/>
    <w:uiPriority w:val="99"/>
    <w:unhideWhenUsed/>
    <w:rsid w:val="00EF24E0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E50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A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pt.lrv.lt" TargetMode="External"/><Relationship Id="rId2" Type="http://schemas.openxmlformats.org/officeDocument/2006/relationships/image" Target="cid:image001.jpg@01D5DB6C.BCAEF070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info@vp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14AC-C2EC-4C13-984C-12128D21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4985</Words>
  <Characters>2843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Nariūnienė</dc:creator>
  <cp:lastModifiedBy>Agnė Marčiulionytė</cp:lastModifiedBy>
  <cp:revision>4</cp:revision>
  <cp:lastPrinted>2017-08-09T12:55:00Z</cp:lastPrinted>
  <dcterms:created xsi:type="dcterms:W3CDTF">2020-10-14T11:43:00Z</dcterms:created>
  <dcterms:modified xsi:type="dcterms:W3CDTF">2020-10-14T11:59:00Z</dcterms:modified>
</cp:coreProperties>
</file>