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p w14:paraId="196BB5D2" w14:textId="77777777" w:rsidR="007C3C61" w:rsidRPr="0009665F" w:rsidRDefault="007C3C61" w:rsidP="007C3C61">
      <w:pPr>
        <w:jc w:val="center"/>
        <w:rPr>
          <w:sz w:val="24"/>
          <w:szCs w:val="24"/>
        </w:rPr>
      </w:pPr>
      <w:r w:rsidRPr="0009665F">
        <w:rPr>
          <w:sz w:val="24"/>
          <w:szCs w:val="24"/>
        </w:rPr>
        <w:object w:dxaOrig="871" w:dyaOrig="886" w14:anchorId="13829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pt" o:ole="" fillcolor="window">
            <v:imagedata r:id="rId7" o:title=""/>
          </v:shape>
          <o:OLEObject Type="Embed" ProgID="Word.Picture.8" ShapeID="_x0000_i1025" DrawAspect="Content" ObjectID="_1662881549" r:id="rId8"/>
        </w:object>
      </w:r>
    </w:p>
    <w:p w14:paraId="542AF72E" w14:textId="77777777" w:rsidR="007C3C61" w:rsidRPr="0009665F" w:rsidRDefault="007C3C61" w:rsidP="007C3C61">
      <w:pPr>
        <w:jc w:val="center"/>
        <w:rPr>
          <w:sz w:val="24"/>
          <w:szCs w:val="24"/>
        </w:rPr>
      </w:pPr>
    </w:p>
    <w:p w14:paraId="0F597AE7" w14:textId="77777777" w:rsidR="007C3C61" w:rsidRPr="0009665F" w:rsidRDefault="007C3C61" w:rsidP="007C3C61">
      <w:pPr>
        <w:pStyle w:val="Heading1"/>
        <w:tabs>
          <w:tab w:val="left" w:pos="900"/>
        </w:tabs>
        <w:jc w:val="center"/>
        <w:rPr>
          <w:sz w:val="24"/>
          <w:szCs w:val="24"/>
        </w:rPr>
      </w:pPr>
      <w:r w:rsidRPr="0009665F">
        <w:rPr>
          <w:sz w:val="24"/>
          <w:szCs w:val="24"/>
        </w:rPr>
        <w:t>VIEŠŲJŲ PIRKIMŲ TARNYBA</w:t>
      </w:r>
    </w:p>
    <w:p w14:paraId="76CCA590" w14:textId="77777777" w:rsidR="007C3C61" w:rsidRPr="0009665F" w:rsidRDefault="007C3C61" w:rsidP="007C3C61">
      <w:pPr>
        <w:tabs>
          <w:tab w:val="left" w:pos="900"/>
        </w:tabs>
        <w:rPr>
          <w:bCs/>
          <w:sz w:val="24"/>
          <w:szCs w:val="24"/>
        </w:rPr>
      </w:pPr>
    </w:p>
    <w:p w14:paraId="23F8879D" w14:textId="77777777" w:rsidR="007C3C61" w:rsidRPr="0009665F" w:rsidRDefault="007C3C61" w:rsidP="007C3C61">
      <w:pPr>
        <w:tabs>
          <w:tab w:val="left" w:pos="900"/>
        </w:tabs>
        <w:rPr>
          <w:bCs/>
          <w:sz w:val="24"/>
          <w:szCs w:val="24"/>
        </w:rPr>
      </w:pPr>
    </w:p>
    <w:p w14:paraId="10776715" w14:textId="77777777" w:rsidR="007C3C61" w:rsidRPr="0009665F" w:rsidRDefault="007C3C61" w:rsidP="007C3C61">
      <w:pPr>
        <w:tabs>
          <w:tab w:val="left" w:pos="900"/>
        </w:tabs>
        <w:rPr>
          <w:bCs/>
          <w:sz w:val="24"/>
          <w:szCs w:val="24"/>
        </w:rPr>
      </w:pPr>
    </w:p>
    <w:tbl>
      <w:tblPr>
        <w:tblW w:w="9904" w:type="dxa"/>
        <w:tblInd w:w="18" w:type="dxa"/>
        <w:tblLayout w:type="fixed"/>
        <w:tblLook w:val="0000" w:firstRow="0" w:lastRow="0" w:firstColumn="0" w:lastColumn="0" w:noHBand="0" w:noVBand="0"/>
      </w:tblPr>
      <w:tblGrid>
        <w:gridCol w:w="4093"/>
        <w:gridCol w:w="567"/>
        <w:gridCol w:w="1418"/>
        <w:gridCol w:w="534"/>
        <w:gridCol w:w="3292"/>
      </w:tblGrid>
      <w:tr w:rsidR="007C3C61" w:rsidRPr="0009665F" w14:paraId="1427E2A1" w14:textId="77777777" w:rsidTr="00197B7E">
        <w:trPr>
          <w:cantSplit/>
          <w:trHeight w:val="80"/>
        </w:trPr>
        <w:tc>
          <w:tcPr>
            <w:tcW w:w="4093" w:type="dxa"/>
            <w:vMerge w:val="restart"/>
          </w:tcPr>
          <w:p w14:paraId="4FBA4A53" w14:textId="77777777" w:rsidR="007C3C61" w:rsidRPr="0009665F" w:rsidRDefault="007C3C61" w:rsidP="00F20AD4">
            <w:pPr>
              <w:tabs>
                <w:tab w:val="left" w:pos="900"/>
              </w:tabs>
              <w:ind w:left="-108"/>
              <w:rPr>
                <w:sz w:val="24"/>
                <w:szCs w:val="24"/>
              </w:rPr>
            </w:pPr>
            <w:r w:rsidRPr="0009665F">
              <w:rPr>
                <w:sz w:val="24"/>
                <w:szCs w:val="24"/>
              </w:rPr>
              <w:t xml:space="preserve">Lietuvos bankas </w:t>
            </w:r>
          </w:p>
          <w:p w14:paraId="38C226BF" w14:textId="77777777" w:rsidR="007C3C61" w:rsidRPr="0009665F" w:rsidRDefault="007C3C61" w:rsidP="00F20AD4">
            <w:pPr>
              <w:tabs>
                <w:tab w:val="left" w:pos="900"/>
              </w:tabs>
              <w:ind w:left="-108"/>
              <w:rPr>
                <w:sz w:val="24"/>
                <w:szCs w:val="24"/>
              </w:rPr>
            </w:pPr>
            <w:r w:rsidRPr="0009665F">
              <w:rPr>
                <w:sz w:val="24"/>
                <w:szCs w:val="24"/>
              </w:rPr>
              <w:t>Gedimino pr. 6</w:t>
            </w:r>
          </w:p>
          <w:p w14:paraId="0B554A00" w14:textId="472ACA11" w:rsidR="007C3C61" w:rsidRPr="0009665F" w:rsidRDefault="007C3C61" w:rsidP="00F20AD4">
            <w:pPr>
              <w:tabs>
                <w:tab w:val="left" w:pos="900"/>
              </w:tabs>
              <w:ind w:left="-108"/>
              <w:rPr>
                <w:sz w:val="24"/>
                <w:szCs w:val="24"/>
              </w:rPr>
            </w:pPr>
            <w:r w:rsidRPr="0009665F">
              <w:rPr>
                <w:sz w:val="24"/>
                <w:szCs w:val="24"/>
              </w:rPr>
              <w:t xml:space="preserve">01103 Vilnius </w:t>
            </w:r>
          </w:p>
          <w:p w14:paraId="6204A8F5" w14:textId="77777777" w:rsidR="007C3C61" w:rsidRPr="0009665F" w:rsidRDefault="007C3C61" w:rsidP="00F20AD4">
            <w:pPr>
              <w:tabs>
                <w:tab w:val="left" w:pos="900"/>
              </w:tabs>
              <w:ind w:left="-108"/>
              <w:rPr>
                <w:sz w:val="24"/>
                <w:szCs w:val="24"/>
              </w:rPr>
            </w:pPr>
          </w:p>
        </w:tc>
        <w:tc>
          <w:tcPr>
            <w:tcW w:w="567" w:type="dxa"/>
          </w:tcPr>
          <w:p w14:paraId="67D2995E" w14:textId="77777777" w:rsidR="007C3C61" w:rsidRPr="0009665F" w:rsidRDefault="007C3C61" w:rsidP="00F20AD4">
            <w:pPr>
              <w:tabs>
                <w:tab w:val="left" w:pos="900"/>
              </w:tabs>
              <w:rPr>
                <w:sz w:val="24"/>
                <w:szCs w:val="24"/>
              </w:rPr>
            </w:pPr>
          </w:p>
        </w:tc>
        <w:tc>
          <w:tcPr>
            <w:tcW w:w="1418" w:type="dxa"/>
          </w:tcPr>
          <w:p w14:paraId="1552873D" w14:textId="2B91880C" w:rsidR="007C3C61" w:rsidRPr="0009665F" w:rsidRDefault="007C3C61" w:rsidP="00F20AD4">
            <w:pPr>
              <w:ind w:left="-214" w:firstLine="109"/>
              <w:rPr>
                <w:sz w:val="24"/>
                <w:szCs w:val="24"/>
              </w:rPr>
            </w:pPr>
            <w:r w:rsidRPr="0009665F">
              <w:rPr>
                <w:sz w:val="24"/>
                <w:szCs w:val="24"/>
              </w:rPr>
              <w:t xml:space="preserve">   2020-</w:t>
            </w:r>
            <w:r w:rsidR="00017FCE">
              <w:rPr>
                <w:sz w:val="24"/>
                <w:szCs w:val="24"/>
              </w:rPr>
              <w:t>09</w:t>
            </w:r>
            <w:r w:rsidRPr="0009665F">
              <w:rPr>
                <w:sz w:val="24"/>
                <w:szCs w:val="24"/>
              </w:rPr>
              <w:t xml:space="preserve">-    </w:t>
            </w:r>
          </w:p>
        </w:tc>
        <w:tc>
          <w:tcPr>
            <w:tcW w:w="534" w:type="dxa"/>
          </w:tcPr>
          <w:p w14:paraId="1A1AEBB4" w14:textId="77777777" w:rsidR="007C3C61" w:rsidRPr="0009665F" w:rsidRDefault="007C3C61" w:rsidP="00F20AD4">
            <w:pPr>
              <w:tabs>
                <w:tab w:val="left" w:pos="900"/>
              </w:tabs>
              <w:rPr>
                <w:sz w:val="24"/>
                <w:szCs w:val="24"/>
              </w:rPr>
            </w:pPr>
            <w:r w:rsidRPr="0009665F">
              <w:rPr>
                <w:sz w:val="24"/>
                <w:szCs w:val="24"/>
              </w:rPr>
              <w:t>Nr.</w:t>
            </w:r>
          </w:p>
        </w:tc>
        <w:tc>
          <w:tcPr>
            <w:tcW w:w="3292" w:type="dxa"/>
          </w:tcPr>
          <w:p w14:paraId="15D1293E" w14:textId="589EE550" w:rsidR="007C3C61" w:rsidRPr="0009665F" w:rsidRDefault="007C3C61" w:rsidP="00F20AD4">
            <w:pPr>
              <w:tabs>
                <w:tab w:val="left" w:pos="900"/>
              </w:tabs>
              <w:ind w:left="-73"/>
              <w:rPr>
                <w:sz w:val="24"/>
                <w:szCs w:val="24"/>
              </w:rPr>
            </w:pPr>
            <w:r w:rsidRPr="0009665F">
              <w:rPr>
                <w:sz w:val="24"/>
                <w:szCs w:val="24"/>
              </w:rPr>
              <w:t>4S-</w:t>
            </w:r>
            <w:r w:rsidR="00017FCE">
              <w:rPr>
                <w:sz w:val="24"/>
                <w:szCs w:val="24"/>
              </w:rPr>
              <w:t xml:space="preserve">          </w:t>
            </w:r>
            <w:r w:rsidRPr="0009665F">
              <w:rPr>
                <w:sz w:val="24"/>
                <w:szCs w:val="24"/>
              </w:rPr>
              <w:t xml:space="preserve">     (8.15) </w:t>
            </w:r>
          </w:p>
        </w:tc>
      </w:tr>
      <w:tr w:rsidR="007C3C61" w:rsidRPr="0009665F" w14:paraId="0F56DC0A" w14:textId="77777777" w:rsidTr="00197B7E">
        <w:trPr>
          <w:cantSplit/>
          <w:trHeight w:val="380"/>
        </w:trPr>
        <w:tc>
          <w:tcPr>
            <w:tcW w:w="4093" w:type="dxa"/>
            <w:vMerge/>
          </w:tcPr>
          <w:p w14:paraId="592DE951" w14:textId="77777777" w:rsidR="007C3C61" w:rsidRPr="0009665F" w:rsidRDefault="007C3C61" w:rsidP="00F20AD4">
            <w:pPr>
              <w:tabs>
                <w:tab w:val="left" w:pos="900"/>
              </w:tabs>
              <w:rPr>
                <w:sz w:val="24"/>
                <w:szCs w:val="24"/>
              </w:rPr>
            </w:pPr>
          </w:p>
        </w:tc>
        <w:tc>
          <w:tcPr>
            <w:tcW w:w="567" w:type="dxa"/>
          </w:tcPr>
          <w:p w14:paraId="515CB66B" w14:textId="77777777" w:rsidR="007C3C61" w:rsidRPr="0009665F" w:rsidRDefault="007C3C61" w:rsidP="00F20AD4">
            <w:pPr>
              <w:tabs>
                <w:tab w:val="left" w:pos="900"/>
              </w:tabs>
              <w:ind w:right="25"/>
              <w:jc w:val="both"/>
              <w:rPr>
                <w:sz w:val="24"/>
                <w:szCs w:val="24"/>
              </w:rPr>
            </w:pPr>
          </w:p>
        </w:tc>
        <w:tc>
          <w:tcPr>
            <w:tcW w:w="1418" w:type="dxa"/>
          </w:tcPr>
          <w:p w14:paraId="6CCF1995" w14:textId="4C7E8BB6" w:rsidR="007C3C61" w:rsidRDefault="007C3C61" w:rsidP="00F20AD4">
            <w:pPr>
              <w:tabs>
                <w:tab w:val="left" w:pos="900"/>
              </w:tabs>
              <w:ind w:left="-78"/>
              <w:rPr>
                <w:sz w:val="24"/>
                <w:szCs w:val="24"/>
              </w:rPr>
            </w:pPr>
            <w:r w:rsidRPr="0009665F">
              <w:rPr>
                <w:sz w:val="24"/>
                <w:szCs w:val="24"/>
              </w:rPr>
              <w:t>Į 2020-0</w:t>
            </w:r>
            <w:r w:rsidR="00197B7E">
              <w:rPr>
                <w:sz w:val="24"/>
                <w:szCs w:val="24"/>
              </w:rPr>
              <w:t>9</w:t>
            </w:r>
            <w:r w:rsidRPr="0009665F">
              <w:rPr>
                <w:sz w:val="24"/>
                <w:szCs w:val="24"/>
              </w:rPr>
              <w:t>-</w:t>
            </w:r>
            <w:r w:rsidR="00197B7E">
              <w:rPr>
                <w:sz w:val="24"/>
                <w:szCs w:val="24"/>
              </w:rPr>
              <w:t>15</w:t>
            </w:r>
          </w:p>
          <w:p w14:paraId="23C6979D" w14:textId="77777777" w:rsidR="007C3C61" w:rsidRDefault="007C3C61" w:rsidP="00F20AD4">
            <w:pPr>
              <w:tabs>
                <w:tab w:val="left" w:pos="900"/>
              </w:tabs>
              <w:ind w:left="-78"/>
              <w:rPr>
                <w:sz w:val="24"/>
                <w:szCs w:val="24"/>
              </w:rPr>
            </w:pPr>
            <w:r>
              <w:rPr>
                <w:sz w:val="24"/>
                <w:szCs w:val="24"/>
              </w:rPr>
              <w:t>Į 2020-0</w:t>
            </w:r>
            <w:r w:rsidR="00197B7E">
              <w:rPr>
                <w:sz w:val="24"/>
                <w:szCs w:val="24"/>
              </w:rPr>
              <w:t>9</w:t>
            </w:r>
            <w:r>
              <w:rPr>
                <w:sz w:val="24"/>
                <w:szCs w:val="24"/>
              </w:rPr>
              <w:t>-</w:t>
            </w:r>
            <w:r w:rsidR="00197B7E">
              <w:rPr>
                <w:sz w:val="24"/>
                <w:szCs w:val="24"/>
              </w:rPr>
              <w:t>17</w:t>
            </w:r>
          </w:p>
          <w:p w14:paraId="60156CDA" w14:textId="16489D35" w:rsidR="002139B8" w:rsidRPr="0009665F" w:rsidRDefault="002139B8" w:rsidP="00F20AD4">
            <w:pPr>
              <w:tabs>
                <w:tab w:val="left" w:pos="900"/>
              </w:tabs>
              <w:ind w:left="-78"/>
              <w:rPr>
                <w:sz w:val="24"/>
                <w:szCs w:val="24"/>
              </w:rPr>
            </w:pPr>
            <w:r>
              <w:rPr>
                <w:sz w:val="24"/>
                <w:szCs w:val="24"/>
              </w:rPr>
              <w:t>Į 2020-09-25</w:t>
            </w:r>
          </w:p>
        </w:tc>
        <w:tc>
          <w:tcPr>
            <w:tcW w:w="534" w:type="dxa"/>
          </w:tcPr>
          <w:p w14:paraId="30FDCDA0" w14:textId="77777777" w:rsidR="007C3C61" w:rsidRPr="0009665F" w:rsidRDefault="007C3C61" w:rsidP="00F20AD4">
            <w:pPr>
              <w:tabs>
                <w:tab w:val="left" w:pos="900"/>
              </w:tabs>
              <w:rPr>
                <w:sz w:val="24"/>
                <w:szCs w:val="24"/>
              </w:rPr>
            </w:pPr>
            <w:r w:rsidRPr="0009665F">
              <w:rPr>
                <w:sz w:val="24"/>
                <w:szCs w:val="24"/>
              </w:rPr>
              <w:t>Nr.</w:t>
            </w:r>
          </w:p>
          <w:p w14:paraId="444ADE4C" w14:textId="77777777" w:rsidR="007C3C61" w:rsidRDefault="007C3C61" w:rsidP="00F20AD4">
            <w:pPr>
              <w:rPr>
                <w:sz w:val="24"/>
                <w:szCs w:val="24"/>
              </w:rPr>
            </w:pPr>
            <w:r>
              <w:rPr>
                <w:sz w:val="24"/>
                <w:szCs w:val="24"/>
              </w:rPr>
              <w:t>Nr.</w:t>
            </w:r>
          </w:p>
          <w:p w14:paraId="13C63238" w14:textId="4EE319EF" w:rsidR="002139B8" w:rsidRPr="0009665F" w:rsidRDefault="002139B8" w:rsidP="00F20AD4">
            <w:pPr>
              <w:rPr>
                <w:sz w:val="24"/>
                <w:szCs w:val="24"/>
              </w:rPr>
            </w:pPr>
            <w:r>
              <w:rPr>
                <w:sz w:val="24"/>
                <w:szCs w:val="24"/>
              </w:rPr>
              <w:t xml:space="preserve">Nr. </w:t>
            </w:r>
          </w:p>
        </w:tc>
        <w:tc>
          <w:tcPr>
            <w:tcW w:w="3292" w:type="dxa"/>
          </w:tcPr>
          <w:p w14:paraId="35813F93" w14:textId="2A96B5A7" w:rsidR="007C3C61" w:rsidRPr="0009665F" w:rsidRDefault="007C3C61" w:rsidP="00F20AD4">
            <w:pPr>
              <w:tabs>
                <w:tab w:val="left" w:pos="900"/>
              </w:tabs>
              <w:ind w:left="-73"/>
              <w:rPr>
                <w:sz w:val="24"/>
                <w:szCs w:val="24"/>
              </w:rPr>
            </w:pPr>
            <w:r w:rsidRPr="0009665F">
              <w:rPr>
                <w:sz w:val="24"/>
                <w:szCs w:val="24"/>
              </w:rPr>
              <w:t>S 2020/(27.1.E-2700)-</w:t>
            </w:r>
            <w:r w:rsidR="00197B7E">
              <w:rPr>
                <w:sz w:val="24"/>
                <w:szCs w:val="24"/>
              </w:rPr>
              <w:t>12-5710</w:t>
            </w:r>
          </w:p>
          <w:p w14:paraId="19F1197D" w14:textId="77777777" w:rsidR="007C3C61" w:rsidRDefault="007C3C61" w:rsidP="00F20AD4">
            <w:pPr>
              <w:tabs>
                <w:tab w:val="left" w:pos="900"/>
              </w:tabs>
              <w:ind w:left="-73"/>
              <w:rPr>
                <w:sz w:val="24"/>
                <w:szCs w:val="24"/>
              </w:rPr>
            </w:pPr>
            <w:r w:rsidRPr="005405F3">
              <w:rPr>
                <w:sz w:val="24"/>
                <w:szCs w:val="24"/>
              </w:rPr>
              <w:t>3S-</w:t>
            </w:r>
            <w:r w:rsidR="00197B7E">
              <w:rPr>
                <w:sz w:val="24"/>
                <w:szCs w:val="24"/>
              </w:rPr>
              <w:t>2636</w:t>
            </w:r>
          </w:p>
          <w:p w14:paraId="3A70AAD7" w14:textId="460CA553" w:rsidR="002139B8" w:rsidRPr="0009665F" w:rsidRDefault="002139B8" w:rsidP="00F20AD4">
            <w:pPr>
              <w:tabs>
                <w:tab w:val="left" w:pos="900"/>
              </w:tabs>
              <w:ind w:left="-73"/>
              <w:rPr>
                <w:sz w:val="24"/>
                <w:szCs w:val="24"/>
              </w:rPr>
            </w:pPr>
            <w:r>
              <w:rPr>
                <w:sz w:val="24"/>
                <w:szCs w:val="24"/>
              </w:rPr>
              <w:t>3S-2718</w:t>
            </w:r>
          </w:p>
        </w:tc>
      </w:tr>
    </w:tbl>
    <w:p w14:paraId="12442E9F" w14:textId="77777777" w:rsidR="007C3C61" w:rsidRPr="0009665F" w:rsidRDefault="007C3C61" w:rsidP="007C3C61">
      <w:pPr>
        <w:shd w:val="clear" w:color="auto" w:fill="FFFFFF"/>
        <w:tabs>
          <w:tab w:val="left" w:pos="900"/>
        </w:tabs>
        <w:rPr>
          <w:bCs/>
          <w:color w:val="000000"/>
          <w:sz w:val="24"/>
          <w:szCs w:val="24"/>
          <w:lang w:eastAsia="lt-LT"/>
        </w:rPr>
      </w:pPr>
      <w:r w:rsidRPr="0009665F">
        <w:rPr>
          <w:bCs/>
          <w:color w:val="000000"/>
          <w:sz w:val="24"/>
          <w:szCs w:val="24"/>
          <w:lang w:eastAsia="lt-LT"/>
        </w:rPr>
        <w:t>El. p.: info@lb.lt</w:t>
      </w:r>
    </w:p>
    <w:p w14:paraId="5CBD4C12" w14:textId="77777777" w:rsidR="007C3C61" w:rsidRDefault="007C3C61" w:rsidP="007C3C61">
      <w:pPr>
        <w:spacing w:line="360" w:lineRule="auto"/>
        <w:jc w:val="both"/>
        <w:rPr>
          <w:color w:val="000000"/>
          <w:sz w:val="24"/>
          <w:szCs w:val="24"/>
          <w:lang w:eastAsia="lt-LT"/>
        </w:rPr>
      </w:pPr>
    </w:p>
    <w:p w14:paraId="651C4539" w14:textId="77777777" w:rsidR="00F6447A" w:rsidRPr="0009665F" w:rsidRDefault="00F6447A" w:rsidP="007C3C61">
      <w:pPr>
        <w:spacing w:line="360" w:lineRule="auto"/>
        <w:jc w:val="both"/>
        <w:rPr>
          <w:color w:val="000000"/>
          <w:sz w:val="24"/>
          <w:szCs w:val="24"/>
          <w:lang w:eastAsia="lt-LT"/>
        </w:rPr>
      </w:pPr>
    </w:p>
    <w:p w14:paraId="08989120" w14:textId="77777777" w:rsidR="007C3C61" w:rsidRPr="0009665F" w:rsidRDefault="007C3C61" w:rsidP="007C3C61">
      <w:pPr>
        <w:spacing w:line="360" w:lineRule="auto"/>
        <w:jc w:val="both"/>
        <w:rPr>
          <w:b/>
          <w:color w:val="000000"/>
          <w:sz w:val="24"/>
          <w:szCs w:val="24"/>
          <w:lang w:eastAsia="lt-LT"/>
        </w:rPr>
      </w:pPr>
      <w:r w:rsidRPr="0009665F">
        <w:rPr>
          <w:b/>
          <w:color w:val="000000"/>
          <w:sz w:val="24"/>
          <w:szCs w:val="24"/>
          <w:lang w:eastAsia="lt-LT"/>
        </w:rPr>
        <w:t>SPRENDIMAS DĖL SUTIKIMO VYKDYTI PIRKIMĄ NESKELBIAMŲ DERYBŲ BŪDU</w:t>
      </w:r>
    </w:p>
    <w:p w14:paraId="18FD6B90" w14:textId="77777777" w:rsidR="00F6447A" w:rsidRPr="0009665F" w:rsidRDefault="00F6447A" w:rsidP="007C3C61">
      <w:pPr>
        <w:spacing w:line="360" w:lineRule="auto"/>
        <w:jc w:val="both"/>
        <w:rPr>
          <w:bCs/>
          <w:color w:val="000000" w:themeColor="text1"/>
          <w:sz w:val="24"/>
          <w:szCs w:val="24"/>
          <w:lang w:eastAsia="lt-LT"/>
        </w:rPr>
      </w:pPr>
    </w:p>
    <w:p w14:paraId="4D1431F4" w14:textId="24C5C9A7" w:rsidR="007C3C61" w:rsidRPr="00B33332" w:rsidRDefault="007C3C61" w:rsidP="00194CEC">
      <w:pPr>
        <w:ind w:firstLine="851"/>
        <w:jc w:val="both"/>
        <w:rPr>
          <w:bCs/>
          <w:color w:val="000000" w:themeColor="text1"/>
          <w:sz w:val="24"/>
          <w:szCs w:val="24"/>
          <w:lang w:eastAsia="lt-LT"/>
        </w:rPr>
      </w:pPr>
      <w:r w:rsidRPr="00B33332">
        <w:rPr>
          <w:bCs/>
          <w:color w:val="000000" w:themeColor="text1"/>
          <w:sz w:val="24"/>
          <w:szCs w:val="24"/>
          <w:lang w:eastAsia="lt-LT"/>
        </w:rPr>
        <w:t>Viešųjų pirkimų tarnyba (toliau – Tarnyba), vadovaudamasi Lietuvos Respublikos viešųjų pirkimų įstatymo (toliau – Įstatymas) 95 straipsnio 2 dalies 6 punkto nuostatomis, išnagrinėjo Lietuvos banko (toliau – Perkančioji organizacija) prašymą</w:t>
      </w:r>
      <w:r w:rsidR="00106743">
        <w:rPr>
          <w:rStyle w:val="FootnoteReference"/>
          <w:bCs/>
          <w:color w:val="000000" w:themeColor="text1"/>
          <w:sz w:val="24"/>
          <w:szCs w:val="24"/>
          <w:lang w:eastAsia="lt-LT"/>
        </w:rPr>
        <w:footnoteReference w:id="1"/>
      </w:r>
      <w:r w:rsidRPr="00B33332">
        <w:rPr>
          <w:bCs/>
          <w:color w:val="000000" w:themeColor="text1"/>
          <w:sz w:val="24"/>
          <w:szCs w:val="24"/>
          <w:lang w:eastAsia="lt-LT"/>
        </w:rPr>
        <w:t xml:space="preserve"> sutikti </w:t>
      </w:r>
      <w:bookmarkStart w:id="1" w:name="_Hlk52266327"/>
      <w:r w:rsidR="00012BAD">
        <w:rPr>
          <w:bCs/>
          <w:i/>
          <w:iCs/>
          <w:color w:val="000000" w:themeColor="text1"/>
          <w:sz w:val="24"/>
          <w:szCs w:val="24"/>
          <w:lang w:eastAsia="lt-LT"/>
        </w:rPr>
        <w:t xml:space="preserve">Kreditinių ir debetinių mokėjimų apdorojimo ir vykdymo (prisijungimo prie STEP2) </w:t>
      </w:r>
      <w:r w:rsidRPr="00B33332">
        <w:rPr>
          <w:bCs/>
          <w:i/>
          <w:iCs/>
          <w:color w:val="000000" w:themeColor="text1"/>
          <w:sz w:val="24"/>
          <w:szCs w:val="24"/>
          <w:lang w:eastAsia="lt-LT"/>
        </w:rPr>
        <w:t>paslaugų</w:t>
      </w:r>
      <w:r w:rsidRPr="00B33332">
        <w:rPr>
          <w:bCs/>
          <w:color w:val="000000" w:themeColor="text1"/>
          <w:sz w:val="24"/>
          <w:szCs w:val="24"/>
          <w:lang w:eastAsia="lt-LT"/>
        </w:rPr>
        <w:t xml:space="preserve"> </w:t>
      </w:r>
      <w:bookmarkEnd w:id="1"/>
      <w:r w:rsidRPr="00B33332">
        <w:rPr>
          <w:bCs/>
          <w:i/>
          <w:iCs/>
          <w:color w:val="000000" w:themeColor="text1"/>
          <w:sz w:val="24"/>
          <w:szCs w:val="24"/>
          <w:lang w:eastAsia="lt-LT"/>
        </w:rPr>
        <w:t>pirkimą</w:t>
      </w:r>
      <w:r w:rsidRPr="00B33332">
        <w:rPr>
          <w:bCs/>
          <w:color w:val="000000" w:themeColor="text1"/>
          <w:sz w:val="24"/>
          <w:szCs w:val="24"/>
          <w:lang w:eastAsia="lt-LT"/>
        </w:rPr>
        <w:t xml:space="preserve"> </w:t>
      </w:r>
      <w:r w:rsidRPr="00194CEC">
        <w:rPr>
          <w:bCs/>
          <w:color w:val="000000" w:themeColor="text1"/>
          <w:sz w:val="24"/>
          <w:szCs w:val="24"/>
          <w:lang w:eastAsia="lt-LT"/>
        </w:rPr>
        <w:t>(toliau – Pirkimas)</w:t>
      </w:r>
      <w:r w:rsidRPr="00B33332">
        <w:rPr>
          <w:bCs/>
          <w:color w:val="000000" w:themeColor="text1"/>
          <w:sz w:val="24"/>
          <w:szCs w:val="24"/>
          <w:lang w:eastAsia="lt-LT"/>
        </w:rPr>
        <w:t xml:space="preserve"> vykdyti neskelbiamų derybų būdu, vadovaujantis Įstatymo 71 straipsnio 1 dalies 2 punkto (b) papunkčio nuostatomis.</w:t>
      </w:r>
    </w:p>
    <w:p w14:paraId="324B133F" w14:textId="6FC43CAC" w:rsidR="00024CB5" w:rsidRDefault="007C3C61" w:rsidP="0026051A">
      <w:pPr>
        <w:pStyle w:val="FootnoteText"/>
        <w:ind w:firstLine="851"/>
        <w:jc w:val="both"/>
        <w:rPr>
          <w:sz w:val="24"/>
          <w:szCs w:val="24"/>
          <w:lang w:eastAsia="lt-LT"/>
        </w:rPr>
      </w:pPr>
      <w:r w:rsidRPr="0003491A">
        <w:rPr>
          <w:bCs/>
          <w:color w:val="000000" w:themeColor="text1"/>
          <w:sz w:val="24"/>
          <w:szCs w:val="24"/>
          <w:lang w:eastAsia="lt-LT"/>
        </w:rPr>
        <w:t>Tarnybai pateiktame prašyme nurodoma, jog Perkanči</w:t>
      </w:r>
      <w:r w:rsidR="0022316B">
        <w:rPr>
          <w:bCs/>
          <w:color w:val="000000" w:themeColor="text1"/>
          <w:sz w:val="24"/>
          <w:szCs w:val="24"/>
          <w:lang w:eastAsia="lt-LT"/>
        </w:rPr>
        <w:t>osios organizacijos funkcijų tinkamam vykdymui</w:t>
      </w:r>
      <w:r w:rsidRPr="0003491A">
        <w:rPr>
          <w:bCs/>
          <w:color w:val="000000" w:themeColor="text1"/>
          <w:sz w:val="24"/>
          <w:szCs w:val="24"/>
          <w:lang w:eastAsia="lt-LT"/>
        </w:rPr>
        <w:t xml:space="preserve"> yra būtinos</w:t>
      </w:r>
      <w:r w:rsidR="00FC4128" w:rsidRPr="0003491A">
        <w:rPr>
          <w:bCs/>
          <w:color w:val="000000" w:themeColor="text1"/>
          <w:sz w:val="24"/>
          <w:szCs w:val="24"/>
          <w:lang w:eastAsia="lt-LT"/>
        </w:rPr>
        <w:t xml:space="preserve"> </w:t>
      </w:r>
      <w:r w:rsidR="00012BAD" w:rsidRPr="0003491A">
        <w:rPr>
          <w:sz w:val="24"/>
          <w:szCs w:val="24"/>
        </w:rPr>
        <w:t>kreditinių ir debetinių mokėjimų vykdymo paslaugos, kurios užtikrin</w:t>
      </w:r>
      <w:r w:rsidR="0022316B">
        <w:rPr>
          <w:sz w:val="24"/>
          <w:szCs w:val="24"/>
        </w:rPr>
        <w:t>a</w:t>
      </w:r>
      <w:r w:rsidR="00012BAD" w:rsidRPr="0003491A">
        <w:rPr>
          <w:sz w:val="24"/>
          <w:szCs w:val="24"/>
        </w:rPr>
        <w:t xml:space="preserve">, kad kreditiniai ir debetiniai mokėjimai, suformuoti Lietuvos banko valdomoje mažmeninėje mokėjimų sistemoje </w:t>
      </w:r>
      <w:proofErr w:type="spellStart"/>
      <w:r w:rsidR="00012BAD" w:rsidRPr="0003491A">
        <w:rPr>
          <w:sz w:val="24"/>
          <w:szCs w:val="24"/>
        </w:rPr>
        <w:t>CENTROlink</w:t>
      </w:r>
      <w:proofErr w:type="spellEnd"/>
      <w:r w:rsidR="0069264F" w:rsidRPr="0003491A">
        <w:rPr>
          <w:sz w:val="24"/>
          <w:szCs w:val="24"/>
        </w:rPr>
        <w:t xml:space="preserve"> (toliau – Sistema)</w:t>
      </w:r>
      <w:r w:rsidR="00012BAD" w:rsidRPr="0003491A">
        <w:rPr>
          <w:sz w:val="24"/>
          <w:szCs w:val="24"/>
        </w:rPr>
        <w:t xml:space="preserve">, pasiektų kitas </w:t>
      </w:r>
      <w:r w:rsidR="00FC4128" w:rsidRPr="0003491A">
        <w:rPr>
          <w:bCs/>
          <w:color w:val="000000" w:themeColor="text1"/>
          <w:sz w:val="24"/>
          <w:szCs w:val="24"/>
          <w:lang w:eastAsia="lt-LT"/>
        </w:rPr>
        <w:t>bendroje mokėjimų eurais erdvėje (</w:t>
      </w:r>
      <w:r w:rsidR="00FC4128" w:rsidRPr="0003491A">
        <w:rPr>
          <w:sz w:val="24"/>
          <w:szCs w:val="24"/>
          <w:lang w:eastAsia="lt-LT"/>
        </w:rPr>
        <w:t>toliau – SEPA)</w:t>
      </w:r>
      <w:r w:rsidR="00FC4128" w:rsidRPr="0003491A">
        <w:rPr>
          <w:rStyle w:val="FootnoteReference"/>
          <w:sz w:val="24"/>
          <w:szCs w:val="24"/>
          <w:lang w:eastAsia="lt-LT"/>
        </w:rPr>
        <w:footnoteReference w:id="2"/>
      </w:r>
      <w:r w:rsidR="00FC4128" w:rsidRPr="0003491A">
        <w:rPr>
          <w:sz w:val="24"/>
          <w:szCs w:val="24"/>
          <w:lang w:eastAsia="lt-LT"/>
        </w:rPr>
        <w:t xml:space="preserve"> </w:t>
      </w:r>
      <w:r w:rsidR="00012BAD" w:rsidRPr="0003491A">
        <w:rPr>
          <w:sz w:val="24"/>
          <w:szCs w:val="24"/>
        </w:rPr>
        <w:t xml:space="preserve">veikiančias mokėjimo sistemas ir jose dalyvaujančius mokėjimo paslaugų tiekėjus. </w:t>
      </w:r>
      <w:r w:rsidR="00FC4128" w:rsidRPr="0003491A">
        <w:rPr>
          <w:sz w:val="24"/>
          <w:szCs w:val="24"/>
        </w:rPr>
        <w:t xml:space="preserve">Prancūzijos bendrovės </w:t>
      </w:r>
      <w:r w:rsidR="00012BAD" w:rsidRPr="0003491A">
        <w:rPr>
          <w:sz w:val="24"/>
          <w:szCs w:val="24"/>
        </w:rPr>
        <w:t xml:space="preserve">ABE </w:t>
      </w:r>
      <w:proofErr w:type="spellStart"/>
      <w:r w:rsidR="00012BAD" w:rsidRPr="0003491A">
        <w:rPr>
          <w:sz w:val="24"/>
          <w:szCs w:val="24"/>
        </w:rPr>
        <w:t>Clearing</w:t>
      </w:r>
      <w:proofErr w:type="spellEnd"/>
      <w:r w:rsidR="00012BAD" w:rsidRPr="0003491A">
        <w:rPr>
          <w:sz w:val="24"/>
          <w:szCs w:val="24"/>
        </w:rPr>
        <w:t xml:space="preserve"> S.A.S.</w:t>
      </w:r>
      <w:r w:rsidR="00FC4128" w:rsidRPr="0003491A">
        <w:rPr>
          <w:sz w:val="24"/>
          <w:szCs w:val="24"/>
        </w:rPr>
        <w:t xml:space="preserve"> </w:t>
      </w:r>
      <w:r w:rsidR="00FC4128" w:rsidRPr="0003491A">
        <w:rPr>
          <w:bCs/>
          <w:color w:val="000000" w:themeColor="text1"/>
          <w:sz w:val="24"/>
          <w:szCs w:val="24"/>
          <w:lang w:eastAsia="lt-LT"/>
        </w:rPr>
        <w:t>à</w:t>
      </w:r>
      <w:r w:rsidR="00012BAD" w:rsidRPr="0003491A">
        <w:rPr>
          <w:sz w:val="24"/>
          <w:szCs w:val="24"/>
        </w:rPr>
        <w:t xml:space="preserve"> </w:t>
      </w:r>
      <w:proofErr w:type="spellStart"/>
      <w:r w:rsidR="00FC4128" w:rsidRPr="0003491A">
        <w:rPr>
          <w:sz w:val="24"/>
          <w:szCs w:val="24"/>
        </w:rPr>
        <w:t>c</w:t>
      </w:r>
      <w:r w:rsidR="00012BAD" w:rsidRPr="0003491A">
        <w:rPr>
          <w:sz w:val="24"/>
          <w:szCs w:val="24"/>
        </w:rPr>
        <w:t>apital</w:t>
      </w:r>
      <w:proofErr w:type="spellEnd"/>
      <w:r w:rsidR="00012BAD" w:rsidRPr="0003491A">
        <w:rPr>
          <w:sz w:val="24"/>
          <w:szCs w:val="24"/>
        </w:rPr>
        <w:t xml:space="preserve"> </w:t>
      </w:r>
      <w:proofErr w:type="spellStart"/>
      <w:r w:rsidR="00FC4128" w:rsidRPr="0003491A">
        <w:rPr>
          <w:sz w:val="24"/>
          <w:szCs w:val="24"/>
        </w:rPr>
        <w:t>v</w:t>
      </w:r>
      <w:r w:rsidR="00012BAD" w:rsidRPr="0003491A">
        <w:rPr>
          <w:sz w:val="24"/>
          <w:szCs w:val="24"/>
        </w:rPr>
        <w:t>ariable</w:t>
      </w:r>
      <w:proofErr w:type="spellEnd"/>
      <w:r w:rsidR="00FC4128" w:rsidRPr="0003491A">
        <w:rPr>
          <w:sz w:val="24"/>
          <w:szCs w:val="24"/>
        </w:rPr>
        <w:t xml:space="preserve"> (EBA CLEARING) (toliau – </w:t>
      </w:r>
      <w:r w:rsidR="00194CEC">
        <w:rPr>
          <w:sz w:val="24"/>
          <w:szCs w:val="24"/>
        </w:rPr>
        <w:t xml:space="preserve">ir </w:t>
      </w:r>
      <w:r w:rsidR="00FC4128" w:rsidRPr="0003491A">
        <w:rPr>
          <w:sz w:val="24"/>
          <w:szCs w:val="24"/>
        </w:rPr>
        <w:t>Tiekėjas)</w:t>
      </w:r>
      <w:r w:rsidR="00012BAD" w:rsidRPr="0003491A">
        <w:rPr>
          <w:sz w:val="24"/>
          <w:szCs w:val="24"/>
        </w:rPr>
        <w:t xml:space="preserve"> valdoma </w:t>
      </w:r>
      <w:r w:rsidR="00FC4128" w:rsidRPr="0003491A">
        <w:rPr>
          <w:bCs/>
          <w:color w:val="000000" w:themeColor="text1"/>
          <w:sz w:val="24"/>
          <w:szCs w:val="24"/>
          <w:lang w:eastAsia="lt-LT"/>
        </w:rPr>
        <w:t>kreditinių ir debetinių mokėjimų apdorojimo ir vykdymo</w:t>
      </w:r>
      <w:r w:rsidR="00FC4128" w:rsidRPr="0003491A">
        <w:rPr>
          <w:sz w:val="24"/>
          <w:szCs w:val="24"/>
        </w:rPr>
        <w:t xml:space="preserve"> </w:t>
      </w:r>
      <w:r w:rsidR="00012BAD" w:rsidRPr="0003491A">
        <w:rPr>
          <w:sz w:val="24"/>
          <w:szCs w:val="24"/>
        </w:rPr>
        <w:t xml:space="preserve">sistema </w:t>
      </w:r>
      <w:r w:rsidR="00FC4128" w:rsidRPr="0003491A">
        <w:rPr>
          <w:sz w:val="24"/>
          <w:szCs w:val="24"/>
        </w:rPr>
        <w:t xml:space="preserve">(toliau – STEP2) </w:t>
      </w:r>
      <w:r w:rsidR="00012BAD" w:rsidRPr="0003491A">
        <w:rPr>
          <w:sz w:val="24"/>
          <w:szCs w:val="24"/>
        </w:rPr>
        <w:t xml:space="preserve">yra vienintelė sistema, galinti užtikrinti tokius </w:t>
      </w:r>
      <w:r w:rsidR="00FC4128" w:rsidRPr="0003491A">
        <w:rPr>
          <w:sz w:val="24"/>
          <w:szCs w:val="24"/>
        </w:rPr>
        <w:t>Perkančiosios organizacijos</w:t>
      </w:r>
      <w:r w:rsidR="00012BAD" w:rsidRPr="0003491A">
        <w:rPr>
          <w:sz w:val="24"/>
          <w:szCs w:val="24"/>
        </w:rPr>
        <w:t xml:space="preserve"> poreikius.</w:t>
      </w:r>
      <w:r w:rsidR="0003491A" w:rsidRPr="0003491A">
        <w:rPr>
          <w:sz w:val="24"/>
          <w:szCs w:val="24"/>
        </w:rPr>
        <w:t xml:space="preserve"> </w:t>
      </w:r>
      <w:r w:rsidR="00024CB5">
        <w:rPr>
          <w:sz w:val="24"/>
          <w:szCs w:val="24"/>
        </w:rPr>
        <w:t>Tarnybai pateiktuose dokumentuose</w:t>
      </w:r>
      <w:r w:rsidR="0003491A" w:rsidRPr="0003491A">
        <w:rPr>
          <w:sz w:val="24"/>
          <w:szCs w:val="24"/>
        </w:rPr>
        <w:t xml:space="preserve"> nurodoma, kad nuo 2015 m. gruodžio 8 d. </w:t>
      </w:r>
      <w:r w:rsidR="005D0E2D">
        <w:rPr>
          <w:sz w:val="24"/>
          <w:szCs w:val="24"/>
        </w:rPr>
        <w:t xml:space="preserve">Lietuvoje </w:t>
      </w:r>
      <w:r w:rsidR="0003491A" w:rsidRPr="0003491A">
        <w:rPr>
          <w:sz w:val="24"/>
          <w:szCs w:val="24"/>
        </w:rPr>
        <w:t xml:space="preserve">veikiančioje Sistemoje </w:t>
      </w:r>
      <w:r w:rsidR="005D0E2D">
        <w:rPr>
          <w:sz w:val="24"/>
          <w:szCs w:val="24"/>
        </w:rPr>
        <w:t xml:space="preserve">visi </w:t>
      </w:r>
      <w:r w:rsidR="0003491A" w:rsidRPr="0003491A">
        <w:rPr>
          <w:sz w:val="24"/>
          <w:szCs w:val="24"/>
        </w:rPr>
        <w:t xml:space="preserve">dalyviai SEPA </w:t>
      </w:r>
      <w:r w:rsidR="0003491A" w:rsidRPr="0003491A">
        <w:rPr>
          <w:sz w:val="24"/>
          <w:szCs w:val="24"/>
          <w:lang w:eastAsia="lt-LT"/>
        </w:rPr>
        <w:t>kredito pervedimo nurodymus (SCT) kitiems SEPA mokėjimų erdvėje registruotiems mokėjimo paslaugų teikėjams gali teikti per Tiekėjo valdomą tarpuskaitos sistemą STEP2, o nuo 2016 m. balandžio 4 d. Sistemoje pradėt</w:t>
      </w:r>
      <w:r w:rsidR="0022316B">
        <w:rPr>
          <w:sz w:val="24"/>
          <w:szCs w:val="24"/>
          <w:lang w:eastAsia="lt-LT"/>
        </w:rPr>
        <w:t>a</w:t>
      </w:r>
      <w:r w:rsidR="0003491A" w:rsidRPr="0003491A">
        <w:rPr>
          <w:sz w:val="24"/>
          <w:szCs w:val="24"/>
          <w:lang w:eastAsia="lt-LT"/>
        </w:rPr>
        <w:t xml:space="preserve"> teikti SEPA tiesioginio debeto (SEPA </w:t>
      </w:r>
      <w:proofErr w:type="spellStart"/>
      <w:r w:rsidR="0003491A" w:rsidRPr="0003491A">
        <w:rPr>
          <w:sz w:val="24"/>
          <w:szCs w:val="24"/>
          <w:lang w:eastAsia="lt-LT"/>
        </w:rPr>
        <w:t>Core</w:t>
      </w:r>
      <w:proofErr w:type="spellEnd"/>
      <w:r w:rsidR="0003491A" w:rsidRPr="0003491A">
        <w:rPr>
          <w:sz w:val="24"/>
          <w:szCs w:val="24"/>
          <w:lang w:eastAsia="lt-LT"/>
        </w:rPr>
        <w:t xml:space="preserve"> </w:t>
      </w:r>
      <w:proofErr w:type="spellStart"/>
      <w:r w:rsidR="0003491A" w:rsidRPr="0003491A">
        <w:rPr>
          <w:sz w:val="24"/>
          <w:szCs w:val="24"/>
          <w:lang w:eastAsia="lt-LT"/>
        </w:rPr>
        <w:t>Direct</w:t>
      </w:r>
      <w:proofErr w:type="spellEnd"/>
      <w:r w:rsidR="0003491A" w:rsidRPr="0003491A">
        <w:rPr>
          <w:sz w:val="24"/>
          <w:szCs w:val="24"/>
          <w:lang w:eastAsia="lt-LT"/>
        </w:rPr>
        <w:t xml:space="preserve"> </w:t>
      </w:r>
      <w:proofErr w:type="spellStart"/>
      <w:r w:rsidR="0003491A" w:rsidRPr="0003491A">
        <w:rPr>
          <w:sz w:val="24"/>
          <w:szCs w:val="24"/>
          <w:lang w:eastAsia="lt-LT"/>
        </w:rPr>
        <w:t>Debit</w:t>
      </w:r>
      <w:proofErr w:type="spellEnd"/>
      <w:r w:rsidR="0003491A" w:rsidRPr="0003491A">
        <w:rPr>
          <w:sz w:val="24"/>
          <w:szCs w:val="24"/>
          <w:lang w:eastAsia="lt-LT"/>
        </w:rPr>
        <w:t>) paslauga</w:t>
      </w:r>
      <w:r w:rsidR="00024CB5">
        <w:rPr>
          <w:rStyle w:val="FootnoteReference"/>
          <w:sz w:val="24"/>
          <w:szCs w:val="24"/>
          <w:lang w:eastAsia="lt-LT"/>
        </w:rPr>
        <w:footnoteReference w:id="3"/>
      </w:r>
      <w:r w:rsidR="0003491A" w:rsidRPr="0003491A">
        <w:rPr>
          <w:sz w:val="24"/>
          <w:szCs w:val="24"/>
          <w:lang w:eastAsia="lt-LT"/>
        </w:rPr>
        <w:t xml:space="preserve">. Šios tiesioginės sąsajos su STEP2 sistema turėjimas </w:t>
      </w:r>
      <w:r w:rsidR="0003491A" w:rsidRPr="0003491A">
        <w:rPr>
          <w:sz w:val="24"/>
          <w:szCs w:val="24"/>
          <w:lang w:eastAsia="lt-LT"/>
        </w:rPr>
        <w:lastRenderedPageBreak/>
        <w:t xml:space="preserve">užtikrina, kad Perkančioji organizacija gali naudotis minėta sistema bei tinkamai vykdyti savo funkcijas, susijusias su SEPA kredito ir debeto mokėjimais (užtikrinti kredito ir debeto mokėjimų pasiekiamumą visoje SEPA erdvėje). </w:t>
      </w:r>
    </w:p>
    <w:p w14:paraId="74590C7A" w14:textId="44EA4559" w:rsidR="005D10AC" w:rsidRDefault="005D10AC" w:rsidP="00194CEC">
      <w:pPr>
        <w:pStyle w:val="FootnoteText"/>
        <w:ind w:firstLine="851"/>
        <w:jc w:val="both"/>
        <w:rPr>
          <w:sz w:val="24"/>
          <w:szCs w:val="24"/>
          <w:lang w:eastAsia="lt-LT"/>
        </w:rPr>
      </w:pPr>
      <w:r w:rsidRPr="00332210">
        <w:rPr>
          <w:sz w:val="24"/>
          <w:szCs w:val="24"/>
          <w:lang w:eastAsia="lt-LT"/>
        </w:rPr>
        <w:t xml:space="preserve">Perkančioji organizacija nurodo, kad jos valdoma Sistema </w:t>
      </w:r>
      <w:r w:rsidR="00843F4E">
        <w:rPr>
          <w:sz w:val="24"/>
          <w:szCs w:val="24"/>
          <w:lang w:eastAsia="lt-LT"/>
        </w:rPr>
        <w:t>sudaro</w:t>
      </w:r>
      <w:r w:rsidRPr="00332210">
        <w:rPr>
          <w:sz w:val="24"/>
          <w:szCs w:val="24"/>
          <w:lang w:eastAsia="lt-LT"/>
        </w:rPr>
        <w:t xml:space="preserve"> galimybę skatinti konkurenciją tarp Lietuvos mokėjimų rinkos dalyvių; Sistema suteikia techninę galimybę mažesniesiems mokėjimų rinkos dalyviams (kredito unijoms, mokėjimo paslaugų įstaigoms, elektroninių paslaugų įstaigoms bei pačiai Perkančiajai organizacijai) vykdyti SEPA kredito ir debeto mokėjimus visoje SEPA erdvėje turėdama tiesioginę sąsają su STEP2 sistema. Pažymi, jog mažesnieji rinkos dalyviai nėra pajėgūs tiesiogiai jungtis prie STEP2 sistemos. Todėl norėdama išlaikyti SEPA kredito ir debeto mokėjimo paslaugų tęstinumą ir toliau teikti SEPA kredito ir debeto mokėjimų paslaugas savo sistemos dalyviams, Perkančioji organizacija </w:t>
      </w:r>
      <w:r w:rsidR="0022316B">
        <w:rPr>
          <w:sz w:val="24"/>
          <w:szCs w:val="24"/>
          <w:lang w:eastAsia="lt-LT"/>
        </w:rPr>
        <w:t>siekia įsigyti paslaugas ir</w:t>
      </w:r>
      <w:r w:rsidR="0022316B" w:rsidRPr="00332210">
        <w:rPr>
          <w:sz w:val="24"/>
          <w:szCs w:val="24"/>
          <w:lang w:eastAsia="lt-LT"/>
        </w:rPr>
        <w:t xml:space="preserve"> </w:t>
      </w:r>
      <w:r w:rsidRPr="00332210">
        <w:rPr>
          <w:sz w:val="24"/>
          <w:szCs w:val="24"/>
          <w:lang w:eastAsia="lt-LT"/>
        </w:rPr>
        <w:t>pratęsti</w:t>
      </w:r>
      <w:r w:rsidRPr="00332210">
        <w:rPr>
          <w:rStyle w:val="FootnoteReference"/>
          <w:sz w:val="24"/>
          <w:szCs w:val="24"/>
          <w:lang w:eastAsia="lt-LT"/>
        </w:rPr>
        <w:footnoteReference w:id="4"/>
      </w:r>
      <w:r w:rsidRPr="00332210">
        <w:rPr>
          <w:sz w:val="24"/>
          <w:szCs w:val="24"/>
          <w:lang w:eastAsia="lt-LT"/>
        </w:rPr>
        <w:t xml:space="preserve"> tiesioginę sąsają su STEP2 sistema.</w:t>
      </w:r>
    </w:p>
    <w:p w14:paraId="4CFBC52F" w14:textId="6B0E8318" w:rsidR="007C3C61" w:rsidRPr="00194CEC" w:rsidRDefault="005C6AE6" w:rsidP="00194CEC">
      <w:pPr>
        <w:pStyle w:val="FootnoteText"/>
        <w:ind w:firstLine="851"/>
        <w:jc w:val="both"/>
        <w:rPr>
          <w:sz w:val="24"/>
          <w:szCs w:val="24"/>
          <w:lang w:eastAsia="lt-LT"/>
        </w:rPr>
      </w:pPr>
      <w:r w:rsidRPr="00221587">
        <w:rPr>
          <w:sz w:val="24"/>
          <w:szCs w:val="24"/>
          <w:lang w:eastAsia="lt-LT"/>
        </w:rPr>
        <w:t>Tarnybai pateiktame prašyme taip pat nurodoma, kad</w:t>
      </w:r>
      <w:r w:rsidR="0090238E" w:rsidRPr="00221587">
        <w:rPr>
          <w:sz w:val="24"/>
          <w:szCs w:val="24"/>
          <w:lang w:eastAsia="lt-LT"/>
        </w:rPr>
        <w:t xml:space="preserve"> </w:t>
      </w:r>
      <w:r w:rsidRPr="00221587">
        <w:rPr>
          <w:sz w:val="24"/>
          <w:szCs w:val="24"/>
          <w:lang w:eastAsia="lt-LT"/>
        </w:rPr>
        <w:t xml:space="preserve">Tiekėjo valdomi STEP2 kliringo namai yra vienintelė </w:t>
      </w:r>
      <w:proofErr w:type="spellStart"/>
      <w:r w:rsidRPr="00221587">
        <w:rPr>
          <w:sz w:val="24"/>
          <w:szCs w:val="24"/>
          <w:lang w:eastAsia="lt-LT"/>
        </w:rPr>
        <w:t>pan</w:t>
      </w:r>
      <w:proofErr w:type="spellEnd"/>
      <w:r w:rsidRPr="00221587">
        <w:rPr>
          <w:sz w:val="24"/>
          <w:szCs w:val="24"/>
          <w:lang w:eastAsia="lt-LT"/>
        </w:rPr>
        <w:t>-Europinė mokėjimo infrastruktūra, kuri buvo įkurta siekiant užtiktini visišką SEPA pasiekiamumą</w:t>
      </w:r>
      <w:r w:rsidR="00B80DFA" w:rsidRPr="00221587">
        <w:rPr>
          <w:sz w:val="24"/>
          <w:szCs w:val="24"/>
          <w:lang w:eastAsia="lt-LT"/>
        </w:rPr>
        <w:t xml:space="preserve">, reiškiantį, jog </w:t>
      </w:r>
      <w:r w:rsidRPr="00221587">
        <w:rPr>
          <w:sz w:val="24"/>
          <w:szCs w:val="24"/>
          <w:lang w:eastAsia="lt-LT"/>
        </w:rPr>
        <w:t>bankui ar kitam mokėjimo paslaugų teikėjui užtenka prisijungti prie vienos mokėjimo sistemos ar kliringo namų, kad jo inicijuoti mokėjimo nurodymai pasiektų bet kurį</w:t>
      </w:r>
      <w:r w:rsidR="00B80DFA" w:rsidRPr="00221587">
        <w:rPr>
          <w:sz w:val="24"/>
          <w:szCs w:val="24"/>
          <w:lang w:eastAsia="lt-LT"/>
        </w:rPr>
        <w:t xml:space="preserve"> SEPA erdvėje</w:t>
      </w:r>
      <w:r w:rsidR="00B80DFA" w:rsidRPr="00221587">
        <w:rPr>
          <w:rStyle w:val="FootnoteReference"/>
          <w:sz w:val="24"/>
          <w:szCs w:val="24"/>
          <w:lang w:eastAsia="lt-LT"/>
        </w:rPr>
        <w:footnoteReference w:id="5"/>
      </w:r>
      <w:r w:rsidRPr="00221587">
        <w:rPr>
          <w:sz w:val="24"/>
          <w:szCs w:val="24"/>
          <w:lang w:eastAsia="lt-LT"/>
        </w:rPr>
        <w:t xml:space="preserve"> </w:t>
      </w:r>
      <w:r w:rsidR="00B80DFA" w:rsidRPr="00221587">
        <w:rPr>
          <w:sz w:val="24"/>
          <w:szCs w:val="24"/>
        </w:rPr>
        <w:t>v</w:t>
      </w:r>
      <w:r w:rsidRPr="00221587">
        <w:rPr>
          <w:sz w:val="24"/>
          <w:szCs w:val="24"/>
          <w:lang w:eastAsia="lt-LT"/>
        </w:rPr>
        <w:t xml:space="preserve">eikiantį kitą mokėjimo paslaugų teikėją. Nacionalinės finansų rinkos infrastruktūros dėl konkurencinių priežasčių užtikrino tik pasiekiamumą šalies mastu, todėl mokėjimų rinkoje atsirado poreikis centrinei finansų rinkos infrastruktūrai, kurios vietą ir užėmė </w:t>
      </w:r>
      <w:r w:rsidR="0090238E" w:rsidRPr="00221587">
        <w:rPr>
          <w:sz w:val="24"/>
          <w:szCs w:val="24"/>
          <w:lang w:eastAsia="lt-LT"/>
        </w:rPr>
        <w:t>Tiekėjo</w:t>
      </w:r>
      <w:r w:rsidRPr="00221587">
        <w:rPr>
          <w:sz w:val="24"/>
          <w:szCs w:val="24"/>
          <w:lang w:eastAsia="lt-LT"/>
        </w:rPr>
        <w:t xml:space="preserve"> valdomi STEP2 kliringo namai. </w:t>
      </w:r>
      <w:r w:rsidR="0090238E" w:rsidRPr="00221587">
        <w:rPr>
          <w:sz w:val="24"/>
          <w:szCs w:val="24"/>
          <w:lang w:eastAsia="lt-LT"/>
        </w:rPr>
        <w:t xml:space="preserve">Perkančiosios organizacijos tvirtinimu, Sistemai reikia rinktis tiesioginę jungtį su STEP2 sistema, nes ji yra didžiausių Lietuvoje veikiančių komercinių bankų pasirinkimas ir tai yra vienintelė galimybė užtikrinti kreditinių ir debetinių mokėjimų pasiekiamumą Lietuvos mokėjimų rinkos paslaugų vartotojams. Pažymi, jog mokėjimų rinkoje yra labai svarbu, kad visi siuntėjai ir gavėjai būtų kiek įmanoma arčiau vienas kito, t. y. kad mokėjimai keliautų per kiek galima mažesnį tarpinių mokėjimo paslaugų teikėjų ir mokėjimo sistemų skaičių, todėl žvelgiant iš Lietuvos mokėjimo rinkos efektyvumo Perkančiajai organizacijai reikia tiesiogiai dalyvauti </w:t>
      </w:r>
      <w:r w:rsidR="00221587" w:rsidRPr="00221587">
        <w:rPr>
          <w:sz w:val="24"/>
          <w:szCs w:val="24"/>
          <w:lang w:eastAsia="lt-LT"/>
        </w:rPr>
        <w:t xml:space="preserve">Tiekėjo valdomoje </w:t>
      </w:r>
      <w:r w:rsidR="0090238E" w:rsidRPr="00221587">
        <w:rPr>
          <w:sz w:val="24"/>
          <w:szCs w:val="24"/>
          <w:lang w:eastAsia="lt-LT"/>
        </w:rPr>
        <w:t>STEP2 sistemoje</w:t>
      </w:r>
      <w:r w:rsidR="00194CEC">
        <w:rPr>
          <w:sz w:val="24"/>
          <w:szCs w:val="24"/>
          <w:lang w:eastAsia="lt-LT"/>
        </w:rPr>
        <w:t xml:space="preserve">. </w:t>
      </w:r>
      <w:r w:rsidR="007C3C61" w:rsidRPr="000C341A">
        <w:rPr>
          <w:sz w:val="24"/>
          <w:szCs w:val="24"/>
        </w:rPr>
        <w:t>Atsižvelgdama į aukščiau nurodytas aplinkybes</w:t>
      </w:r>
      <w:r w:rsidR="00106743">
        <w:rPr>
          <w:sz w:val="24"/>
          <w:szCs w:val="24"/>
        </w:rPr>
        <w:t xml:space="preserve"> bei įvertinusi, kad šiuo atveju dėl techninių priežasčių </w:t>
      </w:r>
      <w:r w:rsidR="00106743" w:rsidRPr="00F6447A">
        <w:rPr>
          <w:i/>
          <w:iCs/>
          <w:sz w:val="24"/>
          <w:szCs w:val="24"/>
        </w:rPr>
        <w:t>Pirkimu</w:t>
      </w:r>
      <w:r w:rsidR="00106743">
        <w:rPr>
          <w:sz w:val="24"/>
          <w:szCs w:val="24"/>
        </w:rPr>
        <w:t xml:space="preserve"> siekiamas įsigyti paslaugas suteikti gali tik konkretus tiekėjas, </w:t>
      </w:r>
      <w:r w:rsidR="007C3C61" w:rsidRPr="000C341A">
        <w:rPr>
          <w:sz w:val="24"/>
          <w:szCs w:val="24"/>
        </w:rPr>
        <w:t>Perkančio</w:t>
      </w:r>
      <w:r w:rsidR="00194CEC">
        <w:rPr>
          <w:sz w:val="24"/>
          <w:szCs w:val="24"/>
        </w:rPr>
        <w:t>sios</w:t>
      </w:r>
      <w:r w:rsidR="007C3C61" w:rsidRPr="000C341A">
        <w:rPr>
          <w:sz w:val="24"/>
          <w:szCs w:val="24"/>
        </w:rPr>
        <w:t xml:space="preserve"> organizacijos viešojo pirkimo komisija (toliau – Komisija) </w:t>
      </w:r>
      <w:r w:rsidR="00720416">
        <w:rPr>
          <w:sz w:val="24"/>
          <w:szCs w:val="24"/>
        </w:rPr>
        <w:t>nusprendė</w:t>
      </w:r>
      <w:r w:rsidR="007C3C61" w:rsidRPr="000C341A">
        <w:rPr>
          <w:sz w:val="24"/>
          <w:szCs w:val="24"/>
        </w:rPr>
        <w:t xml:space="preserve"> </w:t>
      </w:r>
      <w:r w:rsidR="007C3C61" w:rsidRPr="00F6447A">
        <w:rPr>
          <w:i/>
          <w:iCs/>
          <w:sz w:val="24"/>
          <w:szCs w:val="24"/>
        </w:rPr>
        <w:t>Pirkimą</w:t>
      </w:r>
      <w:r w:rsidR="007C3C61" w:rsidRPr="000C341A">
        <w:rPr>
          <w:sz w:val="24"/>
          <w:szCs w:val="24"/>
        </w:rPr>
        <w:t xml:space="preserve"> vykdyti neskelbiamų derybų būdu</w:t>
      </w:r>
      <w:r w:rsidR="007C3C61" w:rsidRPr="000C341A">
        <w:rPr>
          <w:sz w:val="24"/>
          <w:szCs w:val="24"/>
          <w:lang w:eastAsia="lt-LT"/>
        </w:rPr>
        <w:t xml:space="preserve"> kreipiantis į konkretų tiekėją – </w:t>
      </w:r>
      <w:r w:rsidR="007C3C61" w:rsidRPr="000C341A">
        <w:rPr>
          <w:sz w:val="24"/>
          <w:szCs w:val="24"/>
          <w:lang w:val="en-GB"/>
        </w:rPr>
        <w:t xml:space="preserve">ABE CLEARING S.A.S. à capital variable (EBA CLEARING) </w:t>
      </w:r>
      <w:r w:rsidR="000C4AE0">
        <w:rPr>
          <w:rFonts w:eastAsia="Calibri"/>
          <w:sz w:val="24"/>
          <w:szCs w:val="24"/>
        </w:rPr>
        <w:t xml:space="preserve">ir kreiptis į Tarnybą </w:t>
      </w:r>
      <w:r w:rsidR="000C4AE0" w:rsidRPr="0059709E">
        <w:rPr>
          <w:rFonts w:eastAsia="Calibri"/>
          <w:sz w:val="24"/>
          <w:szCs w:val="24"/>
        </w:rPr>
        <w:t>sutikimo</w:t>
      </w:r>
      <w:r w:rsidR="000C4AE0">
        <w:rPr>
          <w:rFonts w:eastAsia="Calibri"/>
          <w:sz w:val="24"/>
          <w:szCs w:val="24"/>
        </w:rPr>
        <w:t xml:space="preserve"> dėl tokio pirkimo būdo pasirinkimo</w:t>
      </w:r>
      <w:r w:rsidR="007C3C61" w:rsidRPr="000C341A">
        <w:rPr>
          <w:rStyle w:val="FootnoteReference"/>
          <w:sz w:val="24"/>
          <w:szCs w:val="24"/>
        </w:rPr>
        <w:footnoteReference w:id="6"/>
      </w:r>
      <w:r w:rsidR="007C3C61" w:rsidRPr="000C341A">
        <w:rPr>
          <w:sz w:val="24"/>
          <w:szCs w:val="24"/>
        </w:rPr>
        <w:t xml:space="preserve">. </w:t>
      </w:r>
      <w:r w:rsidR="007C3C61" w:rsidRPr="000C341A">
        <w:rPr>
          <w:rFonts w:eastAsia="Calibri"/>
          <w:sz w:val="24"/>
          <w:szCs w:val="24"/>
        </w:rPr>
        <w:t>2020 metų viešųjų pirkimų suvestinėje</w:t>
      </w:r>
      <w:r w:rsidR="007C3C61" w:rsidRPr="000C341A">
        <w:rPr>
          <w:rStyle w:val="FootnoteReference"/>
          <w:rFonts w:eastAsia="Calibri"/>
          <w:sz w:val="24"/>
          <w:szCs w:val="24"/>
        </w:rPr>
        <w:footnoteReference w:id="7"/>
      </w:r>
      <w:r w:rsidR="007C3C61" w:rsidRPr="000C341A">
        <w:rPr>
          <w:rFonts w:eastAsia="Calibri"/>
          <w:sz w:val="24"/>
          <w:szCs w:val="24"/>
        </w:rPr>
        <w:t xml:space="preserve"> </w:t>
      </w:r>
      <w:r w:rsidR="007C3C61" w:rsidRPr="000C341A">
        <w:rPr>
          <w:sz w:val="24"/>
          <w:szCs w:val="24"/>
        </w:rPr>
        <w:t>yra numa</w:t>
      </w:r>
      <w:r w:rsidR="00720416">
        <w:rPr>
          <w:sz w:val="24"/>
          <w:szCs w:val="24"/>
        </w:rPr>
        <w:t>tyta</w:t>
      </w:r>
      <w:r w:rsidR="007C3C61" w:rsidRPr="000C341A">
        <w:rPr>
          <w:sz w:val="24"/>
          <w:szCs w:val="24"/>
        </w:rPr>
        <w:t xml:space="preserve"> </w:t>
      </w:r>
      <w:r w:rsidR="007C3C61" w:rsidRPr="00F6447A">
        <w:rPr>
          <w:i/>
          <w:iCs/>
          <w:color w:val="000000" w:themeColor="text1"/>
          <w:sz w:val="24"/>
          <w:szCs w:val="24"/>
        </w:rPr>
        <w:t>Pirkimui</w:t>
      </w:r>
      <w:r w:rsidR="007C3C61" w:rsidRPr="000C341A">
        <w:rPr>
          <w:color w:val="000000" w:themeColor="text1"/>
          <w:sz w:val="24"/>
          <w:szCs w:val="24"/>
        </w:rPr>
        <w:t xml:space="preserve"> </w:t>
      </w:r>
      <w:r w:rsidR="007C3C61" w:rsidRPr="000C341A">
        <w:rPr>
          <w:rFonts w:eastAsia="Calibri"/>
          <w:color w:val="000000" w:themeColor="text1"/>
          <w:sz w:val="24"/>
          <w:szCs w:val="24"/>
        </w:rPr>
        <w:t>skirti</w:t>
      </w:r>
      <w:r w:rsidR="00106743">
        <w:rPr>
          <w:rFonts w:eastAsia="Calibri"/>
          <w:color w:val="000000" w:themeColor="text1"/>
          <w:sz w:val="24"/>
          <w:szCs w:val="24"/>
        </w:rPr>
        <w:t xml:space="preserve"> </w:t>
      </w:r>
      <w:r w:rsidR="00194CEC">
        <w:rPr>
          <w:rFonts w:eastAsia="Calibri"/>
          <w:color w:val="000000" w:themeColor="text1"/>
          <w:sz w:val="24"/>
          <w:szCs w:val="24"/>
        </w:rPr>
        <w:t>1 0</w:t>
      </w:r>
      <w:r w:rsidR="007C3C61" w:rsidRPr="000C341A">
        <w:rPr>
          <w:rFonts w:eastAsia="Calibri"/>
          <w:color w:val="000000" w:themeColor="text1"/>
          <w:sz w:val="24"/>
          <w:szCs w:val="24"/>
        </w:rPr>
        <w:t>00 000 Eur be PVM, numatoma paslaugų teikimo trukmė yra 36 mėnesiai.</w:t>
      </w:r>
    </w:p>
    <w:p w14:paraId="71C87BC1" w14:textId="5A7AE906" w:rsidR="007C3C61" w:rsidRPr="0009665F" w:rsidRDefault="007C3C61" w:rsidP="00194CEC">
      <w:pPr>
        <w:ind w:firstLine="851"/>
        <w:jc w:val="both"/>
        <w:rPr>
          <w:bCs/>
          <w:color w:val="000000" w:themeColor="text1"/>
          <w:sz w:val="24"/>
          <w:szCs w:val="24"/>
          <w:lang w:eastAsia="lt-LT"/>
        </w:rPr>
      </w:pPr>
      <w:r w:rsidRPr="0009665F">
        <w:rPr>
          <w:bCs/>
          <w:color w:val="000000" w:themeColor="text1"/>
          <w:sz w:val="24"/>
          <w:szCs w:val="24"/>
          <w:lang w:eastAsia="lt-LT"/>
        </w:rPr>
        <w:t xml:space="preserve">Įstatymo 71 straipsnio 1 dalies 2 punkto </w:t>
      </w:r>
      <w:r w:rsidR="002658F1">
        <w:rPr>
          <w:bCs/>
          <w:color w:val="000000" w:themeColor="text1"/>
          <w:sz w:val="24"/>
          <w:szCs w:val="24"/>
          <w:lang w:eastAsia="lt-LT"/>
        </w:rPr>
        <w:t>(</w:t>
      </w:r>
      <w:r w:rsidRPr="0009665F">
        <w:rPr>
          <w:bCs/>
          <w:color w:val="000000" w:themeColor="text1"/>
          <w:sz w:val="24"/>
          <w:szCs w:val="24"/>
          <w:lang w:eastAsia="lt-LT"/>
        </w:rPr>
        <w:t>b</w:t>
      </w:r>
      <w:r w:rsidR="002658F1">
        <w:rPr>
          <w:bCs/>
          <w:color w:val="000000" w:themeColor="text1"/>
          <w:sz w:val="24"/>
          <w:szCs w:val="24"/>
          <w:lang w:eastAsia="lt-LT"/>
        </w:rPr>
        <w:t>)</w:t>
      </w:r>
      <w:r w:rsidRPr="0009665F">
        <w:rPr>
          <w:bCs/>
          <w:color w:val="000000" w:themeColor="text1"/>
          <w:sz w:val="24"/>
          <w:szCs w:val="24"/>
          <w:lang w:eastAsia="lt-LT"/>
        </w:rPr>
        <w:t xml:space="preserve"> papunkčio nuostatose įtvirtinta, kad prekės, paslaugos ar darbai neskelbiamų derybų būdu gali būti perkam</w:t>
      </w:r>
      <w:r w:rsidR="002658F1">
        <w:rPr>
          <w:bCs/>
          <w:color w:val="000000" w:themeColor="text1"/>
          <w:sz w:val="24"/>
          <w:szCs w:val="24"/>
          <w:lang w:eastAsia="lt-LT"/>
        </w:rPr>
        <w:t>i</w:t>
      </w:r>
      <w:r w:rsidRPr="0009665F">
        <w:rPr>
          <w:bCs/>
          <w:color w:val="000000" w:themeColor="text1"/>
          <w:sz w:val="24"/>
          <w:szCs w:val="24"/>
          <w:lang w:eastAsia="lt-LT"/>
        </w:rPr>
        <w:t xml:space="preserve">: </w:t>
      </w:r>
      <w:r w:rsidRPr="0009665F">
        <w:rPr>
          <w:bCs/>
          <w:i/>
          <w:iCs/>
          <w:color w:val="000000" w:themeColor="text1"/>
          <w:sz w:val="24"/>
          <w:szCs w:val="24"/>
          <w:lang w:eastAsia="lt-LT"/>
        </w:rPr>
        <w:t>„jeigu prekes pati</w:t>
      </w:r>
      <w:r w:rsidR="002658F1">
        <w:rPr>
          <w:bCs/>
          <w:i/>
          <w:iCs/>
          <w:color w:val="000000" w:themeColor="text1"/>
          <w:sz w:val="24"/>
          <w:szCs w:val="24"/>
          <w:lang w:eastAsia="lt-LT"/>
        </w:rPr>
        <w:t>e</w:t>
      </w:r>
      <w:r w:rsidRPr="0009665F">
        <w:rPr>
          <w:bCs/>
          <w:i/>
          <w:iCs/>
          <w:color w:val="000000" w:themeColor="text1"/>
          <w:sz w:val="24"/>
          <w:szCs w:val="24"/>
          <w:lang w:eastAsia="lt-LT"/>
        </w:rPr>
        <w:t>kti, paslaugas teikti ar darbus atlikti gali tik konkretus tiekėjas dėl vienos iš šių priežasčių: &lt;...&gt; b) konkurencijos nėra dėl techninių priežasčių;  &lt;...&gt;“</w:t>
      </w:r>
      <w:r w:rsidRPr="0009665F">
        <w:rPr>
          <w:bCs/>
          <w:color w:val="000000" w:themeColor="text1"/>
          <w:sz w:val="24"/>
          <w:szCs w:val="24"/>
          <w:lang w:eastAsia="lt-LT"/>
        </w:rPr>
        <w:t xml:space="preserve">. </w:t>
      </w:r>
    </w:p>
    <w:p w14:paraId="33409998" w14:textId="54D32D51" w:rsidR="007C3C61" w:rsidRPr="0009665F" w:rsidRDefault="007C3C61" w:rsidP="00194CEC">
      <w:pPr>
        <w:ind w:firstLine="851"/>
        <w:jc w:val="both"/>
        <w:rPr>
          <w:bCs/>
          <w:color w:val="000000" w:themeColor="text1"/>
          <w:sz w:val="24"/>
          <w:szCs w:val="24"/>
          <w:lang w:eastAsia="lt-LT"/>
        </w:rPr>
      </w:pPr>
      <w:r w:rsidRPr="0009665F">
        <w:rPr>
          <w:bCs/>
          <w:color w:val="000000" w:themeColor="text1"/>
          <w:sz w:val="24"/>
          <w:szCs w:val="24"/>
          <w:lang w:eastAsia="lt-LT"/>
        </w:rPr>
        <w:t>Perkančiosios organizacijos prašyme nurodytos aplinkybės, pateikti dokumentai bei papildoma</w:t>
      </w:r>
      <w:r w:rsidR="00720416">
        <w:rPr>
          <w:bCs/>
          <w:color w:val="000000" w:themeColor="text1"/>
          <w:sz w:val="24"/>
          <w:szCs w:val="24"/>
          <w:lang w:eastAsia="lt-LT"/>
        </w:rPr>
        <w:t>i pateikta</w:t>
      </w:r>
      <w:r w:rsidRPr="0009665F">
        <w:rPr>
          <w:bCs/>
          <w:color w:val="000000" w:themeColor="text1"/>
          <w:sz w:val="24"/>
          <w:szCs w:val="24"/>
          <w:lang w:eastAsia="lt-LT"/>
        </w:rPr>
        <w:t xml:space="preserve"> informacija patvirtina, jog </w:t>
      </w:r>
      <w:r>
        <w:rPr>
          <w:bCs/>
          <w:color w:val="000000" w:themeColor="text1"/>
          <w:sz w:val="24"/>
          <w:szCs w:val="24"/>
          <w:lang w:eastAsia="lt-LT"/>
        </w:rPr>
        <w:t xml:space="preserve">šiuo metu </w:t>
      </w:r>
      <w:r w:rsidRPr="001121E2">
        <w:rPr>
          <w:bCs/>
          <w:i/>
          <w:iCs/>
          <w:color w:val="000000" w:themeColor="text1"/>
          <w:sz w:val="24"/>
          <w:szCs w:val="24"/>
          <w:lang w:eastAsia="lt-LT"/>
        </w:rPr>
        <w:t>Pirkimu</w:t>
      </w:r>
      <w:r w:rsidRPr="0009665F">
        <w:rPr>
          <w:bCs/>
          <w:color w:val="000000" w:themeColor="text1"/>
          <w:sz w:val="24"/>
          <w:szCs w:val="24"/>
          <w:lang w:eastAsia="lt-LT"/>
        </w:rPr>
        <w:t xml:space="preserve"> siekiamas įsigyti paslaugas</w:t>
      </w:r>
      <w:r>
        <w:rPr>
          <w:bCs/>
          <w:color w:val="000000" w:themeColor="text1"/>
          <w:sz w:val="24"/>
          <w:szCs w:val="24"/>
          <w:lang w:eastAsia="lt-LT"/>
        </w:rPr>
        <w:t xml:space="preserve"> –</w:t>
      </w:r>
      <w:r w:rsidRPr="0009665F">
        <w:rPr>
          <w:bCs/>
          <w:color w:val="000000" w:themeColor="text1"/>
          <w:sz w:val="24"/>
          <w:szCs w:val="24"/>
          <w:lang w:eastAsia="lt-LT"/>
        </w:rPr>
        <w:t xml:space="preserve"> </w:t>
      </w:r>
      <w:r w:rsidR="002658F1">
        <w:rPr>
          <w:bCs/>
          <w:color w:val="000000" w:themeColor="text1"/>
          <w:sz w:val="24"/>
          <w:szCs w:val="24"/>
          <w:lang w:eastAsia="lt-LT"/>
        </w:rPr>
        <w:t>kreditinių ir debetinių mokėjimų apdorojimo ir vykdymo (prisijungimo prie STEP2)</w:t>
      </w:r>
      <w:r w:rsidR="00720416" w:rsidRPr="00F6447A">
        <w:rPr>
          <w:bCs/>
          <w:color w:val="000000" w:themeColor="text1"/>
          <w:sz w:val="24"/>
          <w:szCs w:val="24"/>
          <w:lang w:eastAsia="lt-LT"/>
        </w:rPr>
        <w:t xml:space="preserve"> paslaug</w:t>
      </w:r>
      <w:r w:rsidR="001121E2">
        <w:rPr>
          <w:bCs/>
          <w:color w:val="000000" w:themeColor="text1"/>
          <w:sz w:val="24"/>
          <w:szCs w:val="24"/>
          <w:lang w:eastAsia="lt-LT"/>
        </w:rPr>
        <w:t>a</w:t>
      </w:r>
      <w:r w:rsidR="00C478DA" w:rsidRPr="00F6447A">
        <w:rPr>
          <w:bCs/>
          <w:color w:val="000000" w:themeColor="text1"/>
          <w:sz w:val="24"/>
          <w:szCs w:val="24"/>
          <w:lang w:eastAsia="lt-LT"/>
        </w:rPr>
        <w:t>s</w:t>
      </w:r>
      <w:r w:rsidR="00AA712B">
        <w:rPr>
          <w:bCs/>
          <w:color w:val="000000" w:themeColor="text1"/>
          <w:sz w:val="24"/>
          <w:szCs w:val="24"/>
          <w:lang w:eastAsia="lt-LT"/>
        </w:rPr>
        <w:t xml:space="preserve">, </w:t>
      </w:r>
      <w:r w:rsidRPr="006118BE">
        <w:rPr>
          <w:sz w:val="24"/>
          <w:szCs w:val="24"/>
        </w:rPr>
        <w:t>dėl techninių priežasčių gali suteikti tik konkretus tiekėjas</w:t>
      </w:r>
      <w:r>
        <w:rPr>
          <w:sz w:val="24"/>
          <w:szCs w:val="24"/>
        </w:rPr>
        <w:t xml:space="preserve">, t. y. </w:t>
      </w:r>
      <w:r w:rsidRPr="0009665F">
        <w:rPr>
          <w:bCs/>
          <w:color w:val="000000" w:themeColor="text1"/>
          <w:sz w:val="24"/>
          <w:szCs w:val="24"/>
          <w:lang w:eastAsia="lt-LT"/>
        </w:rPr>
        <w:t xml:space="preserve">nagrinėjamu atveju yra tenkinamos neskelbiamų derybų sąlygos, nurodytos Įstatymo 71 straipsnio 1 dalies 2 punkto (b) papunktyje. Įvertinusi aukščiau nurodytą bei vadovaudamasi Įstatymo 95 straipsnio 2 dalies 6 punkto nuostatomis, </w:t>
      </w:r>
      <w:r w:rsidRPr="0009665F">
        <w:rPr>
          <w:b/>
          <w:color w:val="000000" w:themeColor="text1"/>
          <w:sz w:val="24"/>
          <w:szCs w:val="24"/>
          <w:lang w:eastAsia="lt-LT"/>
        </w:rPr>
        <w:lastRenderedPageBreak/>
        <w:t>Tarnyba sutinka</w:t>
      </w:r>
      <w:r w:rsidRPr="0009665F">
        <w:rPr>
          <w:bCs/>
          <w:color w:val="000000" w:themeColor="text1"/>
          <w:sz w:val="24"/>
          <w:szCs w:val="24"/>
          <w:lang w:eastAsia="lt-LT"/>
        </w:rPr>
        <w:t xml:space="preserve">, kad Perkančioji organizacija </w:t>
      </w:r>
      <w:r w:rsidRPr="00C478DA">
        <w:rPr>
          <w:bCs/>
          <w:i/>
          <w:iCs/>
          <w:color w:val="000000" w:themeColor="text1"/>
          <w:sz w:val="24"/>
          <w:szCs w:val="24"/>
          <w:lang w:eastAsia="lt-LT"/>
        </w:rPr>
        <w:t>Pirkimą</w:t>
      </w:r>
      <w:r w:rsidRPr="0009665F">
        <w:rPr>
          <w:bCs/>
          <w:color w:val="000000" w:themeColor="text1"/>
          <w:sz w:val="24"/>
          <w:szCs w:val="24"/>
          <w:lang w:eastAsia="lt-LT"/>
        </w:rPr>
        <w:t xml:space="preserve"> vykdytų neskelbiamų derybų būdu, vadovaujantis Įstatymo 71 straipsnio 1 dalies 2 punkto (b) papunkčio nuostatomis, į derybas kviečiant konkretų tiekėją – ABE CLEARING S.A.S. à </w:t>
      </w:r>
      <w:proofErr w:type="spellStart"/>
      <w:r w:rsidRPr="0009665F">
        <w:rPr>
          <w:bCs/>
          <w:color w:val="000000" w:themeColor="text1"/>
          <w:sz w:val="24"/>
          <w:szCs w:val="24"/>
          <w:lang w:eastAsia="lt-LT"/>
        </w:rPr>
        <w:t>capital</w:t>
      </w:r>
      <w:proofErr w:type="spellEnd"/>
      <w:r w:rsidRPr="0009665F">
        <w:rPr>
          <w:bCs/>
          <w:color w:val="000000" w:themeColor="text1"/>
          <w:sz w:val="24"/>
          <w:szCs w:val="24"/>
          <w:lang w:eastAsia="lt-LT"/>
        </w:rPr>
        <w:t xml:space="preserve"> </w:t>
      </w:r>
      <w:proofErr w:type="spellStart"/>
      <w:r w:rsidRPr="0009665F">
        <w:rPr>
          <w:bCs/>
          <w:color w:val="000000" w:themeColor="text1"/>
          <w:sz w:val="24"/>
          <w:szCs w:val="24"/>
          <w:lang w:eastAsia="lt-LT"/>
        </w:rPr>
        <w:t>variable</w:t>
      </w:r>
      <w:proofErr w:type="spellEnd"/>
      <w:r w:rsidRPr="0009665F">
        <w:rPr>
          <w:bCs/>
          <w:color w:val="000000" w:themeColor="text1"/>
          <w:sz w:val="24"/>
          <w:szCs w:val="24"/>
          <w:lang w:eastAsia="lt-LT"/>
        </w:rPr>
        <w:t xml:space="preserve"> (EBA CLEARING).</w:t>
      </w:r>
    </w:p>
    <w:p w14:paraId="53AF5785" w14:textId="32357FDD" w:rsidR="00F6447A" w:rsidRDefault="00F6447A" w:rsidP="00621E03">
      <w:pPr>
        <w:jc w:val="both"/>
        <w:rPr>
          <w:bCs/>
          <w:color w:val="000000" w:themeColor="text1"/>
          <w:sz w:val="24"/>
          <w:szCs w:val="24"/>
          <w:lang w:eastAsia="lt-LT"/>
        </w:rPr>
      </w:pPr>
    </w:p>
    <w:p w14:paraId="497705D8" w14:textId="76281106" w:rsidR="00843F4E" w:rsidRDefault="00843F4E" w:rsidP="00621E03">
      <w:pPr>
        <w:jc w:val="both"/>
        <w:rPr>
          <w:bCs/>
          <w:color w:val="000000" w:themeColor="text1"/>
          <w:sz w:val="24"/>
          <w:szCs w:val="24"/>
          <w:lang w:eastAsia="lt-LT"/>
        </w:rPr>
      </w:pPr>
    </w:p>
    <w:p w14:paraId="7A22000C" w14:textId="0568C9B8" w:rsidR="00843F4E" w:rsidRDefault="00843F4E" w:rsidP="00621E03">
      <w:pPr>
        <w:jc w:val="both"/>
        <w:rPr>
          <w:bCs/>
          <w:color w:val="000000" w:themeColor="text1"/>
          <w:sz w:val="24"/>
          <w:szCs w:val="24"/>
          <w:lang w:eastAsia="lt-LT"/>
        </w:rPr>
      </w:pPr>
    </w:p>
    <w:p w14:paraId="200F46FA" w14:textId="77777777" w:rsidR="00843F4E" w:rsidRPr="0009665F" w:rsidRDefault="00843F4E" w:rsidP="00621E03">
      <w:pPr>
        <w:jc w:val="both"/>
        <w:rPr>
          <w:bCs/>
          <w:color w:val="000000" w:themeColor="text1"/>
          <w:sz w:val="24"/>
          <w:szCs w:val="24"/>
          <w:lang w:eastAsia="lt-LT"/>
        </w:rPr>
      </w:pPr>
    </w:p>
    <w:p w14:paraId="08BD5958" w14:textId="77777777" w:rsidR="007C3C61" w:rsidRPr="0009665F" w:rsidRDefault="007C3C61" w:rsidP="007C3C61">
      <w:pPr>
        <w:jc w:val="both"/>
        <w:rPr>
          <w:bCs/>
          <w:color w:val="000000" w:themeColor="text1"/>
          <w:sz w:val="24"/>
          <w:szCs w:val="24"/>
          <w:lang w:eastAsia="lt-LT"/>
        </w:rPr>
      </w:pPr>
      <w:r w:rsidRPr="0009665F">
        <w:rPr>
          <w:rFonts w:eastAsia="Calibri"/>
          <w:sz w:val="24"/>
          <w:szCs w:val="24"/>
        </w:rPr>
        <w:t xml:space="preserve">Direktoriaus pavaduotoja, </w:t>
      </w:r>
    </w:p>
    <w:p w14:paraId="639B0746" w14:textId="3A9DB773" w:rsidR="00F6447A" w:rsidRDefault="007C3C61" w:rsidP="00621E03">
      <w:pPr>
        <w:tabs>
          <w:tab w:val="left" w:pos="1134"/>
        </w:tabs>
        <w:jc w:val="both"/>
        <w:rPr>
          <w:sz w:val="24"/>
          <w:szCs w:val="24"/>
        </w:rPr>
      </w:pPr>
      <w:r w:rsidRPr="0009665F">
        <w:rPr>
          <w:rFonts w:eastAsia="Calibri"/>
          <w:sz w:val="24"/>
          <w:szCs w:val="24"/>
        </w:rPr>
        <w:t>laikinai atliekanti direktoriaus funkcijas</w:t>
      </w:r>
      <w:r w:rsidRPr="0009665F">
        <w:rPr>
          <w:sz w:val="24"/>
          <w:szCs w:val="24"/>
        </w:rPr>
        <w:tab/>
      </w:r>
      <w:r w:rsidRPr="0009665F">
        <w:rPr>
          <w:sz w:val="24"/>
          <w:szCs w:val="24"/>
        </w:rPr>
        <w:tab/>
      </w:r>
      <w:r w:rsidRPr="0009665F">
        <w:rPr>
          <w:sz w:val="24"/>
          <w:szCs w:val="24"/>
        </w:rPr>
        <w:tab/>
      </w:r>
      <w:r w:rsidRPr="0009665F">
        <w:rPr>
          <w:sz w:val="24"/>
          <w:szCs w:val="24"/>
        </w:rPr>
        <w:tab/>
        <w:t xml:space="preserve">  Jovita Petkuv</w:t>
      </w:r>
      <w:r w:rsidR="00621E03">
        <w:rPr>
          <w:sz w:val="24"/>
          <w:szCs w:val="24"/>
        </w:rPr>
        <w:t>ienė</w:t>
      </w:r>
    </w:p>
    <w:p w14:paraId="4D72EC29" w14:textId="77777777" w:rsidR="00F6447A" w:rsidRDefault="00F6447A" w:rsidP="007C3C61">
      <w:pPr>
        <w:rPr>
          <w:sz w:val="24"/>
          <w:szCs w:val="24"/>
        </w:rPr>
      </w:pPr>
    </w:p>
    <w:p w14:paraId="4CDAB1AB" w14:textId="77777777" w:rsidR="00F6447A" w:rsidRDefault="00F6447A" w:rsidP="007C3C61">
      <w:pPr>
        <w:rPr>
          <w:sz w:val="24"/>
          <w:szCs w:val="24"/>
        </w:rPr>
      </w:pPr>
    </w:p>
    <w:p w14:paraId="7CDEBF9D" w14:textId="77777777" w:rsidR="00F6447A" w:rsidRDefault="00F6447A" w:rsidP="007C3C61">
      <w:pPr>
        <w:rPr>
          <w:sz w:val="24"/>
          <w:szCs w:val="24"/>
        </w:rPr>
      </w:pPr>
    </w:p>
    <w:p w14:paraId="0869E9B7" w14:textId="0522A1F7" w:rsidR="007C3C61" w:rsidRDefault="007C3C61" w:rsidP="007C3C61">
      <w:pPr>
        <w:rPr>
          <w:sz w:val="24"/>
          <w:szCs w:val="24"/>
        </w:rPr>
      </w:pPr>
    </w:p>
    <w:p w14:paraId="1CAC3C9A" w14:textId="09E86196" w:rsidR="00843F4E" w:rsidRDefault="00843F4E" w:rsidP="007C3C61">
      <w:pPr>
        <w:rPr>
          <w:sz w:val="24"/>
          <w:szCs w:val="24"/>
        </w:rPr>
      </w:pPr>
    </w:p>
    <w:p w14:paraId="32F4802C" w14:textId="68E5F92A" w:rsidR="001014BB" w:rsidRDefault="001014BB" w:rsidP="007C3C61">
      <w:pPr>
        <w:rPr>
          <w:sz w:val="24"/>
          <w:szCs w:val="24"/>
        </w:rPr>
      </w:pPr>
    </w:p>
    <w:p w14:paraId="5994B0A6" w14:textId="3849BBD4" w:rsidR="001014BB" w:rsidRDefault="001014BB" w:rsidP="007C3C61">
      <w:pPr>
        <w:rPr>
          <w:sz w:val="24"/>
          <w:szCs w:val="24"/>
        </w:rPr>
      </w:pPr>
    </w:p>
    <w:p w14:paraId="7FB78097" w14:textId="3DCD131F" w:rsidR="001014BB" w:rsidRDefault="001014BB" w:rsidP="007C3C61">
      <w:pPr>
        <w:rPr>
          <w:sz w:val="24"/>
          <w:szCs w:val="24"/>
        </w:rPr>
      </w:pPr>
    </w:p>
    <w:p w14:paraId="7F63663F" w14:textId="235684DC" w:rsidR="001014BB" w:rsidRDefault="001014BB" w:rsidP="007C3C61">
      <w:pPr>
        <w:rPr>
          <w:sz w:val="24"/>
          <w:szCs w:val="24"/>
        </w:rPr>
      </w:pPr>
    </w:p>
    <w:p w14:paraId="4933BD12" w14:textId="60E92A83" w:rsidR="001014BB" w:rsidRDefault="001014BB" w:rsidP="007C3C61">
      <w:pPr>
        <w:rPr>
          <w:sz w:val="24"/>
          <w:szCs w:val="24"/>
        </w:rPr>
      </w:pPr>
    </w:p>
    <w:p w14:paraId="6C10CEA9" w14:textId="5BD518E3" w:rsidR="001014BB" w:rsidRDefault="001014BB" w:rsidP="007C3C61">
      <w:pPr>
        <w:rPr>
          <w:sz w:val="24"/>
          <w:szCs w:val="24"/>
        </w:rPr>
      </w:pPr>
    </w:p>
    <w:p w14:paraId="1928A119" w14:textId="46B8ED63" w:rsidR="001014BB" w:rsidRDefault="001014BB" w:rsidP="007C3C61">
      <w:pPr>
        <w:rPr>
          <w:sz w:val="24"/>
          <w:szCs w:val="24"/>
        </w:rPr>
      </w:pPr>
    </w:p>
    <w:p w14:paraId="3F77B65F" w14:textId="6E9C3852" w:rsidR="001014BB" w:rsidRDefault="001014BB" w:rsidP="007C3C61">
      <w:pPr>
        <w:rPr>
          <w:sz w:val="24"/>
          <w:szCs w:val="24"/>
        </w:rPr>
      </w:pPr>
    </w:p>
    <w:p w14:paraId="7A298B82" w14:textId="26DA05D2" w:rsidR="001014BB" w:rsidRDefault="001014BB" w:rsidP="007C3C61">
      <w:pPr>
        <w:rPr>
          <w:sz w:val="24"/>
          <w:szCs w:val="24"/>
        </w:rPr>
      </w:pPr>
    </w:p>
    <w:p w14:paraId="151E0C0E" w14:textId="3CC1227E" w:rsidR="001014BB" w:rsidRDefault="001014BB" w:rsidP="007C3C61">
      <w:pPr>
        <w:rPr>
          <w:sz w:val="24"/>
          <w:szCs w:val="24"/>
        </w:rPr>
      </w:pPr>
    </w:p>
    <w:p w14:paraId="58551875" w14:textId="539834CB" w:rsidR="001014BB" w:rsidRDefault="001014BB" w:rsidP="007C3C61">
      <w:pPr>
        <w:rPr>
          <w:sz w:val="24"/>
          <w:szCs w:val="24"/>
        </w:rPr>
      </w:pPr>
    </w:p>
    <w:p w14:paraId="112E25FE" w14:textId="3274375F" w:rsidR="001014BB" w:rsidRDefault="001014BB" w:rsidP="007C3C61">
      <w:pPr>
        <w:rPr>
          <w:sz w:val="24"/>
          <w:szCs w:val="24"/>
        </w:rPr>
      </w:pPr>
    </w:p>
    <w:p w14:paraId="2F7D16E6" w14:textId="6CE431CB" w:rsidR="001014BB" w:rsidRDefault="001014BB" w:rsidP="007C3C61">
      <w:pPr>
        <w:rPr>
          <w:sz w:val="24"/>
          <w:szCs w:val="24"/>
        </w:rPr>
      </w:pPr>
    </w:p>
    <w:p w14:paraId="09573A73" w14:textId="726A116F" w:rsidR="001014BB" w:rsidRDefault="001014BB" w:rsidP="007C3C61">
      <w:pPr>
        <w:rPr>
          <w:sz w:val="24"/>
          <w:szCs w:val="24"/>
        </w:rPr>
      </w:pPr>
    </w:p>
    <w:p w14:paraId="6A2BD059" w14:textId="2DE4DE72" w:rsidR="001014BB" w:rsidRDefault="001014BB" w:rsidP="007C3C61">
      <w:pPr>
        <w:rPr>
          <w:sz w:val="24"/>
          <w:szCs w:val="24"/>
        </w:rPr>
      </w:pPr>
    </w:p>
    <w:p w14:paraId="40367569" w14:textId="04430741" w:rsidR="001014BB" w:rsidRDefault="001014BB" w:rsidP="007C3C61">
      <w:pPr>
        <w:rPr>
          <w:sz w:val="24"/>
          <w:szCs w:val="24"/>
        </w:rPr>
      </w:pPr>
    </w:p>
    <w:p w14:paraId="1A79EE61" w14:textId="52BAC7B1" w:rsidR="001014BB" w:rsidRDefault="001014BB" w:rsidP="007C3C61">
      <w:pPr>
        <w:rPr>
          <w:sz w:val="24"/>
          <w:szCs w:val="24"/>
        </w:rPr>
      </w:pPr>
    </w:p>
    <w:p w14:paraId="628BC3F0" w14:textId="26E8CAF2" w:rsidR="001014BB" w:rsidRDefault="001014BB" w:rsidP="007C3C61">
      <w:pPr>
        <w:rPr>
          <w:sz w:val="24"/>
          <w:szCs w:val="24"/>
        </w:rPr>
      </w:pPr>
    </w:p>
    <w:p w14:paraId="4BBE69F3" w14:textId="62F3666B" w:rsidR="001014BB" w:rsidRDefault="001014BB" w:rsidP="007C3C61">
      <w:pPr>
        <w:rPr>
          <w:sz w:val="24"/>
          <w:szCs w:val="24"/>
        </w:rPr>
      </w:pPr>
    </w:p>
    <w:p w14:paraId="2EACFA3A" w14:textId="3D08575D" w:rsidR="001014BB" w:rsidRDefault="001014BB" w:rsidP="007C3C61">
      <w:pPr>
        <w:rPr>
          <w:sz w:val="24"/>
          <w:szCs w:val="24"/>
        </w:rPr>
      </w:pPr>
    </w:p>
    <w:p w14:paraId="040C71E4" w14:textId="6C79E8E7" w:rsidR="001014BB" w:rsidRDefault="001014BB" w:rsidP="007C3C61">
      <w:pPr>
        <w:rPr>
          <w:sz w:val="24"/>
          <w:szCs w:val="24"/>
        </w:rPr>
      </w:pPr>
    </w:p>
    <w:p w14:paraId="1BE8E526" w14:textId="50ABA6C4" w:rsidR="001014BB" w:rsidRDefault="001014BB" w:rsidP="007C3C61">
      <w:pPr>
        <w:rPr>
          <w:sz w:val="24"/>
          <w:szCs w:val="24"/>
        </w:rPr>
      </w:pPr>
    </w:p>
    <w:p w14:paraId="64297D60" w14:textId="26BBB35A" w:rsidR="001014BB" w:rsidRDefault="001014BB" w:rsidP="007C3C61">
      <w:pPr>
        <w:rPr>
          <w:sz w:val="24"/>
          <w:szCs w:val="24"/>
        </w:rPr>
      </w:pPr>
    </w:p>
    <w:p w14:paraId="09DC579E" w14:textId="651A0CA8" w:rsidR="001014BB" w:rsidRDefault="001014BB" w:rsidP="007C3C61">
      <w:pPr>
        <w:rPr>
          <w:sz w:val="24"/>
          <w:szCs w:val="24"/>
        </w:rPr>
      </w:pPr>
    </w:p>
    <w:p w14:paraId="33647514" w14:textId="2FEC5742" w:rsidR="001014BB" w:rsidRDefault="001014BB" w:rsidP="007C3C61">
      <w:pPr>
        <w:rPr>
          <w:sz w:val="24"/>
          <w:szCs w:val="24"/>
        </w:rPr>
      </w:pPr>
    </w:p>
    <w:p w14:paraId="18DC5466" w14:textId="579E833A" w:rsidR="001014BB" w:rsidRDefault="001014BB" w:rsidP="007C3C61">
      <w:pPr>
        <w:rPr>
          <w:sz w:val="24"/>
          <w:szCs w:val="24"/>
        </w:rPr>
      </w:pPr>
    </w:p>
    <w:p w14:paraId="771D2E6B" w14:textId="358AC3B8" w:rsidR="001014BB" w:rsidRDefault="001014BB" w:rsidP="007C3C61">
      <w:pPr>
        <w:rPr>
          <w:sz w:val="24"/>
          <w:szCs w:val="24"/>
        </w:rPr>
      </w:pPr>
    </w:p>
    <w:p w14:paraId="278345A2" w14:textId="72131EE1" w:rsidR="001014BB" w:rsidRDefault="001014BB" w:rsidP="007C3C61">
      <w:pPr>
        <w:rPr>
          <w:sz w:val="24"/>
          <w:szCs w:val="24"/>
        </w:rPr>
      </w:pPr>
    </w:p>
    <w:p w14:paraId="6294A56E" w14:textId="7B9B6B5D" w:rsidR="001014BB" w:rsidRDefault="001014BB" w:rsidP="007C3C61">
      <w:pPr>
        <w:rPr>
          <w:sz w:val="24"/>
          <w:szCs w:val="24"/>
        </w:rPr>
      </w:pPr>
    </w:p>
    <w:p w14:paraId="1472B909" w14:textId="103157A1" w:rsidR="001014BB" w:rsidRDefault="001014BB" w:rsidP="007C3C61">
      <w:pPr>
        <w:rPr>
          <w:sz w:val="24"/>
          <w:szCs w:val="24"/>
        </w:rPr>
      </w:pPr>
    </w:p>
    <w:p w14:paraId="4AB46782" w14:textId="77777777" w:rsidR="001014BB" w:rsidRDefault="001014BB" w:rsidP="007C3C61">
      <w:pPr>
        <w:rPr>
          <w:sz w:val="24"/>
          <w:szCs w:val="24"/>
        </w:rPr>
      </w:pPr>
    </w:p>
    <w:p w14:paraId="36EDFF3E" w14:textId="6365BF58" w:rsidR="00843F4E" w:rsidRDefault="00843F4E" w:rsidP="007C3C61">
      <w:pPr>
        <w:rPr>
          <w:sz w:val="24"/>
          <w:szCs w:val="24"/>
        </w:rPr>
      </w:pPr>
    </w:p>
    <w:p w14:paraId="516A7A4B" w14:textId="7CE27B97" w:rsidR="00843F4E" w:rsidRDefault="00843F4E" w:rsidP="007C3C61">
      <w:pPr>
        <w:rPr>
          <w:sz w:val="24"/>
          <w:szCs w:val="24"/>
        </w:rPr>
      </w:pPr>
    </w:p>
    <w:p w14:paraId="17AC42B9" w14:textId="46887837" w:rsidR="00843F4E" w:rsidRDefault="00843F4E" w:rsidP="007C3C61">
      <w:pPr>
        <w:rPr>
          <w:sz w:val="24"/>
          <w:szCs w:val="24"/>
        </w:rPr>
      </w:pPr>
    </w:p>
    <w:p w14:paraId="7C78BAFB" w14:textId="77777777" w:rsidR="00843F4E" w:rsidRDefault="00843F4E" w:rsidP="007C3C61">
      <w:pPr>
        <w:rPr>
          <w:sz w:val="24"/>
          <w:szCs w:val="24"/>
        </w:rPr>
      </w:pPr>
    </w:p>
    <w:p w14:paraId="6237D8BC" w14:textId="0240F11E" w:rsidR="007C3C61" w:rsidRPr="00621E03" w:rsidRDefault="00621E03" w:rsidP="00621E03">
      <w:pPr>
        <w:spacing w:after="200" w:line="276" w:lineRule="auto"/>
        <w:rPr>
          <w:sz w:val="24"/>
          <w:szCs w:val="24"/>
        </w:rPr>
      </w:pPr>
      <w:r w:rsidRPr="00621E03">
        <w:rPr>
          <w:sz w:val="24"/>
          <w:szCs w:val="24"/>
        </w:rPr>
        <w:t>Agnė Marčiulionytė, tel. (8 5) 219 7011, faks. (8 5) 213 6213,  el. p. Agne.Marciulionyte@vpt.lt</w:t>
      </w:r>
    </w:p>
    <w:sectPr w:rsidR="007C3C61" w:rsidRPr="00621E03" w:rsidSect="00F6447A">
      <w:headerReference w:type="even" r:id="rId9"/>
      <w:headerReference w:type="default" r:id="rId10"/>
      <w:footerReference w:type="default" r:id="rId11"/>
      <w:footerReference w:type="first" r:id="rId12"/>
      <w:pgSz w:w="11907" w:h="16840" w:code="9"/>
      <w:pgMar w:top="1701"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E356D" w14:textId="77777777" w:rsidR="003B162F" w:rsidRDefault="003B162F" w:rsidP="007C3C61">
      <w:r>
        <w:separator/>
      </w:r>
    </w:p>
  </w:endnote>
  <w:endnote w:type="continuationSeparator" w:id="0">
    <w:p w14:paraId="5A327E25" w14:textId="77777777" w:rsidR="003B162F" w:rsidRDefault="003B162F" w:rsidP="007C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A1036" w14:textId="77777777" w:rsidR="00EF7000" w:rsidRDefault="003B162F">
    <w:pPr>
      <w:pStyle w:val="Footer"/>
    </w:pPr>
  </w:p>
  <w:p w14:paraId="736CB22B" w14:textId="77777777" w:rsidR="00EF7000" w:rsidRDefault="003B162F">
    <w:pPr>
      <w:pStyle w:val="Footer"/>
    </w:pPr>
  </w:p>
  <w:p w14:paraId="2BFC118F" w14:textId="77777777" w:rsidR="00EF7000" w:rsidRDefault="003B1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54143" w14:textId="77777777" w:rsidR="00EF7000" w:rsidRPr="00C96169" w:rsidRDefault="00666E65" w:rsidP="00345795">
    <w:pPr>
      <w:pBdr>
        <w:top w:val="single" w:sz="4" w:space="1" w:color="auto"/>
      </w:pBdr>
    </w:pPr>
    <w:r>
      <w:rPr>
        <w:noProof/>
        <w:lang w:eastAsia="lt-LT"/>
      </w:rPr>
      <w:drawing>
        <wp:anchor distT="0" distB="0" distL="114300" distR="114300" simplePos="0" relativeHeight="251659264" behindDoc="0" locked="0" layoutInCell="1" allowOverlap="1" wp14:anchorId="0D773285" wp14:editId="30D9BF35">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Pr="00C96169">
      <w:t>Tel. (8 5) 219 7001</w:t>
    </w:r>
    <w:r>
      <w:t xml:space="preserve">               </w:t>
    </w:r>
    <w:r w:rsidRPr="00C96169">
      <w:t>Duomenys kaupiami ir saugomi </w:t>
    </w:r>
    <w:r>
      <w:t xml:space="preserve">             </w:t>
    </w:r>
  </w:p>
  <w:p w14:paraId="137586BA" w14:textId="77777777" w:rsidR="00EF7000" w:rsidRPr="00C96169" w:rsidRDefault="00666E65" w:rsidP="00345795">
    <w:pPr>
      <w:pBdr>
        <w:top w:val="single" w:sz="4" w:space="1"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1EBE5834" w14:textId="77777777" w:rsidR="00EF7000" w:rsidRPr="00C96169" w:rsidRDefault="003B162F" w:rsidP="00345795">
    <w:pPr>
      <w:pBdr>
        <w:top w:val="single" w:sz="4" w:space="1" w:color="auto"/>
      </w:pBdr>
      <w:jc w:val="both"/>
    </w:pPr>
    <w:hyperlink r:id="rId3" w:history="1">
      <w:r w:rsidR="00666E65" w:rsidRPr="00C96169">
        <w:rPr>
          <w:rStyle w:val="Hyperlink"/>
        </w:rPr>
        <w:t>http://www.vpt.lrv.lt</w:t>
      </w:r>
    </w:hyperlink>
    <w:r w:rsidR="00666E65" w:rsidRPr="00C96169">
      <w:tab/>
    </w:r>
    <w:r w:rsidR="00666E65">
      <w:t xml:space="preserve">         </w:t>
    </w:r>
    <w:r w:rsidR="00666E65" w:rsidRPr="00C96169">
      <w:t xml:space="preserve">El. p. </w:t>
    </w:r>
    <w:hyperlink r:id="rId4" w:history="1">
      <w:r w:rsidR="00666E65" w:rsidRPr="00C96169">
        <w:rPr>
          <w:rStyle w:val="Hyperlink"/>
        </w:rPr>
        <w:t>info@vpt.lt</w:t>
      </w:r>
    </w:hyperlink>
    <w:r w:rsidR="00666E65">
      <w:t xml:space="preserve">                   </w:t>
    </w:r>
    <w:r w:rsidR="00666E65" w:rsidRPr="00C96169">
      <w:t>Kodas 188656261</w:t>
    </w:r>
    <w:r w:rsidR="00666E65">
      <w:t xml:space="preserve">                                   </w:t>
    </w:r>
  </w:p>
  <w:p w14:paraId="074A7313" w14:textId="77777777" w:rsidR="00EF7000" w:rsidRPr="004D1BAD" w:rsidRDefault="00666E65"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7F6E8" w14:textId="77777777" w:rsidR="003B162F" w:rsidRDefault="003B162F" w:rsidP="007C3C61">
      <w:r>
        <w:separator/>
      </w:r>
    </w:p>
  </w:footnote>
  <w:footnote w:type="continuationSeparator" w:id="0">
    <w:p w14:paraId="7C57DFB2" w14:textId="77777777" w:rsidR="003B162F" w:rsidRDefault="003B162F" w:rsidP="007C3C61">
      <w:r>
        <w:continuationSeparator/>
      </w:r>
    </w:p>
  </w:footnote>
  <w:footnote w:id="1">
    <w:p w14:paraId="2C891225" w14:textId="77777777" w:rsidR="00106743" w:rsidRPr="005D0E2D" w:rsidRDefault="00106743" w:rsidP="00F6447A">
      <w:pPr>
        <w:pStyle w:val="FootnoteText"/>
        <w:jc w:val="both"/>
      </w:pPr>
      <w:r>
        <w:rPr>
          <w:rStyle w:val="FootnoteReference"/>
        </w:rPr>
        <w:footnoteRef/>
      </w:r>
      <w:r>
        <w:t xml:space="preserve"> </w:t>
      </w:r>
      <w:r w:rsidR="00F6447A" w:rsidRPr="005D0E2D">
        <w:rPr>
          <w:rFonts w:eastAsia="Calibri"/>
        </w:rPr>
        <w:t>2016 m. gruodžio 23 d. įsakymu Nr. 2016/(1.7-260603)-02-224 patvirtinto Lietuvos banko viešojo pirkim</w:t>
      </w:r>
      <w:r w:rsidR="00F6447A" w:rsidRPr="005D0E2D">
        <w:t>o</w:t>
      </w:r>
      <w:r w:rsidR="00F6447A" w:rsidRPr="005D0E2D">
        <w:rPr>
          <w:rFonts w:eastAsia="Calibri"/>
        </w:rPr>
        <w:t xml:space="preserve"> (projekto konkurso vertinimo) komisijos darbo reglamento nuostatos suteikia teisę Lietuvos banko viešojo pirkimo komisijos pirmininkui pasirašyti raštus, kuriais komisija kreipiasi į T</w:t>
      </w:r>
      <w:r w:rsidR="00F6447A" w:rsidRPr="005D0E2D">
        <w:t>arnybą ir kitas institucijas, siekdama teisės aktuose nurodytais atvejais gauti sutikimus, paaiškinimus, patvirtinimus ir pan.;</w:t>
      </w:r>
    </w:p>
  </w:footnote>
  <w:footnote w:id="2">
    <w:p w14:paraId="5094FD72" w14:textId="77777777" w:rsidR="00FC4128" w:rsidRPr="005D0E2D" w:rsidRDefault="00FC4128" w:rsidP="00FC4128">
      <w:pPr>
        <w:pStyle w:val="FootnoteText"/>
        <w:jc w:val="both"/>
      </w:pPr>
      <w:r w:rsidRPr="005D0E2D">
        <w:rPr>
          <w:rStyle w:val="FootnoteReference"/>
          <w:color w:val="000000" w:themeColor="text1"/>
        </w:rPr>
        <w:footnoteRef/>
      </w:r>
      <w:r w:rsidRPr="005D0E2D">
        <w:rPr>
          <w:color w:val="000000" w:themeColor="text1"/>
        </w:rPr>
        <w:t xml:space="preserve"> </w:t>
      </w:r>
      <w:r w:rsidRPr="005D0E2D">
        <w:rPr>
          <w:color w:val="000000" w:themeColor="text1"/>
          <w:lang w:eastAsia="lt-LT"/>
        </w:rPr>
        <w:t xml:space="preserve">SEPA (angl. </w:t>
      </w:r>
      <w:proofErr w:type="spellStart"/>
      <w:r w:rsidRPr="005D0E2D">
        <w:rPr>
          <w:color w:val="000000" w:themeColor="text1"/>
          <w:lang w:eastAsia="lt-LT"/>
        </w:rPr>
        <w:t>Single</w:t>
      </w:r>
      <w:proofErr w:type="spellEnd"/>
      <w:r w:rsidRPr="005D0E2D">
        <w:rPr>
          <w:color w:val="000000" w:themeColor="text1"/>
          <w:lang w:eastAsia="lt-LT"/>
        </w:rPr>
        <w:t xml:space="preserve"> Euro </w:t>
      </w:r>
      <w:proofErr w:type="spellStart"/>
      <w:r w:rsidRPr="005D0E2D">
        <w:rPr>
          <w:color w:val="000000" w:themeColor="text1"/>
          <w:lang w:eastAsia="lt-LT"/>
        </w:rPr>
        <w:t>Payments</w:t>
      </w:r>
      <w:proofErr w:type="spellEnd"/>
      <w:r w:rsidRPr="005D0E2D">
        <w:rPr>
          <w:color w:val="000000" w:themeColor="text1"/>
          <w:lang w:eastAsia="lt-LT"/>
        </w:rPr>
        <w:t xml:space="preserve"> </w:t>
      </w:r>
      <w:proofErr w:type="spellStart"/>
      <w:r w:rsidRPr="005D0E2D">
        <w:rPr>
          <w:color w:val="000000" w:themeColor="text1"/>
          <w:lang w:eastAsia="lt-LT"/>
        </w:rPr>
        <w:t>Area</w:t>
      </w:r>
      <w:proofErr w:type="spellEnd"/>
      <w:r w:rsidRPr="005D0E2D">
        <w:rPr>
          <w:color w:val="000000" w:themeColor="text1"/>
          <w:lang w:eastAsia="lt-LT"/>
        </w:rPr>
        <w:t>);</w:t>
      </w:r>
    </w:p>
  </w:footnote>
  <w:footnote w:id="3">
    <w:p w14:paraId="5901516B" w14:textId="5C7EDCC5" w:rsidR="00073B08" w:rsidRDefault="00024CB5" w:rsidP="00073B08">
      <w:pPr>
        <w:pStyle w:val="FootnoteText"/>
        <w:jc w:val="both"/>
      </w:pPr>
      <w:r w:rsidRPr="005D0E2D">
        <w:rPr>
          <w:rStyle w:val="FootnoteReference"/>
        </w:rPr>
        <w:footnoteRef/>
      </w:r>
      <w:r w:rsidRPr="005D0E2D">
        <w:t xml:space="preserve"> </w:t>
      </w:r>
      <w:r w:rsidR="005D0E2D" w:rsidRPr="005D0E2D">
        <w:t>k</w:t>
      </w:r>
      <w:r w:rsidR="005D0E2D" w:rsidRPr="001014BB">
        <w:rPr>
          <w:bCs/>
          <w:color w:val="000000" w:themeColor="text1"/>
          <w:lang w:eastAsia="lt-LT"/>
        </w:rPr>
        <w:t xml:space="preserve">reditinių ir debetinių mokėjimų apdorojimo ir vykdymo </w:t>
      </w:r>
      <w:r w:rsidR="005D0E2D">
        <w:t>p</w:t>
      </w:r>
      <w:r w:rsidR="00073B08" w:rsidRPr="005D0E2D">
        <w:t xml:space="preserve">aslaugos </w:t>
      </w:r>
      <w:r w:rsidR="005D0E2D">
        <w:t>yra</w:t>
      </w:r>
      <w:r w:rsidR="00073B08" w:rsidRPr="005D0E2D">
        <w:t xml:space="preserve"> teik</w:t>
      </w:r>
      <w:r w:rsidR="005D0E2D">
        <w:t>iamos</w:t>
      </w:r>
      <w:r w:rsidR="00073B08" w:rsidRPr="005D0E2D">
        <w:t xml:space="preserve"> </w:t>
      </w:r>
      <w:r w:rsidRPr="005D0E2D">
        <w:t>2015 m. rugsėjo 23 d. sutarti</w:t>
      </w:r>
      <w:r w:rsidR="00073B08" w:rsidRPr="005D0E2D">
        <w:t>e</w:t>
      </w:r>
      <w:r w:rsidRPr="005D0E2D">
        <w:t xml:space="preserve">s Nr. 41.23-8 </w:t>
      </w:r>
      <w:r w:rsidR="00073B08" w:rsidRPr="005D0E2D">
        <w:t xml:space="preserve">bei 2016 m. kovo 31 d. sutarties Nr. 41.23-1, </w:t>
      </w:r>
      <w:r w:rsidR="005D0E2D">
        <w:t xml:space="preserve">kurios buvo </w:t>
      </w:r>
      <w:r w:rsidR="00073B08" w:rsidRPr="005D0E2D">
        <w:t>sudaryt</w:t>
      </w:r>
      <w:r w:rsidR="005D0E2D">
        <w:t>os</w:t>
      </w:r>
      <w:r w:rsidR="00073B08" w:rsidRPr="005D0E2D">
        <w:t xml:space="preserve"> </w:t>
      </w:r>
      <w:r w:rsidRPr="005D0E2D">
        <w:t>su tiekėju EBA CLEARING S.A.S., pagrindu</w:t>
      </w:r>
      <w:r w:rsidR="00073B08" w:rsidRPr="005D0E2D">
        <w:t>;</w:t>
      </w:r>
      <w:r w:rsidR="0026051A" w:rsidRPr="005D0E2D">
        <w:t xml:space="preserve"> </w:t>
      </w:r>
      <w:r w:rsidR="00073B08" w:rsidRPr="005D0E2D">
        <w:t xml:space="preserve">Sutartys sudarytos vadovaujantis tuo metu galiojusia </w:t>
      </w:r>
      <w:r w:rsidR="003B6A67" w:rsidRPr="005D0E2D">
        <w:t>Įstatymo</w:t>
      </w:r>
      <w:r w:rsidR="00073B08" w:rsidRPr="005D0E2D">
        <w:t xml:space="preserve"> 10 straipsnio 2 dalies 2 punkt</w:t>
      </w:r>
      <w:r w:rsidR="005D0E2D">
        <w:t>e įtvirtina išimtimi dėl</w:t>
      </w:r>
      <w:r w:rsidR="00073B08" w:rsidRPr="005D0E2D">
        <w:t xml:space="preserve"> </w:t>
      </w:r>
      <w:r w:rsidR="00073B08" w:rsidRPr="005D0E2D">
        <w:rPr>
          <w:i/>
          <w:iCs/>
        </w:rPr>
        <w:t>finansinių paslaugų, susijusių su pinigų, valiutų keitimo kurso, valstybės skolos valdymo, iždo agento, finansinio turto valdymo arba kitų politikos sričių, susijusių su vertybinių popierių arba kitokių finansinių priemonių sandoriais, pirkimams, finansinių paslaugų, susijusių su vertybinių popierių arba kitokių finansinių priemonių emisija, pardavimu, pirkimu ar perleidimu</w:t>
      </w:r>
      <w:r w:rsidR="00073B08" w:rsidRPr="0026051A">
        <w:rPr>
          <w:i/>
          <w:iCs/>
        </w:rPr>
        <w:t>, pirkimams ir paskolų, susijusių ar nesusijusių su vertybinių popierių arba kitokių finansinių priemonių emisija, pardavimu, pirkimu ar perleidimu, pirkimams</w:t>
      </w:r>
      <w:r w:rsidR="001014BB">
        <w:t>;</w:t>
      </w:r>
    </w:p>
  </w:footnote>
  <w:footnote w:id="4">
    <w:p w14:paraId="50B2EA0F" w14:textId="00983A08" w:rsidR="005D10AC" w:rsidRPr="00843F4E" w:rsidRDefault="005D10AC" w:rsidP="00194CEC">
      <w:pPr>
        <w:pStyle w:val="FootnoteText"/>
        <w:jc w:val="both"/>
      </w:pPr>
      <w:r w:rsidRPr="00843F4E">
        <w:rPr>
          <w:rStyle w:val="FootnoteReference"/>
        </w:rPr>
        <w:footnoteRef/>
      </w:r>
      <w:r w:rsidRPr="00843F4E">
        <w:t xml:space="preserve"> </w:t>
      </w:r>
      <w:r w:rsidR="00843F4E" w:rsidRPr="00843F4E">
        <w:t>Žr. išnašą Nr. 3;</w:t>
      </w:r>
    </w:p>
  </w:footnote>
  <w:footnote w:id="5">
    <w:p w14:paraId="06FDE757" w14:textId="4437AE09" w:rsidR="00B80DFA" w:rsidRDefault="00B80DFA">
      <w:pPr>
        <w:pStyle w:val="FootnoteText"/>
      </w:pPr>
      <w:r>
        <w:rPr>
          <w:rStyle w:val="FootnoteReference"/>
        </w:rPr>
        <w:footnoteRef/>
      </w:r>
      <w:r>
        <w:t xml:space="preserve"> </w:t>
      </w:r>
      <w:hyperlink r:id="rId1" w:history="1">
        <w:r w:rsidRPr="002F7C20">
          <w:rPr>
            <w:rStyle w:val="Hyperlink"/>
          </w:rPr>
          <w:t>https://www.lb.lt/bendra-mokejimu-eurais-erdve-sepa</w:t>
        </w:r>
      </w:hyperlink>
      <w:r>
        <w:t xml:space="preserve">; </w:t>
      </w:r>
    </w:p>
  </w:footnote>
  <w:footnote w:id="6">
    <w:p w14:paraId="37E80EFA" w14:textId="6F7DB1F3" w:rsidR="007C3C61" w:rsidRDefault="007C3C61" w:rsidP="000C4AE0">
      <w:pPr>
        <w:pStyle w:val="FootnoteText"/>
      </w:pPr>
      <w:r>
        <w:rPr>
          <w:rStyle w:val="FootnoteReference"/>
        </w:rPr>
        <w:footnoteRef/>
      </w:r>
      <w:r>
        <w:t xml:space="preserve"> </w:t>
      </w:r>
      <w:r>
        <w:t xml:space="preserve">2020 m. </w:t>
      </w:r>
      <w:r w:rsidR="00194CEC">
        <w:t>rugsėjo 11</w:t>
      </w:r>
      <w:r>
        <w:t xml:space="preserve"> d. Komisijos posėdžio protokolas Nr. 1;</w:t>
      </w:r>
    </w:p>
  </w:footnote>
  <w:footnote w:id="7">
    <w:p w14:paraId="5C93690E" w14:textId="5AAE3ADB" w:rsidR="007C3C61" w:rsidRDefault="007C3C61" w:rsidP="00194CEC">
      <w:pPr>
        <w:pStyle w:val="FootnoteText"/>
        <w:jc w:val="both"/>
      </w:pPr>
      <w:r>
        <w:rPr>
          <w:rStyle w:val="FootnoteReference"/>
        </w:rPr>
        <w:footnoteRef/>
      </w:r>
      <w:r>
        <w:t xml:space="preserve"> </w:t>
      </w:r>
      <w:r w:rsidRPr="00D14660">
        <w:rPr>
          <w:rFonts w:eastAsia="Calibri"/>
        </w:rPr>
        <w:t xml:space="preserve">Lietuvos banko valdybos pirmininko pavaduotojo 2020 m. </w:t>
      </w:r>
      <w:r w:rsidR="00194CEC">
        <w:rPr>
          <w:rFonts w:eastAsia="Calibri"/>
        </w:rPr>
        <w:t>liepos 20</w:t>
      </w:r>
      <w:r w:rsidRPr="00D14660">
        <w:rPr>
          <w:rFonts w:eastAsia="Calibri"/>
        </w:rPr>
        <w:t xml:space="preserve"> d. įsakymo Nr. V 2020(1.137.E-260603)-306-1</w:t>
      </w:r>
      <w:r w:rsidR="00194CEC">
        <w:rPr>
          <w:rFonts w:eastAsia="Calibri"/>
        </w:rPr>
        <w:t>9</w:t>
      </w:r>
      <w:r w:rsidRPr="00D14660">
        <w:rPr>
          <w:rFonts w:eastAsia="Calibri"/>
        </w:rPr>
        <w:t xml:space="preserve"> „Dėl Lietuvos banko valdybos pirmininko pavaduotojo 2020 m. sausio 13 d. įsakymo Nr. </w:t>
      </w:r>
      <w:r w:rsidRPr="00D14660">
        <w:t>V 2020/(1.137.E-260603)-306-1</w:t>
      </w:r>
      <w:r w:rsidRPr="00D14660" w:rsidDel="004D0F10">
        <w:rPr>
          <w:b/>
        </w:rPr>
        <w:t xml:space="preserve"> </w:t>
      </w:r>
      <w:r w:rsidRPr="00D14660">
        <w:rPr>
          <w:rFonts w:eastAsia="Calibri"/>
        </w:rPr>
        <w:t>„Dėl Lietuvos banko 2020  m. viešųjų pirkimų plano patvirtinimo“ pakeitimo“ kopija</w:t>
      </w:r>
      <w:r>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BC27" w14:textId="77777777" w:rsidR="00EF7000" w:rsidRDefault="00666E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51DCE4" w14:textId="77777777" w:rsidR="00EF7000" w:rsidRDefault="003B1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7A2C6" w14:textId="77777777" w:rsidR="00EF7000" w:rsidRDefault="00666E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1C4805" w14:textId="77777777" w:rsidR="00EF7000" w:rsidRDefault="003B1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61"/>
    <w:rsid w:val="00012BAD"/>
    <w:rsid w:val="00017FCE"/>
    <w:rsid w:val="00024CB5"/>
    <w:rsid w:val="0003491A"/>
    <w:rsid w:val="00073B08"/>
    <w:rsid w:val="000C341A"/>
    <w:rsid w:val="000C4AE0"/>
    <w:rsid w:val="001014BB"/>
    <w:rsid w:val="00106743"/>
    <w:rsid w:val="001121E2"/>
    <w:rsid w:val="00194CEC"/>
    <w:rsid w:val="00197B7E"/>
    <w:rsid w:val="001E6191"/>
    <w:rsid w:val="002139B8"/>
    <w:rsid w:val="00221587"/>
    <w:rsid w:val="0022316B"/>
    <w:rsid w:val="0026051A"/>
    <w:rsid w:val="002658F1"/>
    <w:rsid w:val="00332210"/>
    <w:rsid w:val="00362198"/>
    <w:rsid w:val="0039504A"/>
    <w:rsid w:val="003B162F"/>
    <w:rsid w:val="003B6A67"/>
    <w:rsid w:val="004874F1"/>
    <w:rsid w:val="004A1236"/>
    <w:rsid w:val="00505821"/>
    <w:rsid w:val="005320C3"/>
    <w:rsid w:val="005C6AE6"/>
    <w:rsid w:val="005D0E2D"/>
    <w:rsid w:val="005D10AC"/>
    <w:rsid w:val="00621E03"/>
    <w:rsid w:val="006563B4"/>
    <w:rsid w:val="00666E65"/>
    <w:rsid w:val="0069264F"/>
    <w:rsid w:val="00720416"/>
    <w:rsid w:val="007C3C61"/>
    <w:rsid w:val="00843F4E"/>
    <w:rsid w:val="0087198E"/>
    <w:rsid w:val="008C6444"/>
    <w:rsid w:val="0090238E"/>
    <w:rsid w:val="00A143C7"/>
    <w:rsid w:val="00AA712B"/>
    <w:rsid w:val="00B80DFA"/>
    <w:rsid w:val="00BB74D4"/>
    <w:rsid w:val="00BC350E"/>
    <w:rsid w:val="00C13C45"/>
    <w:rsid w:val="00C478DA"/>
    <w:rsid w:val="00D146A1"/>
    <w:rsid w:val="00D3608D"/>
    <w:rsid w:val="00D4297B"/>
    <w:rsid w:val="00DC5197"/>
    <w:rsid w:val="00DE2722"/>
    <w:rsid w:val="00E52DFB"/>
    <w:rsid w:val="00E90DC9"/>
    <w:rsid w:val="00EA43DA"/>
    <w:rsid w:val="00F05E16"/>
    <w:rsid w:val="00F6447A"/>
    <w:rsid w:val="00F73213"/>
    <w:rsid w:val="00FC1DA1"/>
    <w:rsid w:val="00FC4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B64"/>
  <w15:chartTrackingRefBased/>
  <w15:docId w15:val="{713FD2ED-9F8F-4C38-B62D-F65D3180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3C61"/>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C61"/>
    <w:rPr>
      <w:rFonts w:ascii="Times New Roman" w:eastAsia="Times New Roman" w:hAnsi="Times New Roman" w:cs="Times New Roman"/>
      <w:b/>
      <w:bCs/>
      <w:sz w:val="32"/>
      <w:szCs w:val="32"/>
    </w:rPr>
  </w:style>
  <w:style w:type="paragraph" w:styleId="Header">
    <w:name w:val="header"/>
    <w:basedOn w:val="Normal"/>
    <w:link w:val="HeaderChar"/>
    <w:rsid w:val="007C3C61"/>
    <w:pPr>
      <w:tabs>
        <w:tab w:val="center" w:pos="4320"/>
        <w:tab w:val="right" w:pos="8640"/>
      </w:tabs>
    </w:pPr>
  </w:style>
  <w:style w:type="character" w:customStyle="1" w:styleId="HeaderChar">
    <w:name w:val="Header Char"/>
    <w:basedOn w:val="DefaultParagraphFont"/>
    <w:link w:val="Header"/>
    <w:rsid w:val="007C3C61"/>
    <w:rPr>
      <w:rFonts w:ascii="Times New Roman" w:eastAsia="Times New Roman" w:hAnsi="Times New Roman" w:cs="Times New Roman"/>
      <w:sz w:val="20"/>
      <w:szCs w:val="20"/>
    </w:rPr>
  </w:style>
  <w:style w:type="paragraph" w:styleId="Footer">
    <w:name w:val="footer"/>
    <w:basedOn w:val="Normal"/>
    <w:link w:val="FooterChar"/>
    <w:uiPriority w:val="99"/>
    <w:rsid w:val="007C3C61"/>
    <w:pPr>
      <w:tabs>
        <w:tab w:val="center" w:pos="4320"/>
        <w:tab w:val="right" w:pos="8640"/>
      </w:tabs>
    </w:pPr>
  </w:style>
  <w:style w:type="character" w:customStyle="1" w:styleId="FooterChar">
    <w:name w:val="Footer Char"/>
    <w:basedOn w:val="DefaultParagraphFont"/>
    <w:link w:val="Footer"/>
    <w:uiPriority w:val="99"/>
    <w:rsid w:val="007C3C61"/>
    <w:rPr>
      <w:rFonts w:ascii="Times New Roman" w:eastAsia="Times New Roman" w:hAnsi="Times New Roman" w:cs="Times New Roman"/>
      <w:sz w:val="20"/>
      <w:szCs w:val="20"/>
    </w:rPr>
  </w:style>
  <w:style w:type="character" w:styleId="PageNumber">
    <w:name w:val="page number"/>
    <w:basedOn w:val="DefaultParagraphFont"/>
    <w:rsid w:val="007C3C61"/>
  </w:style>
  <w:style w:type="character" w:styleId="Hyperlink">
    <w:name w:val="Hyperlink"/>
    <w:uiPriority w:val="99"/>
    <w:unhideWhenUsed/>
    <w:rsid w:val="007C3C61"/>
    <w:rPr>
      <w:strike w:val="0"/>
      <w:dstrike w:val="0"/>
      <w:color w:val="6E717F"/>
      <w:u w:val="none"/>
      <w:effect w:val="none"/>
      <w:shd w:val="clear" w:color="auto" w:fill="auto"/>
    </w:rPr>
  </w:style>
  <w:style w:type="paragraph" w:styleId="FootnoteText">
    <w:name w:val="footnote text"/>
    <w:basedOn w:val="Normal"/>
    <w:link w:val="FootnoteTextChar"/>
    <w:rsid w:val="007C3C61"/>
  </w:style>
  <w:style w:type="character" w:customStyle="1" w:styleId="FootnoteTextChar">
    <w:name w:val="Footnote Text Char"/>
    <w:basedOn w:val="DefaultParagraphFont"/>
    <w:link w:val="FootnoteText"/>
    <w:rsid w:val="007C3C61"/>
    <w:rPr>
      <w:rFonts w:ascii="Times New Roman" w:eastAsia="Times New Roman" w:hAnsi="Times New Roman" w:cs="Times New Roman"/>
      <w:sz w:val="20"/>
      <w:szCs w:val="20"/>
    </w:rPr>
  </w:style>
  <w:style w:type="character" w:styleId="FootnoteReference">
    <w:name w:val="footnote reference"/>
    <w:basedOn w:val="DefaultParagraphFont"/>
    <w:rsid w:val="007C3C61"/>
    <w:rPr>
      <w:vertAlign w:val="superscript"/>
    </w:rPr>
  </w:style>
  <w:style w:type="paragraph" w:styleId="BalloonText">
    <w:name w:val="Balloon Text"/>
    <w:basedOn w:val="Normal"/>
    <w:link w:val="BalloonTextChar"/>
    <w:uiPriority w:val="99"/>
    <w:semiHidden/>
    <w:unhideWhenUsed/>
    <w:rsid w:val="007C3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C6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C4AE0"/>
    <w:rPr>
      <w:color w:val="605E5C"/>
      <w:shd w:val="clear" w:color="auto" w:fill="E1DFDD"/>
    </w:rPr>
  </w:style>
  <w:style w:type="character" w:styleId="FollowedHyperlink">
    <w:name w:val="FollowedHyperlink"/>
    <w:basedOn w:val="DefaultParagraphFont"/>
    <w:uiPriority w:val="99"/>
    <w:semiHidden/>
    <w:unhideWhenUsed/>
    <w:rsid w:val="000C4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699010">
      <w:bodyDiv w:val="1"/>
      <w:marLeft w:val="0"/>
      <w:marRight w:val="0"/>
      <w:marTop w:val="0"/>
      <w:marBottom w:val="0"/>
      <w:divBdr>
        <w:top w:val="none" w:sz="0" w:space="0" w:color="auto"/>
        <w:left w:val="none" w:sz="0" w:space="0" w:color="auto"/>
        <w:bottom w:val="none" w:sz="0" w:space="0" w:color="auto"/>
        <w:right w:val="none" w:sz="0" w:space="0" w:color="auto"/>
      </w:divBdr>
    </w:div>
    <w:div w:id="14856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b.lt/bendra-mokejimu-eurais-erdve-s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E139-94A8-4F35-8B59-23EC434C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4083</Words>
  <Characters>2328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dcterms:created xsi:type="dcterms:W3CDTF">2020-09-29T07:40:00Z</dcterms:created>
  <dcterms:modified xsi:type="dcterms:W3CDTF">2020-09-29T07:46:00Z</dcterms:modified>
</cp:coreProperties>
</file>