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86FF2" w14:textId="77777777" w:rsidR="00805FB6" w:rsidRPr="00A13C46" w:rsidRDefault="00805FB6" w:rsidP="00255538">
      <w:pPr>
        <w:pStyle w:val="Heading1"/>
        <w:tabs>
          <w:tab w:val="left" w:pos="900"/>
        </w:tabs>
        <w:jc w:val="center"/>
        <w:rPr>
          <w:sz w:val="24"/>
          <w:szCs w:val="24"/>
        </w:rPr>
      </w:pPr>
    </w:p>
    <w:bookmarkStart w:id="0" w:name="_MON_1301915618"/>
    <w:bookmarkEnd w:id="0"/>
    <w:bookmarkStart w:id="1" w:name="_MON_1051956295"/>
    <w:bookmarkEnd w:id="1"/>
    <w:p w14:paraId="57BB844F" w14:textId="77777777" w:rsidR="00805FB6" w:rsidRPr="00A13C46" w:rsidRDefault="00805FB6" w:rsidP="00255538">
      <w:pPr>
        <w:jc w:val="center"/>
        <w:rPr>
          <w:sz w:val="24"/>
          <w:szCs w:val="24"/>
        </w:rPr>
      </w:pPr>
      <w:r w:rsidRPr="00A13C46">
        <w:rPr>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57707960" r:id="rId9"/>
        </w:object>
      </w:r>
    </w:p>
    <w:p w14:paraId="4FCFAC08" w14:textId="77777777" w:rsidR="00805FB6" w:rsidRPr="00A13C46" w:rsidRDefault="00805FB6" w:rsidP="00255538">
      <w:pPr>
        <w:jc w:val="center"/>
        <w:rPr>
          <w:sz w:val="24"/>
          <w:szCs w:val="24"/>
        </w:rPr>
      </w:pPr>
    </w:p>
    <w:p w14:paraId="6D0786DF" w14:textId="77777777" w:rsidR="00AA13F0" w:rsidRPr="00A13C46" w:rsidRDefault="00AA13F0" w:rsidP="00255538">
      <w:pPr>
        <w:pStyle w:val="Heading1"/>
        <w:tabs>
          <w:tab w:val="left" w:pos="900"/>
        </w:tabs>
        <w:jc w:val="center"/>
        <w:rPr>
          <w:sz w:val="24"/>
          <w:szCs w:val="24"/>
        </w:rPr>
      </w:pPr>
      <w:r w:rsidRPr="00A13C46">
        <w:rPr>
          <w:sz w:val="24"/>
          <w:szCs w:val="24"/>
        </w:rPr>
        <w:t>VIEŠŲJŲ PIRKIMŲ TARNYBA</w:t>
      </w:r>
    </w:p>
    <w:p w14:paraId="54CDFC4A" w14:textId="77777777" w:rsidR="00805FB6" w:rsidRPr="00A13C46" w:rsidRDefault="00805FB6" w:rsidP="00A13C46">
      <w:pPr>
        <w:tabs>
          <w:tab w:val="left" w:pos="900"/>
        </w:tabs>
        <w:jc w:val="both"/>
        <w:rPr>
          <w:bCs/>
          <w:sz w:val="24"/>
          <w:szCs w:val="24"/>
        </w:rPr>
      </w:pPr>
    </w:p>
    <w:p w14:paraId="7D5496A5" w14:textId="77777777" w:rsidR="00805FB6" w:rsidRPr="00A13C46" w:rsidRDefault="00805FB6" w:rsidP="00A13C46">
      <w:pPr>
        <w:tabs>
          <w:tab w:val="left" w:pos="900"/>
        </w:tabs>
        <w:jc w:val="both"/>
        <w:rPr>
          <w:bCs/>
          <w:sz w:val="24"/>
          <w:szCs w:val="24"/>
        </w:rPr>
      </w:pPr>
    </w:p>
    <w:p w14:paraId="31242A22" w14:textId="77777777" w:rsidR="00441571" w:rsidRPr="00A13C46" w:rsidRDefault="00441571" w:rsidP="00A13C46">
      <w:pPr>
        <w:tabs>
          <w:tab w:val="left" w:pos="900"/>
        </w:tabs>
        <w:jc w:val="both"/>
        <w:rPr>
          <w:bCs/>
          <w:sz w:val="24"/>
          <w:szCs w:val="24"/>
        </w:rPr>
      </w:pPr>
    </w:p>
    <w:tbl>
      <w:tblPr>
        <w:tblW w:w="9338" w:type="dxa"/>
        <w:tblInd w:w="18" w:type="dxa"/>
        <w:tblLayout w:type="fixed"/>
        <w:tblLook w:val="0000" w:firstRow="0" w:lastRow="0" w:firstColumn="0" w:lastColumn="0" w:noHBand="0" w:noVBand="0"/>
      </w:tblPr>
      <w:tblGrid>
        <w:gridCol w:w="4802"/>
        <w:gridCol w:w="283"/>
        <w:gridCol w:w="1560"/>
        <w:gridCol w:w="566"/>
        <w:gridCol w:w="2127"/>
      </w:tblGrid>
      <w:tr w:rsidR="000D0EA9" w:rsidRPr="00A13C46" w14:paraId="3A48E2D2" w14:textId="77777777" w:rsidTr="006204C7">
        <w:trPr>
          <w:cantSplit/>
          <w:trHeight w:val="80"/>
        </w:trPr>
        <w:tc>
          <w:tcPr>
            <w:tcW w:w="4802" w:type="dxa"/>
            <w:vMerge w:val="restart"/>
          </w:tcPr>
          <w:p w14:paraId="135C1191" w14:textId="77777777" w:rsidR="006204C7" w:rsidRPr="00A13C46" w:rsidRDefault="006204C7" w:rsidP="00A13C46">
            <w:pPr>
              <w:spacing w:line="276" w:lineRule="auto"/>
              <w:ind w:left="-120"/>
              <w:jc w:val="both"/>
              <w:rPr>
                <w:bCs/>
                <w:sz w:val="24"/>
                <w:szCs w:val="24"/>
              </w:rPr>
            </w:pPr>
            <w:r w:rsidRPr="00A13C46">
              <w:rPr>
                <w:bCs/>
                <w:sz w:val="24"/>
                <w:szCs w:val="24"/>
              </w:rPr>
              <w:t>Klaipėdos rajono savivaldybės administracija</w:t>
            </w:r>
          </w:p>
          <w:p w14:paraId="4E1AB095" w14:textId="77777777" w:rsidR="006204C7" w:rsidRPr="00A13C46" w:rsidRDefault="006204C7" w:rsidP="00A13C46">
            <w:pPr>
              <w:spacing w:line="276" w:lineRule="auto"/>
              <w:ind w:left="-120"/>
              <w:jc w:val="both"/>
              <w:rPr>
                <w:bCs/>
                <w:sz w:val="24"/>
                <w:szCs w:val="24"/>
              </w:rPr>
            </w:pPr>
            <w:r w:rsidRPr="00A13C46">
              <w:rPr>
                <w:rFonts w:eastAsia="Calibri"/>
                <w:sz w:val="24"/>
                <w:szCs w:val="24"/>
              </w:rPr>
              <w:t>Klaipėdos g. 2</w:t>
            </w:r>
          </w:p>
          <w:p w14:paraId="70F513DA" w14:textId="77777777" w:rsidR="006204C7" w:rsidRPr="00A13C46" w:rsidRDefault="006204C7" w:rsidP="00A13C46">
            <w:pPr>
              <w:spacing w:line="276" w:lineRule="auto"/>
              <w:ind w:left="-120"/>
              <w:jc w:val="both"/>
              <w:rPr>
                <w:bCs/>
                <w:sz w:val="24"/>
                <w:szCs w:val="24"/>
              </w:rPr>
            </w:pPr>
            <w:r w:rsidRPr="00A13C46">
              <w:rPr>
                <w:bCs/>
                <w:sz w:val="24"/>
                <w:szCs w:val="24"/>
              </w:rPr>
              <w:t>LT-96130 Gargždai</w:t>
            </w:r>
          </w:p>
          <w:p w14:paraId="37E3995F" w14:textId="77777777" w:rsidR="000D0EA9" w:rsidRPr="00A13C46" w:rsidRDefault="000D0EA9" w:rsidP="00A13C46">
            <w:pPr>
              <w:tabs>
                <w:tab w:val="left" w:pos="900"/>
              </w:tabs>
              <w:ind w:left="-108"/>
              <w:jc w:val="both"/>
              <w:rPr>
                <w:sz w:val="24"/>
                <w:szCs w:val="24"/>
              </w:rPr>
            </w:pPr>
          </w:p>
        </w:tc>
        <w:tc>
          <w:tcPr>
            <w:tcW w:w="283" w:type="dxa"/>
          </w:tcPr>
          <w:p w14:paraId="317FA668" w14:textId="77777777" w:rsidR="000D0EA9" w:rsidRPr="00A13C46" w:rsidRDefault="000D0EA9" w:rsidP="00A13C46">
            <w:pPr>
              <w:tabs>
                <w:tab w:val="left" w:pos="900"/>
              </w:tabs>
              <w:jc w:val="both"/>
              <w:rPr>
                <w:sz w:val="24"/>
                <w:szCs w:val="24"/>
              </w:rPr>
            </w:pPr>
          </w:p>
        </w:tc>
        <w:tc>
          <w:tcPr>
            <w:tcW w:w="1560" w:type="dxa"/>
          </w:tcPr>
          <w:p w14:paraId="091FB5E8" w14:textId="7861B54E" w:rsidR="000D0EA9" w:rsidRPr="00A13C46" w:rsidRDefault="006204C7" w:rsidP="00A13C46">
            <w:pPr>
              <w:ind w:left="-105"/>
              <w:jc w:val="both"/>
              <w:rPr>
                <w:sz w:val="24"/>
                <w:szCs w:val="24"/>
              </w:rPr>
            </w:pPr>
            <w:r w:rsidRPr="00A13C46">
              <w:rPr>
                <w:sz w:val="24"/>
                <w:szCs w:val="24"/>
              </w:rPr>
              <w:t xml:space="preserve">    </w:t>
            </w:r>
            <w:r w:rsidR="000D0EA9" w:rsidRPr="00A13C46">
              <w:rPr>
                <w:sz w:val="24"/>
                <w:szCs w:val="24"/>
              </w:rPr>
              <w:t>20</w:t>
            </w:r>
            <w:r w:rsidRPr="00A13C46">
              <w:rPr>
                <w:sz w:val="24"/>
                <w:szCs w:val="24"/>
              </w:rPr>
              <w:t>20</w:t>
            </w:r>
            <w:r w:rsidR="000D0EA9" w:rsidRPr="00A13C46">
              <w:rPr>
                <w:sz w:val="24"/>
                <w:szCs w:val="24"/>
              </w:rPr>
              <w:t>-</w:t>
            </w:r>
            <w:r w:rsidRPr="00A13C46">
              <w:rPr>
                <w:sz w:val="24"/>
                <w:szCs w:val="24"/>
              </w:rPr>
              <w:t>07</w:t>
            </w:r>
            <w:r w:rsidR="000D0EA9" w:rsidRPr="00A13C46">
              <w:rPr>
                <w:sz w:val="24"/>
                <w:szCs w:val="24"/>
              </w:rPr>
              <w:t>-</w:t>
            </w:r>
            <w:r w:rsidR="009847BD" w:rsidRPr="00A13C46">
              <w:rPr>
                <w:sz w:val="24"/>
                <w:szCs w:val="24"/>
              </w:rPr>
              <w:t xml:space="preserve">    </w:t>
            </w:r>
          </w:p>
        </w:tc>
        <w:tc>
          <w:tcPr>
            <w:tcW w:w="566" w:type="dxa"/>
          </w:tcPr>
          <w:p w14:paraId="20923BC2" w14:textId="77777777" w:rsidR="000D0EA9" w:rsidRPr="00A13C46" w:rsidRDefault="000D0EA9" w:rsidP="00A13C46">
            <w:pPr>
              <w:tabs>
                <w:tab w:val="left" w:pos="900"/>
              </w:tabs>
              <w:jc w:val="both"/>
              <w:rPr>
                <w:sz w:val="24"/>
                <w:szCs w:val="24"/>
              </w:rPr>
            </w:pPr>
            <w:r w:rsidRPr="00A13C46">
              <w:rPr>
                <w:sz w:val="24"/>
                <w:szCs w:val="24"/>
              </w:rPr>
              <w:t>Nr</w:t>
            </w:r>
            <w:r w:rsidR="008E2B0B" w:rsidRPr="00A13C46">
              <w:rPr>
                <w:sz w:val="24"/>
                <w:szCs w:val="24"/>
              </w:rPr>
              <w:t>.</w:t>
            </w:r>
          </w:p>
        </w:tc>
        <w:tc>
          <w:tcPr>
            <w:tcW w:w="2127" w:type="dxa"/>
          </w:tcPr>
          <w:p w14:paraId="250B36FA" w14:textId="4828D713" w:rsidR="000D0EA9" w:rsidRPr="00A13C46" w:rsidRDefault="0013783E" w:rsidP="00A13C46">
            <w:pPr>
              <w:tabs>
                <w:tab w:val="left" w:pos="900"/>
              </w:tabs>
              <w:jc w:val="both"/>
              <w:rPr>
                <w:sz w:val="24"/>
                <w:szCs w:val="24"/>
              </w:rPr>
            </w:pPr>
            <w:r w:rsidRPr="00A13C46">
              <w:rPr>
                <w:sz w:val="24"/>
                <w:szCs w:val="24"/>
              </w:rPr>
              <w:t xml:space="preserve">4S-       </w:t>
            </w:r>
            <w:r w:rsidR="00CE5815" w:rsidRPr="00A13C46">
              <w:rPr>
                <w:sz w:val="24"/>
                <w:szCs w:val="24"/>
              </w:rPr>
              <w:t>(</w:t>
            </w:r>
            <w:r w:rsidR="006204C7" w:rsidRPr="00A13C46">
              <w:rPr>
                <w:sz w:val="24"/>
                <w:szCs w:val="24"/>
              </w:rPr>
              <w:t>8</w:t>
            </w:r>
            <w:r w:rsidR="00CE5815" w:rsidRPr="00A13C46">
              <w:rPr>
                <w:sz w:val="24"/>
                <w:szCs w:val="24"/>
              </w:rPr>
              <w:t>.</w:t>
            </w:r>
            <w:r w:rsidR="006204C7" w:rsidRPr="00A13C46">
              <w:rPr>
                <w:sz w:val="24"/>
                <w:szCs w:val="24"/>
              </w:rPr>
              <w:t>15</w:t>
            </w:r>
            <w:r w:rsidR="00CE5815" w:rsidRPr="00A13C46">
              <w:rPr>
                <w:sz w:val="24"/>
                <w:szCs w:val="24"/>
              </w:rPr>
              <w:t>)</w:t>
            </w:r>
            <w:r w:rsidRPr="00A13C46">
              <w:rPr>
                <w:sz w:val="24"/>
                <w:szCs w:val="24"/>
              </w:rPr>
              <w:t xml:space="preserve"> </w:t>
            </w:r>
          </w:p>
        </w:tc>
      </w:tr>
      <w:tr w:rsidR="000D0EA9" w:rsidRPr="00A13C46" w14:paraId="51DA0E58" w14:textId="77777777" w:rsidTr="006204C7">
        <w:trPr>
          <w:cantSplit/>
          <w:trHeight w:val="380"/>
        </w:trPr>
        <w:tc>
          <w:tcPr>
            <w:tcW w:w="4802" w:type="dxa"/>
            <w:vMerge/>
          </w:tcPr>
          <w:p w14:paraId="19326F81" w14:textId="77777777" w:rsidR="000D0EA9" w:rsidRPr="00A13C46" w:rsidRDefault="000D0EA9" w:rsidP="00A13C46">
            <w:pPr>
              <w:tabs>
                <w:tab w:val="left" w:pos="900"/>
              </w:tabs>
              <w:jc w:val="both"/>
              <w:rPr>
                <w:sz w:val="24"/>
                <w:szCs w:val="24"/>
              </w:rPr>
            </w:pPr>
          </w:p>
        </w:tc>
        <w:tc>
          <w:tcPr>
            <w:tcW w:w="283" w:type="dxa"/>
          </w:tcPr>
          <w:p w14:paraId="3EEC59D7" w14:textId="374D7265" w:rsidR="000D0EA9" w:rsidRPr="00A13C46" w:rsidRDefault="000D0EA9" w:rsidP="00A13C46">
            <w:pPr>
              <w:tabs>
                <w:tab w:val="left" w:pos="900"/>
              </w:tabs>
              <w:ind w:right="25"/>
              <w:jc w:val="both"/>
              <w:rPr>
                <w:sz w:val="24"/>
                <w:szCs w:val="24"/>
              </w:rPr>
            </w:pPr>
          </w:p>
        </w:tc>
        <w:tc>
          <w:tcPr>
            <w:tcW w:w="1560" w:type="dxa"/>
          </w:tcPr>
          <w:p w14:paraId="0C3F6CDE" w14:textId="1940641B" w:rsidR="000D0EA9" w:rsidRPr="00A13C46" w:rsidRDefault="007407B5" w:rsidP="00A13C46">
            <w:pPr>
              <w:tabs>
                <w:tab w:val="left" w:pos="900"/>
              </w:tabs>
              <w:ind w:left="-78"/>
              <w:jc w:val="both"/>
              <w:rPr>
                <w:sz w:val="24"/>
                <w:szCs w:val="24"/>
              </w:rPr>
            </w:pPr>
            <w:r w:rsidRPr="00A13C46">
              <w:rPr>
                <w:sz w:val="24"/>
                <w:szCs w:val="24"/>
              </w:rPr>
              <w:t>Į</w:t>
            </w:r>
            <w:r w:rsidR="006204C7" w:rsidRPr="00A13C46">
              <w:rPr>
                <w:sz w:val="24"/>
                <w:szCs w:val="24"/>
              </w:rPr>
              <w:t xml:space="preserve">  2020-07-21</w:t>
            </w:r>
          </w:p>
        </w:tc>
        <w:tc>
          <w:tcPr>
            <w:tcW w:w="566" w:type="dxa"/>
          </w:tcPr>
          <w:p w14:paraId="7840395E" w14:textId="77777777" w:rsidR="000D0EA9" w:rsidRPr="00A13C46" w:rsidRDefault="00AD6768" w:rsidP="00A13C46">
            <w:pPr>
              <w:tabs>
                <w:tab w:val="left" w:pos="900"/>
              </w:tabs>
              <w:jc w:val="both"/>
              <w:rPr>
                <w:sz w:val="24"/>
                <w:szCs w:val="24"/>
              </w:rPr>
            </w:pPr>
            <w:r w:rsidRPr="00A13C46">
              <w:rPr>
                <w:sz w:val="24"/>
                <w:szCs w:val="24"/>
              </w:rPr>
              <w:t>Nr.</w:t>
            </w:r>
          </w:p>
        </w:tc>
        <w:tc>
          <w:tcPr>
            <w:tcW w:w="2127" w:type="dxa"/>
          </w:tcPr>
          <w:p w14:paraId="287B713D" w14:textId="77777777" w:rsidR="006204C7" w:rsidRPr="00A13C46" w:rsidRDefault="006204C7" w:rsidP="00A13C46">
            <w:pPr>
              <w:spacing w:line="276" w:lineRule="auto"/>
              <w:jc w:val="both"/>
              <w:rPr>
                <w:sz w:val="24"/>
                <w:szCs w:val="24"/>
              </w:rPr>
            </w:pPr>
            <w:r w:rsidRPr="00A13C46">
              <w:rPr>
                <w:sz w:val="24"/>
                <w:szCs w:val="24"/>
              </w:rPr>
              <w:t>(5.1.68)A5-4171</w:t>
            </w:r>
          </w:p>
          <w:p w14:paraId="52E5B83E" w14:textId="77777777" w:rsidR="000D0EA9" w:rsidRPr="00A13C46" w:rsidRDefault="000D0EA9" w:rsidP="00A13C46">
            <w:pPr>
              <w:tabs>
                <w:tab w:val="left" w:pos="900"/>
              </w:tabs>
              <w:jc w:val="both"/>
              <w:rPr>
                <w:sz w:val="24"/>
                <w:szCs w:val="24"/>
              </w:rPr>
            </w:pPr>
          </w:p>
        </w:tc>
      </w:tr>
    </w:tbl>
    <w:p w14:paraId="35652E6B" w14:textId="4F9B64CE" w:rsidR="00805FB6" w:rsidRPr="00A13C46" w:rsidRDefault="006204C7" w:rsidP="00A13C46">
      <w:pPr>
        <w:shd w:val="clear" w:color="auto" w:fill="FFFFFF"/>
        <w:tabs>
          <w:tab w:val="left" w:pos="900"/>
        </w:tabs>
        <w:jc w:val="both"/>
        <w:rPr>
          <w:bCs/>
          <w:color w:val="000000"/>
          <w:sz w:val="24"/>
          <w:szCs w:val="24"/>
          <w:lang w:eastAsia="lt-LT"/>
        </w:rPr>
      </w:pPr>
      <w:r w:rsidRPr="00A13C46">
        <w:rPr>
          <w:bCs/>
          <w:color w:val="000000"/>
          <w:sz w:val="24"/>
          <w:szCs w:val="24"/>
          <w:lang w:eastAsia="lt-LT"/>
        </w:rPr>
        <w:t>El. p. savivaldybe@klaipedos-r.lt</w:t>
      </w:r>
    </w:p>
    <w:p w14:paraId="05B2A0A8" w14:textId="77777777" w:rsidR="00DF23C2" w:rsidRPr="00A13C46" w:rsidRDefault="00DF23C2" w:rsidP="00A13C46">
      <w:pPr>
        <w:spacing w:line="360" w:lineRule="auto"/>
        <w:jc w:val="both"/>
        <w:rPr>
          <w:color w:val="000000"/>
          <w:sz w:val="24"/>
          <w:szCs w:val="24"/>
          <w:lang w:eastAsia="lt-LT"/>
        </w:rPr>
      </w:pPr>
    </w:p>
    <w:p w14:paraId="50BEAA2F" w14:textId="6D8E062A" w:rsidR="00F62141" w:rsidRPr="00A13C46" w:rsidRDefault="006204C7" w:rsidP="00A13C46">
      <w:pPr>
        <w:jc w:val="both"/>
        <w:rPr>
          <w:b/>
          <w:color w:val="000000"/>
          <w:sz w:val="24"/>
          <w:szCs w:val="24"/>
          <w:lang w:eastAsia="lt-LT"/>
        </w:rPr>
      </w:pPr>
      <w:r w:rsidRPr="00A13C46">
        <w:rPr>
          <w:b/>
          <w:color w:val="000000"/>
          <w:sz w:val="24"/>
          <w:szCs w:val="24"/>
          <w:lang w:eastAsia="lt-LT"/>
        </w:rPr>
        <w:t>SPRENDIMAS DĖL SUTIKIMO VYKDYTI PIRKIMĄ NESKELBIAMŲ DERYBŲ BŪDU</w:t>
      </w:r>
    </w:p>
    <w:p w14:paraId="7C8F60A8" w14:textId="6A77F336" w:rsidR="006204C7" w:rsidRPr="00A13C46" w:rsidRDefault="006204C7" w:rsidP="00A13C46">
      <w:pPr>
        <w:jc w:val="both"/>
        <w:rPr>
          <w:b/>
          <w:color w:val="000000"/>
          <w:sz w:val="24"/>
          <w:szCs w:val="24"/>
          <w:lang w:eastAsia="lt-LT"/>
        </w:rPr>
      </w:pPr>
    </w:p>
    <w:p w14:paraId="16BA5229" w14:textId="04EEA5D2" w:rsidR="006204C7" w:rsidRPr="00A13C46" w:rsidRDefault="006204C7" w:rsidP="00A13C46">
      <w:pPr>
        <w:jc w:val="both"/>
        <w:rPr>
          <w:b/>
          <w:color w:val="000000"/>
          <w:sz w:val="24"/>
          <w:szCs w:val="24"/>
          <w:lang w:eastAsia="lt-LT"/>
        </w:rPr>
      </w:pPr>
    </w:p>
    <w:p w14:paraId="37BBF4D3" w14:textId="28C6F37B" w:rsidR="00CF071A" w:rsidRPr="00A13C46" w:rsidRDefault="006204C7" w:rsidP="00A13C46">
      <w:pPr>
        <w:spacing w:line="360" w:lineRule="auto"/>
        <w:ind w:firstLine="737"/>
        <w:jc w:val="both"/>
        <w:rPr>
          <w:rFonts w:eastAsia="Calibri"/>
          <w:i/>
          <w:iCs/>
          <w:color w:val="000000"/>
          <w:sz w:val="24"/>
          <w:szCs w:val="24"/>
        </w:rPr>
      </w:pPr>
      <w:r w:rsidRPr="00A13C46">
        <w:rPr>
          <w:rFonts w:eastAsia="Calibri"/>
          <w:color w:val="000000"/>
          <w:sz w:val="24"/>
          <w:szCs w:val="24"/>
        </w:rPr>
        <w:t xml:space="preserve">Viešųjų pirkimų tarnyba (toliau – Tarnyba), vadovaudamasi Lietuvos Respublikos viešųjų pirkimų įstatymo (toliau – Įstatymas) 95 straipsnio 2 dalies 6 punkto nuostatomis, išnagrinėjo Klaipėdos rajono savivaldybės administracijos (toliau – Perkančioji organizacija) prašymą sutikti </w:t>
      </w:r>
      <w:r w:rsidRPr="00A13C46">
        <w:rPr>
          <w:rFonts w:eastAsia="Calibri"/>
          <w:i/>
          <w:iCs/>
          <w:color w:val="000000"/>
          <w:sz w:val="24"/>
          <w:szCs w:val="24"/>
        </w:rPr>
        <w:t>Gargždų miesto parko infrastruktūros sutvarkymo (statybos) techninio projekto korektūros</w:t>
      </w:r>
      <w:r w:rsidR="005D2A50" w:rsidRPr="00A13C46">
        <w:rPr>
          <w:rFonts w:eastAsia="Calibri"/>
          <w:i/>
          <w:iCs/>
          <w:color w:val="000000"/>
          <w:sz w:val="24"/>
          <w:szCs w:val="24"/>
        </w:rPr>
        <w:t xml:space="preserve">, </w:t>
      </w:r>
      <w:r w:rsidRPr="00A13C46">
        <w:rPr>
          <w:rFonts w:eastAsia="Calibri"/>
          <w:i/>
          <w:iCs/>
          <w:color w:val="000000"/>
          <w:sz w:val="24"/>
          <w:szCs w:val="24"/>
        </w:rPr>
        <w:t>darbo projekto parengimo</w:t>
      </w:r>
      <w:r w:rsidR="005D2A50" w:rsidRPr="00A13C46">
        <w:rPr>
          <w:rFonts w:eastAsia="Calibri"/>
          <w:i/>
          <w:iCs/>
          <w:color w:val="000000"/>
          <w:sz w:val="24"/>
          <w:szCs w:val="24"/>
        </w:rPr>
        <w:t xml:space="preserve"> ir projekto vykdymo priežiūros </w:t>
      </w:r>
      <w:r w:rsidRPr="00A13C46">
        <w:rPr>
          <w:rFonts w:eastAsia="Calibri"/>
          <w:i/>
          <w:iCs/>
          <w:color w:val="000000"/>
          <w:sz w:val="24"/>
          <w:szCs w:val="24"/>
        </w:rPr>
        <w:t>paslaugų pirkimą</w:t>
      </w:r>
      <w:r w:rsidRPr="00A13C46">
        <w:rPr>
          <w:rFonts w:eastAsia="Calibri"/>
          <w:color w:val="000000"/>
          <w:sz w:val="24"/>
          <w:szCs w:val="24"/>
        </w:rPr>
        <w:t xml:space="preserve"> (toliau – Pirkimas) vykdyti</w:t>
      </w:r>
      <w:r w:rsidRPr="00A13C46">
        <w:rPr>
          <w:rFonts w:eastAsia="Calibri"/>
          <w:i/>
          <w:color w:val="000000"/>
          <w:sz w:val="24"/>
          <w:szCs w:val="24"/>
        </w:rPr>
        <w:t xml:space="preserve"> </w:t>
      </w:r>
      <w:r w:rsidRPr="00A13C46">
        <w:rPr>
          <w:rFonts w:eastAsia="Calibri"/>
          <w:color w:val="000000"/>
          <w:sz w:val="24"/>
          <w:szCs w:val="24"/>
        </w:rPr>
        <w:t>neskelbiamų derybų būdu, vadovaujantis Įstatymo 71 straipsnio 1 dalies 2 punkto (c) papunkčio nuostatomis.</w:t>
      </w:r>
      <w:r w:rsidRPr="00A13C46">
        <w:rPr>
          <w:rFonts w:eastAsia="Calibri"/>
          <w:i/>
          <w:iCs/>
          <w:color w:val="000000"/>
          <w:sz w:val="24"/>
          <w:szCs w:val="24"/>
        </w:rPr>
        <w:t xml:space="preserve"> </w:t>
      </w:r>
    </w:p>
    <w:p w14:paraId="338171DD" w14:textId="213A1A5A" w:rsidR="009C1F3E" w:rsidRPr="00A13C46" w:rsidRDefault="00CF071A" w:rsidP="00A13C46">
      <w:pPr>
        <w:spacing w:line="360" w:lineRule="auto"/>
        <w:ind w:firstLine="737"/>
        <w:jc w:val="both"/>
        <w:rPr>
          <w:color w:val="000000" w:themeColor="text1"/>
          <w:sz w:val="24"/>
          <w:szCs w:val="24"/>
        </w:rPr>
      </w:pPr>
      <w:r w:rsidRPr="00A13C46">
        <w:rPr>
          <w:sz w:val="24"/>
          <w:szCs w:val="24"/>
        </w:rPr>
        <w:t>Tarnybai pateiktame prašyme Perkančioji organizacija nurodė, kad 2016 m.</w:t>
      </w:r>
      <w:r w:rsidR="00FA0AE4" w:rsidRPr="00A13C46">
        <w:rPr>
          <w:sz w:val="24"/>
          <w:szCs w:val="24"/>
        </w:rPr>
        <w:t xml:space="preserve"> </w:t>
      </w:r>
      <w:r w:rsidR="00530693" w:rsidRPr="00A13C46">
        <w:rPr>
          <w:sz w:val="24"/>
          <w:szCs w:val="24"/>
        </w:rPr>
        <w:t>į</w:t>
      </w:r>
      <w:r w:rsidR="00FA0AE4" w:rsidRPr="00A13C46">
        <w:rPr>
          <w:sz w:val="24"/>
          <w:szCs w:val="24"/>
        </w:rPr>
        <w:t>vykdė pirkimą</w:t>
      </w:r>
      <w:r w:rsidR="00530693" w:rsidRPr="00A13C46">
        <w:rPr>
          <w:rStyle w:val="FootnoteReference"/>
          <w:sz w:val="24"/>
          <w:szCs w:val="24"/>
        </w:rPr>
        <w:footnoteReference w:id="1"/>
      </w:r>
      <w:r w:rsidR="00FA0AE4" w:rsidRPr="00A13C46">
        <w:rPr>
          <w:sz w:val="24"/>
          <w:szCs w:val="24"/>
        </w:rPr>
        <w:t xml:space="preserve"> ir</w:t>
      </w:r>
      <w:r w:rsidRPr="00A13C46">
        <w:rPr>
          <w:sz w:val="24"/>
          <w:szCs w:val="24"/>
        </w:rPr>
        <w:t xml:space="preserve"> </w:t>
      </w:r>
      <w:r w:rsidR="00530693" w:rsidRPr="00A13C46">
        <w:rPr>
          <w:sz w:val="24"/>
          <w:szCs w:val="24"/>
        </w:rPr>
        <w:t xml:space="preserve">tų pačių metų </w:t>
      </w:r>
      <w:r w:rsidRPr="00A13C46">
        <w:rPr>
          <w:sz w:val="24"/>
          <w:szCs w:val="24"/>
        </w:rPr>
        <w:t xml:space="preserve">rugsėjo mėn. </w:t>
      </w:r>
      <w:r w:rsidR="00530693" w:rsidRPr="00A13C46">
        <w:rPr>
          <w:sz w:val="24"/>
          <w:szCs w:val="24"/>
        </w:rPr>
        <w:t>su ūkio subjektų grupe, sudaryta iš UAB „Aketuri architektai“ ir UAB „Klaipėdos projektai“ (toliau – Tiekėjas)</w:t>
      </w:r>
      <w:r w:rsidR="002C4D5D" w:rsidRPr="00A13C46">
        <w:rPr>
          <w:rStyle w:val="FootnoteReference"/>
          <w:sz w:val="24"/>
          <w:szCs w:val="24"/>
        </w:rPr>
        <w:footnoteReference w:id="2"/>
      </w:r>
      <w:r w:rsidR="00530693" w:rsidRPr="00A13C46">
        <w:rPr>
          <w:sz w:val="24"/>
          <w:szCs w:val="24"/>
        </w:rPr>
        <w:t xml:space="preserve">, </w:t>
      </w:r>
      <w:r w:rsidRPr="00A13C46">
        <w:rPr>
          <w:sz w:val="24"/>
          <w:szCs w:val="24"/>
        </w:rPr>
        <w:t>pasirašė sutartį</w:t>
      </w:r>
      <w:r w:rsidRPr="00A13C46">
        <w:rPr>
          <w:rStyle w:val="FootnoteReference"/>
          <w:sz w:val="24"/>
          <w:szCs w:val="24"/>
        </w:rPr>
        <w:footnoteReference w:id="3"/>
      </w:r>
      <w:r w:rsidRPr="00A13C46">
        <w:rPr>
          <w:sz w:val="24"/>
          <w:szCs w:val="24"/>
        </w:rPr>
        <w:t xml:space="preserve"> kurios pagrindu Tiekėjas įsipareigojo parengti Gargždų miesto parko infrastruktūros sutvarkymo (statybos) projektą (toliau –</w:t>
      </w:r>
      <w:r w:rsidR="00530693" w:rsidRPr="00A13C46">
        <w:rPr>
          <w:sz w:val="24"/>
          <w:szCs w:val="24"/>
        </w:rPr>
        <w:t>P</w:t>
      </w:r>
      <w:r w:rsidRPr="00A13C46">
        <w:rPr>
          <w:sz w:val="24"/>
          <w:szCs w:val="24"/>
        </w:rPr>
        <w:t xml:space="preserve">rojektas) ir teikti </w:t>
      </w:r>
      <w:r w:rsidR="00530693" w:rsidRPr="00A13C46">
        <w:rPr>
          <w:sz w:val="24"/>
          <w:szCs w:val="24"/>
        </w:rPr>
        <w:t>P</w:t>
      </w:r>
      <w:r w:rsidRPr="00A13C46">
        <w:rPr>
          <w:sz w:val="24"/>
          <w:szCs w:val="24"/>
        </w:rPr>
        <w:t xml:space="preserve">rojekto vykdymo priežiūros </w:t>
      </w:r>
      <w:r w:rsidRPr="00A13C46">
        <w:rPr>
          <w:color w:val="000000" w:themeColor="text1"/>
          <w:sz w:val="24"/>
          <w:szCs w:val="24"/>
        </w:rPr>
        <w:t>paslaugas statybos (darbų) laikotarpiu.</w:t>
      </w:r>
      <w:r w:rsidR="00A13C46">
        <w:rPr>
          <w:color w:val="000000" w:themeColor="text1"/>
          <w:sz w:val="24"/>
          <w:szCs w:val="24"/>
        </w:rPr>
        <w:t xml:space="preserve"> </w:t>
      </w:r>
      <w:r w:rsidR="008F73D6" w:rsidRPr="00A13C46">
        <w:rPr>
          <w:color w:val="000000" w:themeColor="text1"/>
          <w:sz w:val="24"/>
          <w:szCs w:val="24"/>
        </w:rPr>
        <w:t xml:space="preserve">Tiekėjas, vadovaudamasis </w:t>
      </w:r>
      <w:r w:rsidR="007008FA" w:rsidRPr="00A13C46">
        <w:rPr>
          <w:color w:val="000000" w:themeColor="text1"/>
          <w:sz w:val="24"/>
          <w:szCs w:val="24"/>
        </w:rPr>
        <w:t>s</w:t>
      </w:r>
      <w:r w:rsidR="008F73D6" w:rsidRPr="00A13C46">
        <w:rPr>
          <w:color w:val="000000" w:themeColor="text1"/>
          <w:sz w:val="24"/>
          <w:szCs w:val="24"/>
        </w:rPr>
        <w:t>utarties nuostatomis, parengė Projektą</w:t>
      </w:r>
      <w:r w:rsidR="008F73D6" w:rsidRPr="00A13C46">
        <w:rPr>
          <w:rStyle w:val="FootnoteReference"/>
          <w:color w:val="000000" w:themeColor="text1"/>
          <w:sz w:val="24"/>
          <w:szCs w:val="24"/>
        </w:rPr>
        <w:footnoteReference w:id="4"/>
      </w:r>
      <w:r w:rsidR="008F73D6" w:rsidRPr="00A13C46">
        <w:rPr>
          <w:color w:val="000000" w:themeColor="text1"/>
          <w:sz w:val="24"/>
          <w:szCs w:val="24"/>
        </w:rPr>
        <w:t xml:space="preserve">. </w:t>
      </w:r>
      <w:r w:rsidR="009C1F3E" w:rsidRPr="00A13C46">
        <w:rPr>
          <w:color w:val="000000" w:themeColor="text1"/>
          <w:sz w:val="24"/>
          <w:szCs w:val="24"/>
        </w:rPr>
        <w:t xml:space="preserve">Perkančioji organizacija </w:t>
      </w:r>
      <w:r w:rsidR="007E7A01">
        <w:rPr>
          <w:color w:val="000000" w:themeColor="text1"/>
          <w:sz w:val="24"/>
          <w:szCs w:val="24"/>
        </w:rPr>
        <w:t>nurodė</w:t>
      </w:r>
      <w:r w:rsidR="009C1F3E" w:rsidRPr="00A13C46">
        <w:rPr>
          <w:color w:val="000000" w:themeColor="text1"/>
          <w:sz w:val="24"/>
          <w:szCs w:val="24"/>
        </w:rPr>
        <w:t xml:space="preserve">, kad </w:t>
      </w:r>
      <w:r w:rsidR="00255538">
        <w:rPr>
          <w:color w:val="000000" w:themeColor="text1"/>
          <w:sz w:val="24"/>
          <w:szCs w:val="24"/>
        </w:rPr>
        <w:t>rangos darbai pagal parengtą Projektą nebuvo vykdomi, kadangi skelbiant rangos darbų pirkimus</w:t>
      </w:r>
      <w:r w:rsidR="009B2C0A">
        <w:rPr>
          <w:color w:val="000000" w:themeColor="text1"/>
          <w:sz w:val="24"/>
          <w:szCs w:val="24"/>
        </w:rPr>
        <w:t>,</w:t>
      </w:r>
      <w:r w:rsidR="00255538">
        <w:rPr>
          <w:color w:val="000000" w:themeColor="text1"/>
          <w:sz w:val="24"/>
          <w:szCs w:val="24"/>
        </w:rPr>
        <w:t xml:space="preserve"> konkursų dalyviai pateikdavo pirkimo biudžetą viršijančias rangos darbų kainas. Atsižvelgiant į tai</w:t>
      </w:r>
      <w:r w:rsidR="007E7A01">
        <w:rPr>
          <w:color w:val="000000" w:themeColor="text1"/>
          <w:sz w:val="24"/>
          <w:szCs w:val="24"/>
        </w:rPr>
        <w:t>,</w:t>
      </w:r>
      <w:r w:rsidR="00255538">
        <w:rPr>
          <w:color w:val="000000" w:themeColor="text1"/>
          <w:sz w:val="24"/>
          <w:szCs w:val="24"/>
        </w:rPr>
        <w:t xml:space="preserve"> buvo peržiūrėtas </w:t>
      </w:r>
      <w:r w:rsidR="00530693" w:rsidRPr="00A13C46">
        <w:rPr>
          <w:color w:val="000000" w:themeColor="text1"/>
          <w:sz w:val="24"/>
          <w:szCs w:val="24"/>
        </w:rPr>
        <w:t>Projekt</w:t>
      </w:r>
      <w:r w:rsidR="00255538">
        <w:rPr>
          <w:color w:val="000000" w:themeColor="text1"/>
          <w:sz w:val="24"/>
          <w:szCs w:val="24"/>
        </w:rPr>
        <w:t>as ir nuspręsta</w:t>
      </w:r>
      <w:r w:rsidR="00530693" w:rsidRPr="00A13C46">
        <w:rPr>
          <w:color w:val="000000" w:themeColor="text1"/>
          <w:sz w:val="24"/>
          <w:szCs w:val="24"/>
        </w:rPr>
        <w:t xml:space="preserve"> išskirti svarbiausius infrastruktūros objektus, juos detalizuoti darbo projekte</w:t>
      </w:r>
      <w:r w:rsidR="008F73D6" w:rsidRPr="00A13C46">
        <w:rPr>
          <w:color w:val="000000" w:themeColor="text1"/>
          <w:sz w:val="24"/>
          <w:szCs w:val="24"/>
        </w:rPr>
        <w:t>, patikslinti darbų kiekių žiniaraščius</w:t>
      </w:r>
      <w:r w:rsidR="007E7A01">
        <w:rPr>
          <w:color w:val="000000" w:themeColor="text1"/>
          <w:sz w:val="24"/>
          <w:szCs w:val="24"/>
        </w:rPr>
        <w:t>.</w:t>
      </w:r>
      <w:r w:rsidR="007008FA" w:rsidRPr="00A13C46">
        <w:rPr>
          <w:color w:val="000000" w:themeColor="text1"/>
          <w:sz w:val="24"/>
          <w:szCs w:val="24"/>
        </w:rPr>
        <w:t xml:space="preserve"> </w:t>
      </w:r>
      <w:r w:rsidR="008F73D6" w:rsidRPr="00A13C46">
        <w:rPr>
          <w:color w:val="000000" w:themeColor="text1"/>
          <w:sz w:val="24"/>
          <w:szCs w:val="24"/>
        </w:rPr>
        <w:t xml:space="preserve">Perkančioji organizacija nurodo, kad siekiama atlikti šių objektų </w:t>
      </w:r>
      <w:r w:rsidR="008F73D6" w:rsidRPr="00A13C46">
        <w:rPr>
          <w:color w:val="000000" w:themeColor="text1"/>
          <w:sz w:val="24"/>
          <w:szCs w:val="24"/>
        </w:rPr>
        <w:lastRenderedPageBreak/>
        <w:t xml:space="preserve">detalizaciją </w:t>
      </w:r>
      <w:r w:rsidR="006F2CA4" w:rsidRPr="00A13C46">
        <w:rPr>
          <w:color w:val="000000" w:themeColor="text1"/>
          <w:sz w:val="24"/>
          <w:szCs w:val="24"/>
        </w:rPr>
        <w:t>bei</w:t>
      </w:r>
      <w:r w:rsidR="008F73D6" w:rsidRPr="00A13C46">
        <w:rPr>
          <w:color w:val="000000" w:themeColor="text1"/>
          <w:sz w:val="24"/>
          <w:szCs w:val="24"/>
        </w:rPr>
        <w:t xml:space="preserve"> kitus projektinius darbus</w:t>
      </w:r>
      <w:r w:rsidR="005E7762">
        <w:rPr>
          <w:color w:val="000000" w:themeColor="text1"/>
          <w:sz w:val="24"/>
          <w:szCs w:val="24"/>
        </w:rPr>
        <w:t>:</w:t>
      </w:r>
      <w:r w:rsidR="002C188B" w:rsidRPr="00A13C46">
        <w:rPr>
          <w:color w:val="000000" w:themeColor="text1"/>
          <w:sz w:val="24"/>
          <w:szCs w:val="24"/>
        </w:rPr>
        <w:t xml:space="preserve"> numatyta</w:t>
      </w:r>
      <w:r w:rsidR="008F51E5" w:rsidRPr="00A13C46">
        <w:rPr>
          <w:color w:val="000000" w:themeColor="text1"/>
          <w:sz w:val="24"/>
          <w:szCs w:val="24"/>
        </w:rPr>
        <w:t xml:space="preserve"> </w:t>
      </w:r>
      <w:r w:rsidR="008F51E5" w:rsidRPr="00A13C46">
        <w:rPr>
          <w:color w:val="000000" w:themeColor="text1"/>
          <w:sz w:val="24"/>
          <w:szCs w:val="24"/>
          <w:u w:val="single"/>
        </w:rPr>
        <w:t>detalizuoti (optimizuoti, keisti, koreguoti)</w:t>
      </w:r>
      <w:r w:rsidR="005E7762">
        <w:rPr>
          <w:color w:val="000000" w:themeColor="text1"/>
          <w:sz w:val="24"/>
          <w:szCs w:val="24"/>
          <w:u w:val="single"/>
        </w:rPr>
        <w:t xml:space="preserve"> – </w:t>
      </w:r>
      <w:r w:rsidR="008F51E5" w:rsidRPr="00A13C46">
        <w:rPr>
          <w:color w:val="000000" w:themeColor="text1"/>
          <w:sz w:val="24"/>
          <w:szCs w:val="24"/>
        </w:rPr>
        <w:t>„Šeimos“, „Istorijos“, „Kultūros“ takų sprendinius ir įvertinti bei integruoti į projektuojamo daugiafunkcio sporto pastato teritoriją; kitus takelius viršutinėje parko terasos dalyje; takus prie Gargždų krašto muziejaus ir apleistų pamatų; senuosius ir naujuosius laiptus; vandentiekio ir nuotekų tinklus pagal poreikį; apšvietimo tinklus, mažinti kiekius ir keisti technines char</w:t>
      </w:r>
      <w:r w:rsidR="005E7762">
        <w:rPr>
          <w:color w:val="000000" w:themeColor="text1"/>
          <w:sz w:val="24"/>
          <w:szCs w:val="24"/>
        </w:rPr>
        <w:t>a</w:t>
      </w:r>
      <w:r w:rsidR="008F51E5" w:rsidRPr="00A13C46">
        <w:rPr>
          <w:color w:val="000000" w:themeColor="text1"/>
          <w:sz w:val="24"/>
          <w:szCs w:val="24"/>
        </w:rPr>
        <w:t xml:space="preserve">kteristikas; amfiteatrą ir gretimą teritoriją; vaikų žaidimų aikštelę; senvagės su tilteliu teritoriją; </w:t>
      </w:r>
      <w:r w:rsidR="008F51E5" w:rsidRPr="00A13C46">
        <w:rPr>
          <w:color w:val="000000" w:themeColor="text1"/>
          <w:sz w:val="24"/>
          <w:szCs w:val="24"/>
          <w:u w:val="single"/>
        </w:rPr>
        <w:t>į darbų kiekius įtraukti</w:t>
      </w:r>
      <w:r w:rsidR="008F51E5" w:rsidRPr="00A13C46">
        <w:rPr>
          <w:color w:val="000000" w:themeColor="text1"/>
          <w:sz w:val="24"/>
          <w:szCs w:val="24"/>
        </w:rPr>
        <w:t xml:space="preserve"> esamo viešojo tualeto nugriovimą ir naujo pastatymą; mažąją architektūrą, optimizuoti kiekius ir jei reikalinga pateikti kitus dizaino sprendimus</w:t>
      </w:r>
      <w:r w:rsidR="00285930" w:rsidRPr="00A13C46">
        <w:rPr>
          <w:color w:val="000000" w:themeColor="text1"/>
          <w:sz w:val="24"/>
          <w:szCs w:val="24"/>
        </w:rPr>
        <w:t xml:space="preserve"> ir kt.</w:t>
      </w:r>
      <w:r w:rsidR="009B2C0A" w:rsidRPr="00A13C46">
        <w:rPr>
          <w:rStyle w:val="FootnoteReference"/>
          <w:color w:val="000000" w:themeColor="text1"/>
          <w:sz w:val="24"/>
          <w:szCs w:val="24"/>
        </w:rPr>
        <w:footnoteReference w:id="5"/>
      </w:r>
      <w:r w:rsidR="00285930" w:rsidRPr="00A13C46">
        <w:rPr>
          <w:color w:val="000000" w:themeColor="text1"/>
          <w:sz w:val="24"/>
          <w:szCs w:val="24"/>
        </w:rPr>
        <w:t xml:space="preserve"> </w:t>
      </w:r>
      <w:r w:rsidR="007E7A01">
        <w:rPr>
          <w:color w:val="000000" w:themeColor="text1"/>
          <w:sz w:val="24"/>
          <w:szCs w:val="24"/>
        </w:rPr>
        <w:t xml:space="preserve">Pažymėtina, kad </w:t>
      </w:r>
      <w:r w:rsidR="007E7A01" w:rsidRPr="00A13C46">
        <w:rPr>
          <w:color w:val="000000" w:themeColor="text1"/>
          <w:sz w:val="24"/>
          <w:szCs w:val="24"/>
        </w:rPr>
        <w:t xml:space="preserve">rangos darbai </w:t>
      </w:r>
      <w:r w:rsidR="007E7A01">
        <w:rPr>
          <w:color w:val="000000" w:themeColor="text1"/>
          <w:sz w:val="24"/>
          <w:szCs w:val="24"/>
        </w:rPr>
        <w:t xml:space="preserve">pagal parengtą Projektą </w:t>
      </w:r>
      <w:r w:rsidR="007E7A01" w:rsidRPr="00A13C46">
        <w:rPr>
          <w:color w:val="000000" w:themeColor="text1"/>
          <w:sz w:val="24"/>
          <w:szCs w:val="24"/>
        </w:rPr>
        <w:t xml:space="preserve">nebuvo </w:t>
      </w:r>
      <w:r w:rsidR="007E7A01">
        <w:rPr>
          <w:color w:val="000000" w:themeColor="text1"/>
          <w:sz w:val="24"/>
          <w:szCs w:val="24"/>
        </w:rPr>
        <w:t xml:space="preserve">vykdomi, todėl nebuvo teikiamos Sutartyje nurodytos Projekto </w:t>
      </w:r>
      <w:r w:rsidR="007E7A01" w:rsidRPr="00A13C46">
        <w:rPr>
          <w:color w:val="000000" w:themeColor="text1"/>
          <w:sz w:val="24"/>
          <w:szCs w:val="24"/>
        </w:rPr>
        <w:t>vykdymo priežiūros paslaugos</w:t>
      </w:r>
      <w:r w:rsidR="007E7A01">
        <w:rPr>
          <w:color w:val="000000" w:themeColor="text1"/>
          <w:sz w:val="24"/>
          <w:szCs w:val="24"/>
        </w:rPr>
        <w:t xml:space="preserve">, t. y. Perkančioji organizacija šiuo Pirkimu siekia įsigyti ir Projekto vykdymo priežiūros paslaugas, kurias Projekto rengėjas </w:t>
      </w:r>
      <w:r w:rsidR="009B2C0A">
        <w:rPr>
          <w:color w:val="000000" w:themeColor="text1"/>
          <w:sz w:val="24"/>
          <w:szCs w:val="24"/>
        </w:rPr>
        <w:t>sutinka teikti už tą pačią kainą, kuri buvo nustatyta Sutartyje</w:t>
      </w:r>
      <w:r w:rsidR="009B2C0A">
        <w:rPr>
          <w:rStyle w:val="FootnoteReference"/>
          <w:color w:val="000000" w:themeColor="text1"/>
          <w:sz w:val="24"/>
          <w:szCs w:val="24"/>
        </w:rPr>
        <w:footnoteReference w:id="6"/>
      </w:r>
      <w:r w:rsidR="007E7A01" w:rsidRPr="00A13C46">
        <w:rPr>
          <w:color w:val="000000" w:themeColor="text1"/>
          <w:sz w:val="24"/>
          <w:szCs w:val="24"/>
        </w:rPr>
        <w:t>.</w:t>
      </w:r>
    </w:p>
    <w:p w14:paraId="7EAD0933" w14:textId="6908B1E1" w:rsidR="00F04368" w:rsidRPr="00A13C46" w:rsidRDefault="00D3403B" w:rsidP="00A13C46">
      <w:pPr>
        <w:spacing w:line="360" w:lineRule="auto"/>
        <w:ind w:firstLine="737"/>
        <w:jc w:val="both"/>
        <w:rPr>
          <w:i/>
          <w:iCs/>
          <w:color w:val="000000" w:themeColor="text1"/>
          <w:sz w:val="24"/>
          <w:szCs w:val="24"/>
        </w:rPr>
      </w:pPr>
      <w:r w:rsidRPr="00A13C46">
        <w:rPr>
          <w:color w:val="000000" w:themeColor="text1"/>
          <w:sz w:val="24"/>
          <w:szCs w:val="24"/>
        </w:rPr>
        <w:t>Lietuvos Respublikos aplinkos ministro įsakymu</w:t>
      </w:r>
      <w:r w:rsidRPr="00A13C46">
        <w:rPr>
          <w:rStyle w:val="FootnoteReference"/>
          <w:color w:val="000000" w:themeColor="text1"/>
          <w:sz w:val="24"/>
          <w:szCs w:val="24"/>
        </w:rPr>
        <w:footnoteReference w:id="7"/>
      </w:r>
      <w:r w:rsidRPr="00A13C46">
        <w:rPr>
          <w:color w:val="000000" w:themeColor="text1"/>
          <w:sz w:val="24"/>
          <w:szCs w:val="24"/>
        </w:rPr>
        <w:t xml:space="preserve"> patvirtinto Statybos techninio reglamento STR </w:t>
      </w:r>
      <w:r w:rsidRPr="00A13C46">
        <w:rPr>
          <w:bCs/>
          <w:caps/>
          <w:color w:val="000000" w:themeColor="text1"/>
          <w:sz w:val="24"/>
          <w:szCs w:val="24"/>
        </w:rPr>
        <w:t>1.04.04:2017</w:t>
      </w:r>
      <w:r w:rsidRPr="00A13C46">
        <w:rPr>
          <w:b/>
          <w:bCs/>
          <w:caps/>
          <w:color w:val="000000" w:themeColor="text1"/>
          <w:sz w:val="24"/>
          <w:szCs w:val="24"/>
        </w:rPr>
        <w:t xml:space="preserve"> </w:t>
      </w:r>
      <w:r w:rsidRPr="00A13C46">
        <w:rPr>
          <w:color w:val="000000" w:themeColor="text1"/>
          <w:sz w:val="24"/>
          <w:szCs w:val="24"/>
        </w:rPr>
        <w:t>„S</w:t>
      </w:r>
      <w:r w:rsidRPr="00A13C46">
        <w:rPr>
          <w:bCs/>
          <w:color w:val="000000" w:themeColor="text1"/>
          <w:sz w:val="24"/>
          <w:szCs w:val="24"/>
        </w:rPr>
        <w:t>tatinio projektavimas, projekto ekspertizė</w:t>
      </w:r>
      <w:r w:rsidRPr="00A13C46">
        <w:rPr>
          <w:color w:val="000000" w:themeColor="text1"/>
          <w:sz w:val="24"/>
          <w:szCs w:val="24"/>
        </w:rPr>
        <w:t xml:space="preserve">“ (toliau – Reglamentas) </w:t>
      </w:r>
      <w:r w:rsidR="0034199B" w:rsidRPr="00A13C46">
        <w:rPr>
          <w:color w:val="000000" w:themeColor="text1"/>
          <w:sz w:val="24"/>
          <w:szCs w:val="24"/>
        </w:rPr>
        <w:t>41</w:t>
      </w:r>
      <w:r w:rsidRPr="00A13C46">
        <w:rPr>
          <w:color w:val="000000" w:themeColor="text1"/>
          <w:sz w:val="24"/>
          <w:szCs w:val="24"/>
        </w:rPr>
        <w:t xml:space="preserve"> punkte </w:t>
      </w:r>
      <w:r w:rsidR="0034199B" w:rsidRPr="00A13C46">
        <w:rPr>
          <w:color w:val="000000" w:themeColor="text1"/>
          <w:sz w:val="24"/>
          <w:szCs w:val="24"/>
        </w:rPr>
        <w:t>nustatyta</w:t>
      </w:r>
      <w:r w:rsidRPr="00A13C46">
        <w:rPr>
          <w:color w:val="000000" w:themeColor="text1"/>
          <w:sz w:val="24"/>
          <w:szCs w:val="24"/>
        </w:rPr>
        <w:t xml:space="preserve">, kad </w:t>
      </w:r>
      <w:r w:rsidR="0034199B" w:rsidRPr="00A13C46">
        <w:rPr>
          <w:color w:val="000000" w:themeColor="text1"/>
          <w:sz w:val="24"/>
          <w:szCs w:val="24"/>
        </w:rPr>
        <w:t>„</w:t>
      </w:r>
      <w:r w:rsidR="006F2CA4" w:rsidRPr="00A13C46">
        <w:rPr>
          <w:color w:val="000000" w:themeColor="text1"/>
          <w:sz w:val="24"/>
          <w:szCs w:val="24"/>
        </w:rPr>
        <w:t xml:space="preserve">&lt;...&gt; </w:t>
      </w:r>
      <w:r w:rsidR="0034199B" w:rsidRPr="00A13C46">
        <w:rPr>
          <w:i/>
          <w:iCs/>
          <w:color w:val="000000" w:themeColor="text1"/>
          <w:sz w:val="24"/>
          <w:szCs w:val="24"/>
        </w:rPr>
        <w:t>Projektuotojas turi savo parengto projekto autorines teises</w:t>
      </w:r>
      <w:r w:rsidR="006F2CA4" w:rsidRPr="00A13C46">
        <w:rPr>
          <w:i/>
          <w:iCs/>
          <w:color w:val="000000" w:themeColor="text1"/>
          <w:sz w:val="24"/>
          <w:szCs w:val="24"/>
        </w:rPr>
        <w:t xml:space="preserve"> &lt;...&gt;</w:t>
      </w:r>
      <w:r w:rsidR="0034199B" w:rsidRPr="00A13C46">
        <w:rPr>
          <w:i/>
          <w:iCs/>
          <w:color w:val="000000" w:themeColor="text1"/>
          <w:sz w:val="24"/>
          <w:szCs w:val="24"/>
        </w:rPr>
        <w:t>“</w:t>
      </w:r>
      <w:r w:rsidR="0034199B" w:rsidRPr="00A13C46">
        <w:rPr>
          <w:color w:val="000000" w:themeColor="text1"/>
          <w:sz w:val="24"/>
          <w:szCs w:val="24"/>
        </w:rPr>
        <w:t>, o 42 punkte nurodyta, kad</w:t>
      </w:r>
      <w:r w:rsidR="0034199B" w:rsidRPr="00A13C46">
        <w:rPr>
          <w:i/>
          <w:iCs/>
          <w:color w:val="000000" w:themeColor="text1"/>
          <w:sz w:val="24"/>
          <w:szCs w:val="24"/>
        </w:rPr>
        <w:t xml:space="preserve"> „</w:t>
      </w:r>
      <w:r w:rsidR="006F2CA4" w:rsidRPr="00A13C46">
        <w:rPr>
          <w:i/>
          <w:iCs/>
          <w:color w:val="000000" w:themeColor="text1"/>
          <w:sz w:val="24"/>
          <w:szCs w:val="24"/>
        </w:rPr>
        <w:t xml:space="preserve">&lt;...&gt; </w:t>
      </w:r>
      <w:r w:rsidR="0034199B" w:rsidRPr="00A13C46">
        <w:rPr>
          <w:i/>
          <w:iCs/>
          <w:color w:val="000000" w:themeColor="text1"/>
          <w:sz w:val="24"/>
          <w:szCs w:val="24"/>
        </w:rPr>
        <w:t>Projekto keitimus ir (ar) papildymus atlieka projektą parengęs projektuotojas, parengiant naujos laidos projektą ar</w:t>
      </w:r>
      <w:r w:rsidR="0034199B" w:rsidRPr="00A13C46">
        <w:rPr>
          <w:b/>
          <w:bCs/>
          <w:i/>
          <w:iCs/>
          <w:color w:val="000000" w:themeColor="text1"/>
          <w:sz w:val="24"/>
          <w:szCs w:val="24"/>
        </w:rPr>
        <w:t> </w:t>
      </w:r>
      <w:r w:rsidR="0034199B" w:rsidRPr="00A13C46">
        <w:rPr>
          <w:i/>
          <w:iCs/>
          <w:color w:val="000000" w:themeColor="text1"/>
          <w:sz w:val="24"/>
          <w:szCs w:val="24"/>
        </w:rPr>
        <w:t>projekto sprendinių dokumentą (-us).“</w:t>
      </w:r>
      <w:r w:rsidR="00F95B20" w:rsidRPr="00A13C46">
        <w:rPr>
          <w:i/>
          <w:iCs/>
          <w:color w:val="000000" w:themeColor="text1"/>
          <w:sz w:val="24"/>
          <w:szCs w:val="24"/>
        </w:rPr>
        <w:t xml:space="preserve"> </w:t>
      </w:r>
      <w:r w:rsidRPr="00A13C46">
        <w:rPr>
          <w:color w:val="000000" w:themeColor="text1"/>
          <w:sz w:val="24"/>
          <w:szCs w:val="24"/>
        </w:rPr>
        <w:t xml:space="preserve">Reglamento </w:t>
      </w:r>
      <w:r w:rsidR="0034199B" w:rsidRPr="00A13C46">
        <w:rPr>
          <w:color w:val="000000" w:themeColor="text1"/>
          <w:sz w:val="24"/>
          <w:szCs w:val="24"/>
        </w:rPr>
        <w:t xml:space="preserve">9 </w:t>
      </w:r>
      <w:r w:rsidRPr="00A13C46">
        <w:rPr>
          <w:color w:val="000000" w:themeColor="text1"/>
          <w:sz w:val="24"/>
          <w:szCs w:val="24"/>
        </w:rPr>
        <w:t>punkte</w:t>
      </w:r>
      <w:r w:rsidR="0034199B" w:rsidRPr="00A13C46">
        <w:rPr>
          <w:color w:val="000000" w:themeColor="text1"/>
          <w:sz w:val="24"/>
          <w:szCs w:val="24"/>
        </w:rPr>
        <w:t xml:space="preserve"> įtvirtinta </w:t>
      </w:r>
      <w:r w:rsidR="0034199B" w:rsidRPr="00A13C46">
        <w:rPr>
          <w:i/>
          <w:iCs/>
          <w:color w:val="000000" w:themeColor="text1"/>
          <w:sz w:val="24"/>
          <w:szCs w:val="24"/>
        </w:rPr>
        <w:t>„</w:t>
      </w:r>
      <w:r w:rsidR="00AD4BA6" w:rsidRPr="00A13C46">
        <w:rPr>
          <w:i/>
          <w:iCs/>
          <w:color w:val="000000" w:themeColor="text1"/>
          <w:sz w:val="24"/>
          <w:szCs w:val="24"/>
        </w:rPr>
        <w:t>Darbo projektą rengia projektuotojas, parengęs techninį projektą</w:t>
      </w:r>
      <w:r w:rsidR="006F2CA4" w:rsidRPr="00A13C46">
        <w:rPr>
          <w:i/>
          <w:iCs/>
          <w:color w:val="000000" w:themeColor="text1"/>
          <w:sz w:val="24"/>
          <w:szCs w:val="24"/>
        </w:rPr>
        <w:t>. Kitas projektuotojas gali rengti darbo projektą, jei:</w:t>
      </w:r>
      <w:r w:rsidR="006F2CA4" w:rsidRPr="00A13C46">
        <w:rPr>
          <w:color w:val="000000" w:themeColor="text1"/>
          <w:sz w:val="24"/>
          <w:szCs w:val="24"/>
        </w:rPr>
        <w:t xml:space="preserve"> </w:t>
      </w:r>
      <w:r w:rsidR="006F2CA4" w:rsidRPr="00A13C46">
        <w:rPr>
          <w:i/>
          <w:iCs/>
          <w:color w:val="000000" w:themeColor="text1"/>
          <w:sz w:val="24"/>
          <w:szCs w:val="24"/>
        </w:rPr>
        <w:t xml:space="preserve">projektuotojas, parengęs techninį projektą: </w:t>
      </w:r>
      <w:r w:rsidR="00E26FDE" w:rsidRPr="00A13C46">
        <w:rPr>
          <w:i/>
          <w:iCs/>
          <w:color w:val="000000" w:themeColor="text1"/>
          <w:sz w:val="24"/>
          <w:szCs w:val="24"/>
        </w:rPr>
        <w:t>„</w:t>
      </w:r>
      <w:r w:rsidR="00AD4BA6" w:rsidRPr="00A13C46">
        <w:rPr>
          <w:i/>
          <w:iCs/>
          <w:color w:val="000000" w:themeColor="text1"/>
          <w:sz w:val="24"/>
          <w:szCs w:val="24"/>
        </w:rPr>
        <w:t>9.1.1. nutraukė projektavimo veiklą arba nebeegzistuoja;</w:t>
      </w:r>
      <w:r w:rsidR="00E26FDE" w:rsidRPr="00A13C46">
        <w:rPr>
          <w:i/>
          <w:iCs/>
          <w:color w:val="000000" w:themeColor="text1"/>
          <w:sz w:val="24"/>
          <w:szCs w:val="24"/>
        </w:rPr>
        <w:t xml:space="preserve"> </w:t>
      </w:r>
      <w:r w:rsidR="00AD4BA6" w:rsidRPr="00A13C46">
        <w:rPr>
          <w:i/>
          <w:iCs/>
          <w:color w:val="000000" w:themeColor="text1"/>
          <w:sz w:val="24"/>
          <w:szCs w:val="24"/>
        </w:rPr>
        <w:t>9.1.2. neprieštaravo, kad darbo projektą parengtų kitas projektuotojas, apie tai statytojui patvirtindamas raštu ar nurodė techninio projekto projektavimo darbų sutartyje;</w:t>
      </w:r>
      <w:r w:rsidR="00E26FDE" w:rsidRPr="00A13C46">
        <w:rPr>
          <w:i/>
          <w:iCs/>
          <w:color w:val="000000" w:themeColor="text1"/>
          <w:sz w:val="24"/>
          <w:szCs w:val="24"/>
        </w:rPr>
        <w:t xml:space="preserve"> </w:t>
      </w:r>
      <w:r w:rsidR="00AD4BA6" w:rsidRPr="00A13C46">
        <w:rPr>
          <w:i/>
          <w:iCs/>
          <w:color w:val="000000" w:themeColor="text1"/>
          <w:sz w:val="24"/>
          <w:szCs w:val="24"/>
        </w:rPr>
        <w:t>9.1.3. gavęs statytojo sutikimą raštu, pasamdė kitą projektuotoją darbo projektui parengti</w:t>
      </w:r>
      <w:r w:rsidR="00E26FDE" w:rsidRPr="00A13C46">
        <w:rPr>
          <w:i/>
          <w:iCs/>
          <w:color w:val="000000" w:themeColor="text1"/>
          <w:sz w:val="24"/>
          <w:szCs w:val="24"/>
        </w:rPr>
        <w:t>“</w:t>
      </w:r>
      <w:r w:rsidR="006F2CA4" w:rsidRPr="00A13C46">
        <w:rPr>
          <w:i/>
          <w:iCs/>
          <w:color w:val="000000" w:themeColor="text1"/>
          <w:sz w:val="24"/>
          <w:szCs w:val="24"/>
        </w:rPr>
        <w:t>.</w:t>
      </w:r>
    </w:p>
    <w:p w14:paraId="5CE02C9A" w14:textId="27E8D676" w:rsidR="005D2A50" w:rsidRPr="00A13C46" w:rsidRDefault="005D2A50" w:rsidP="00A13C46">
      <w:pPr>
        <w:spacing w:line="360" w:lineRule="auto"/>
        <w:ind w:firstLine="737"/>
        <w:jc w:val="both"/>
        <w:rPr>
          <w:i/>
          <w:iCs/>
          <w:color w:val="000000" w:themeColor="text1"/>
          <w:sz w:val="24"/>
          <w:szCs w:val="24"/>
        </w:rPr>
      </w:pPr>
      <w:r w:rsidRPr="00A13C46">
        <w:rPr>
          <w:color w:val="000000" w:themeColor="text1"/>
          <w:sz w:val="24"/>
          <w:szCs w:val="24"/>
        </w:rPr>
        <w:t>Lietuvos Respublikos statybos įstatymo 36 str. 3 d. nustatyta, kad</w:t>
      </w:r>
      <w:r w:rsidRPr="00A13C46">
        <w:rPr>
          <w:i/>
          <w:iCs/>
          <w:color w:val="000000" w:themeColor="text1"/>
          <w:sz w:val="24"/>
          <w:szCs w:val="24"/>
        </w:rPr>
        <w:t xml:space="preserve"> „Statinio projekto vykdymo priežiūrą (statybos metu) statinio projektuotojo pavedimu atlieka statinio projekto rengėjas pagal statytojo (užsakovo) ir statinio projektuotojo sutartį. Statinio projektuotojo rašytiniu sutikimu arba kai statinio projektuotojo nebėra &lt;...&gt;, statinio projekto vykdymo priežiūrą gali atlikti kitas statytojo (užsakovo) pasirinktas statinio projektuotojas. Jeigu statinio projektuotojas nevykdo ar pažeidžia statinio projekto vykdymo priežiūros reikalavimus (nustatytus Vyriausybės įgaliotos institucijos), statytojas (užsakovas) turi teisę nutraukti statinio projekto vykdymo priežiūros sutartį ar pasirinkti kitą statinio projektuotoją (neprojektavusį statomo statinio) šiai priežiūrai atlikti.“</w:t>
      </w:r>
    </w:p>
    <w:p w14:paraId="47901DAB" w14:textId="23BD41A0" w:rsidR="00D3403B" w:rsidRPr="00A13C46" w:rsidRDefault="00D3403B" w:rsidP="00A13C46">
      <w:pPr>
        <w:spacing w:line="360" w:lineRule="auto"/>
        <w:ind w:firstLine="737"/>
        <w:jc w:val="both"/>
        <w:rPr>
          <w:iCs/>
          <w:color w:val="000000" w:themeColor="text1"/>
          <w:sz w:val="24"/>
          <w:szCs w:val="24"/>
        </w:rPr>
      </w:pPr>
      <w:r w:rsidRPr="00A13C46">
        <w:rPr>
          <w:color w:val="000000" w:themeColor="text1"/>
          <w:sz w:val="24"/>
          <w:szCs w:val="24"/>
        </w:rPr>
        <w:lastRenderedPageBreak/>
        <w:t xml:space="preserve">Nagrinėjamu atveju </w:t>
      </w:r>
      <w:r w:rsidR="002C4D5D" w:rsidRPr="00A13C46">
        <w:rPr>
          <w:color w:val="000000" w:themeColor="text1"/>
          <w:sz w:val="24"/>
          <w:szCs w:val="24"/>
        </w:rPr>
        <w:t>P</w:t>
      </w:r>
      <w:r w:rsidRPr="00A13C46">
        <w:rPr>
          <w:color w:val="000000" w:themeColor="text1"/>
          <w:sz w:val="24"/>
          <w:szCs w:val="24"/>
        </w:rPr>
        <w:t xml:space="preserve">rojektą parengęs </w:t>
      </w:r>
      <w:r w:rsidR="002C4D5D" w:rsidRPr="00A13C46">
        <w:rPr>
          <w:color w:val="000000" w:themeColor="text1"/>
          <w:sz w:val="24"/>
          <w:szCs w:val="24"/>
        </w:rPr>
        <w:t>Tiekėjas</w:t>
      </w:r>
      <w:r w:rsidRPr="00A13C46">
        <w:rPr>
          <w:color w:val="000000" w:themeColor="text1"/>
          <w:sz w:val="24"/>
          <w:szCs w:val="24"/>
        </w:rPr>
        <w:t xml:space="preserve"> Perkančiajai organizacijai patvirtino</w:t>
      </w:r>
      <w:r w:rsidRPr="00A13C46">
        <w:rPr>
          <w:rStyle w:val="FootnoteReference"/>
          <w:color w:val="000000" w:themeColor="text1"/>
          <w:sz w:val="24"/>
          <w:szCs w:val="24"/>
        </w:rPr>
        <w:footnoteReference w:id="8"/>
      </w:r>
      <w:r w:rsidRPr="00A13C46">
        <w:rPr>
          <w:color w:val="000000" w:themeColor="text1"/>
          <w:sz w:val="24"/>
          <w:szCs w:val="24"/>
        </w:rPr>
        <w:t xml:space="preserve">, kad kitiems tiekėjams savo autorinių teisių </w:t>
      </w:r>
      <w:r w:rsidR="002C4D5D" w:rsidRPr="00A13C46">
        <w:rPr>
          <w:color w:val="000000" w:themeColor="text1"/>
          <w:sz w:val="24"/>
          <w:szCs w:val="24"/>
        </w:rPr>
        <w:t xml:space="preserve">į Projektą </w:t>
      </w:r>
      <w:r w:rsidRPr="00A13C46">
        <w:rPr>
          <w:color w:val="000000" w:themeColor="text1"/>
          <w:sz w:val="24"/>
          <w:szCs w:val="24"/>
        </w:rPr>
        <w:t>neperleidžia</w:t>
      </w:r>
      <w:r w:rsidR="005E7768">
        <w:rPr>
          <w:color w:val="000000" w:themeColor="text1"/>
          <w:sz w:val="24"/>
          <w:szCs w:val="24"/>
        </w:rPr>
        <w:t>.</w:t>
      </w:r>
      <w:r w:rsidRPr="00A13C46">
        <w:rPr>
          <w:color w:val="000000" w:themeColor="text1"/>
          <w:sz w:val="24"/>
          <w:szCs w:val="24"/>
        </w:rPr>
        <w:t xml:space="preserve"> </w:t>
      </w:r>
      <w:r w:rsidR="005E7768">
        <w:rPr>
          <w:color w:val="000000" w:themeColor="text1"/>
          <w:sz w:val="24"/>
          <w:szCs w:val="24"/>
        </w:rPr>
        <w:t>Į</w:t>
      </w:r>
      <w:r w:rsidRPr="00A13C46">
        <w:rPr>
          <w:color w:val="000000" w:themeColor="text1"/>
          <w:sz w:val="24"/>
          <w:szCs w:val="24"/>
        </w:rPr>
        <w:t>vertinusi tai, kad</w:t>
      </w:r>
      <w:r w:rsidR="00A13C46" w:rsidRPr="00A13C46">
        <w:rPr>
          <w:color w:val="000000" w:themeColor="text1"/>
          <w:sz w:val="24"/>
          <w:szCs w:val="24"/>
        </w:rPr>
        <w:t xml:space="preserve"> </w:t>
      </w:r>
      <w:r w:rsidR="002C4D5D" w:rsidRPr="00A13C46">
        <w:rPr>
          <w:color w:val="000000" w:themeColor="text1"/>
          <w:sz w:val="24"/>
          <w:szCs w:val="24"/>
        </w:rPr>
        <w:t>Tiekėjas</w:t>
      </w:r>
      <w:r w:rsidRPr="00A13C46">
        <w:rPr>
          <w:color w:val="000000" w:themeColor="text1"/>
          <w:sz w:val="24"/>
          <w:szCs w:val="24"/>
        </w:rPr>
        <w:t xml:space="preserve"> autorinių teisių į </w:t>
      </w:r>
      <w:r w:rsidR="002C4D5D" w:rsidRPr="00A13C46">
        <w:rPr>
          <w:color w:val="000000" w:themeColor="text1"/>
          <w:sz w:val="24"/>
          <w:szCs w:val="24"/>
        </w:rPr>
        <w:t>P</w:t>
      </w:r>
      <w:r w:rsidRPr="00A13C46">
        <w:rPr>
          <w:color w:val="000000" w:themeColor="text1"/>
          <w:sz w:val="24"/>
          <w:szCs w:val="24"/>
        </w:rPr>
        <w:t xml:space="preserve">rojektą neatsisako ir ketina pats teikti </w:t>
      </w:r>
      <w:r w:rsidR="00715674" w:rsidRPr="00A13C46">
        <w:rPr>
          <w:color w:val="000000" w:themeColor="text1"/>
          <w:sz w:val="24"/>
          <w:szCs w:val="24"/>
        </w:rPr>
        <w:t>P</w:t>
      </w:r>
      <w:r w:rsidRPr="00A13C46">
        <w:rPr>
          <w:color w:val="000000" w:themeColor="text1"/>
          <w:sz w:val="24"/>
          <w:szCs w:val="24"/>
        </w:rPr>
        <w:t xml:space="preserve">rojekto </w:t>
      </w:r>
      <w:r w:rsidR="0078213C" w:rsidRPr="00A13C46">
        <w:rPr>
          <w:color w:val="000000" w:themeColor="text1"/>
          <w:sz w:val="24"/>
          <w:szCs w:val="24"/>
        </w:rPr>
        <w:t>korektūros</w:t>
      </w:r>
      <w:r w:rsidR="00074362">
        <w:rPr>
          <w:color w:val="000000" w:themeColor="text1"/>
          <w:sz w:val="24"/>
          <w:szCs w:val="24"/>
        </w:rPr>
        <w:t xml:space="preserve">, </w:t>
      </w:r>
      <w:r w:rsidR="0078213C" w:rsidRPr="00A13C46">
        <w:rPr>
          <w:color w:val="000000" w:themeColor="text1"/>
          <w:sz w:val="24"/>
          <w:szCs w:val="24"/>
        </w:rPr>
        <w:t>darbo projekto parengimo</w:t>
      </w:r>
      <w:r w:rsidR="00A13C46" w:rsidRPr="00A13C46">
        <w:rPr>
          <w:color w:val="000000" w:themeColor="text1"/>
          <w:sz w:val="24"/>
          <w:szCs w:val="24"/>
        </w:rPr>
        <w:t xml:space="preserve"> bei </w:t>
      </w:r>
      <w:r w:rsidR="005E7762">
        <w:rPr>
          <w:color w:val="000000" w:themeColor="text1"/>
          <w:sz w:val="24"/>
          <w:szCs w:val="24"/>
        </w:rPr>
        <w:t>P</w:t>
      </w:r>
      <w:r w:rsidR="00A13C46" w:rsidRPr="00A13C46">
        <w:rPr>
          <w:color w:val="000000" w:themeColor="text1"/>
          <w:sz w:val="24"/>
          <w:szCs w:val="24"/>
        </w:rPr>
        <w:t>rojekto vykdymo</w:t>
      </w:r>
      <w:r w:rsidR="0078213C" w:rsidRPr="00A13C46">
        <w:rPr>
          <w:color w:val="000000" w:themeColor="text1"/>
          <w:sz w:val="24"/>
          <w:szCs w:val="24"/>
        </w:rPr>
        <w:t xml:space="preserve"> </w:t>
      </w:r>
      <w:r w:rsidR="00723240">
        <w:rPr>
          <w:color w:val="000000" w:themeColor="text1"/>
          <w:sz w:val="24"/>
          <w:szCs w:val="24"/>
        </w:rPr>
        <w:t xml:space="preserve">priežiūros </w:t>
      </w:r>
      <w:r w:rsidRPr="00A13C46">
        <w:rPr>
          <w:color w:val="000000" w:themeColor="text1"/>
          <w:sz w:val="24"/>
          <w:szCs w:val="24"/>
        </w:rPr>
        <w:t xml:space="preserve">paslaugas, dėl </w:t>
      </w:r>
      <w:r w:rsidR="00074362">
        <w:rPr>
          <w:color w:val="000000" w:themeColor="text1"/>
          <w:sz w:val="24"/>
          <w:szCs w:val="24"/>
        </w:rPr>
        <w:t>t</w:t>
      </w:r>
      <w:r w:rsidRPr="00A13C46">
        <w:rPr>
          <w:color w:val="000000" w:themeColor="text1"/>
          <w:sz w:val="24"/>
          <w:szCs w:val="24"/>
        </w:rPr>
        <w:t xml:space="preserve">o </w:t>
      </w:r>
      <w:r w:rsidR="005E7768">
        <w:rPr>
          <w:color w:val="000000" w:themeColor="text1"/>
          <w:sz w:val="24"/>
          <w:szCs w:val="24"/>
        </w:rPr>
        <w:t xml:space="preserve">nagrinėjamu </w:t>
      </w:r>
      <w:r w:rsidRPr="00A13C46">
        <w:rPr>
          <w:color w:val="000000" w:themeColor="text1"/>
          <w:sz w:val="24"/>
          <w:szCs w:val="24"/>
        </w:rPr>
        <w:t xml:space="preserve">atveju </w:t>
      </w:r>
      <w:r w:rsidR="005E7768">
        <w:rPr>
          <w:color w:val="000000" w:themeColor="text1"/>
          <w:sz w:val="24"/>
          <w:szCs w:val="24"/>
        </w:rPr>
        <w:t xml:space="preserve">Pirkimu </w:t>
      </w:r>
      <w:r w:rsidRPr="00A13C46">
        <w:rPr>
          <w:color w:val="000000" w:themeColor="text1"/>
          <w:sz w:val="24"/>
          <w:szCs w:val="24"/>
        </w:rPr>
        <w:t>siekiam</w:t>
      </w:r>
      <w:r w:rsidR="00074362">
        <w:rPr>
          <w:color w:val="000000" w:themeColor="text1"/>
          <w:sz w:val="24"/>
          <w:szCs w:val="24"/>
        </w:rPr>
        <w:t>a</w:t>
      </w:r>
      <w:r w:rsidRPr="00A13C46">
        <w:rPr>
          <w:color w:val="000000" w:themeColor="text1"/>
          <w:sz w:val="24"/>
          <w:szCs w:val="24"/>
        </w:rPr>
        <w:t>s įsigyti</w:t>
      </w:r>
      <w:r w:rsidR="0078213C" w:rsidRPr="00A13C46">
        <w:rPr>
          <w:color w:val="000000" w:themeColor="text1"/>
          <w:sz w:val="24"/>
          <w:szCs w:val="24"/>
        </w:rPr>
        <w:t xml:space="preserve"> P</w:t>
      </w:r>
      <w:r w:rsidRPr="00A13C46">
        <w:rPr>
          <w:color w:val="000000" w:themeColor="text1"/>
          <w:sz w:val="24"/>
          <w:szCs w:val="24"/>
        </w:rPr>
        <w:t>aslaug</w:t>
      </w:r>
      <w:r w:rsidR="00074362">
        <w:rPr>
          <w:color w:val="000000" w:themeColor="text1"/>
          <w:sz w:val="24"/>
          <w:szCs w:val="24"/>
        </w:rPr>
        <w:t>a</w:t>
      </w:r>
      <w:r w:rsidRPr="00A13C46">
        <w:rPr>
          <w:color w:val="000000" w:themeColor="text1"/>
          <w:sz w:val="24"/>
          <w:szCs w:val="24"/>
        </w:rPr>
        <w:t xml:space="preserve">s </w:t>
      </w:r>
      <w:r w:rsidR="00074362">
        <w:rPr>
          <w:color w:val="000000" w:themeColor="text1"/>
          <w:sz w:val="24"/>
          <w:szCs w:val="24"/>
        </w:rPr>
        <w:t xml:space="preserve">suteikti galėtų tik </w:t>
      </w:r>
      <w:r w:rsidR="00F04368" w:rsidRPr="00A13C46">
        <w:rPr>
          <w:color w:val="000000" w:themeColor="text1"/>
          <w:sz w:val="24"/>
          <w:szCs w:val="24"/>
        </w:rPr>
        <w:t xml:space="preserve">konkretus </w:t>
      </w:r>
      <w:r w:rsidR="002C4D5D" w:rsidRPr="00A13C46">
        <w:rPr>
          <w:color w:val="000000" w:themeColor="text1"/>
          <w:sz w:val="24"/>
          <w:szCs w:val="24"/>
        </w:rPr>
        <w:t>Tiekėj</w:t>
      </w:r>
      <w:r w:rsidR="00074362">
        <w:rPr>
          <w:color w:val="000000" w:themeColor="text1"/>
          <w:sz w:val="24"/>
          <w:szCs w:val="24"/>
        </w:rPr>
        <w:t>as</w:t>
      </w:r>
      <w:r w:rsidR="0078213C" w:rsidRPr="00A13C46">
        <w:rPr>
          <w:color w:val="000000" w:themeColor="text1"/>
          <w:sz w:val="24"/>
          <w:szCs w:val="24"/>
        </w:rPr>
        <w:t xml:space="preserve">, </w:t>
      </w:r>
      <w:r w:rsidR="005E7768" w:rsidRPr="00A13C46">
        <w:rPr>
          <w:color w:val="000000" w:themeColor="text1"/>
          <w:sz w:val="24"/>
          <w:szCs w:val="24"/>
        </w:rPr>
        <w:t xml:space="preserve">Perkančioji organizacija </w:t>
      </w:r>
      <w:r w:rsidRPr="00A13C46">
        <w:rPr>
          <w:color w:val="000000" w:themeColor="text1"/>
          <w:sz w:val="24"/>
          <w:szCs w:val="24"/>
        </w:rPr>
        <w:t>priėmė sprendimą Pirkimą vykdyti neskelbiamų derybų būdu</w:t>
      </w:r>
      <w:r w:rsidR="00715674" w:rsidRPr="00A13C46">
        <w:rPr>
          <w:color w:val="000000" w:themeColor="text1"/>
          <w:sz w:val="24"/>
          <w:szCs w:val="24"/>
        </w:rPr>
        <w:t>,</w:t>
      </w:r>
      <w:r w:rsidRPr="00A13C46">
        <w:rPr>
          <w:color w:val="000000" w:themeColor="text1"/>
          <w:sz w:val="24"/>
          <w:szCs w:val="24"/>
        </w:rPr>
        <w:t xml:space="preserve"> vadovaujantis Įstatymo </w:t>
      </w:r>
      <w:r w:rsidRPr="00A13C46">
        <w:rPr>
          <w:rFonts w:eastAsia="Calibri"/>
          <w:color w:val="000000" w:themeColor="text1"/>
          <w:sz w:val="24"/>
          <w:szCs w:val="24"/>
        </w:rPr>
        <w:t>71 straipsnio 1 dalies 2 punkto (c) papunkčio nuostatomis</w:t>
      </w:r>
      <w:r w:rsidR="00715674" w:rsidRPr="00A13C46">
        <w:rPr>
          <w:rFonts w:eastAsia="Calibri"/>
          <w:color w:val="000000" w:themeColor="text1"/>
          <w:sz w:val="24"/>
          <w:szCs w:val="24"/>
        </w:rPr>
        <w:t>,</w:t>
      </w:r>
      <w:r w:rsidRPr="00A13C46">
        <w:rPr>
          <w:rFonts w:eastAsia="Calibri"/>
          <w:color w:val="000000" w:themeColor="text1"/>
          <w:sz w:val="24"/>
          <w:szCs w:val="24"/>
        </w:rPr>
        <w:t xml:space="preserve"> </w:t>
      </w:r>
      <w:r w:rsidRPr="00A13C46">
        <w:rPr>
          <w:color w:val="000000" w:themeColor="text1"/>
          <w:sz w:val="24"/>
          <w:szCs w:val="24"/>
        </w:rPr>
        <w:t xml:space="preserve">ir </w:t>
      </w:r>
      <w:r w:rsidR="008B76A2" w:rsidRPr="00A13C46">
        <w:rPr>
          <w:color w:val="000000" w:themeColor="text1"/>
          <w:sz w:val="24"/>
          <w:szCs w:val="24"/>
        </w:rPr>
        <w:t xml:space="preserve">prašo </w:t>
      </w:r>
      <w:r w:rsidRPr="00A13C46">
        <w:rPr>
          <w:color w:val="000000" w:themeColor="text1"/>
          <w:sz w:val="24"/>
          <w:szCs w:val="24"/>
        </w:rPr>
        <w:t>Tarnyb</w:t>
      </w:r>
      <w:r w:rsidR="00715674" w:rsidRPr="00A13C46">
        <w:rPr>
          <w:color w:val="000000" w:themeColor="text1"/>
          <w:sz w:val="24"/>
          <w:szCs w:val="24"/>
        </w:rPr>
        <w:t>os</w:t>
      </w:r>
      <w:r w:rsidRPr="00A13C46">
        <w:rPr>
          <w:color w:val="000000" w:themeColor="text1"/>
          <w:sz w:val="24"/>
          <w:szCs w:val="24"/>
        </w:rPr>
        <w:t xml:space="preserve"> sutikimo dėl tokio pirkimo būdo pasirinkimo</w:t>
      </w:r>
      <w:r w:rsidRPr="00A13C46">
        <w:rPr>
          <w:rStyle w:val="FootnoteReference"/>
          <w:rFonts w:eastAsia="Calibri"/>
          <w:color w:val="000000" w:themeColor="text1"/>
          <w:sz w:val="24"/>
          <w:szCs w:val="24"/>
        </w:rPr>
        <w:footnoteReference w:id="9"/>
      </w:r>
      <w:r w:rsidRPr="00A13C46">
        <w:rPr>
          <w:rFonts w:eastAsia="Calibri"/>
          <w:color w:val="000000" w:themeColor="text1"/>
          <w:sz w:val="24"/>
          <w:szCs w:val="24"/>
        </w:rPr>
        <w:t>.</w:t>
      </w:r>
      <w:r w:rsidRPr="00A13C46">
        <w:rPr>
          <w:iCs/>
          <w:color w:val="000000" w:themeColor="text1"/>
          <w:sz w:val="24"/>
          <w:szCs w:val="24"/>
        </w:rPr>
        <w:t xml:space="preserve"> </w:t>
      </w:r>
    </w:p>
    <w:p w14:paraId="010F72E8" w14:textId="135370A9" w:rsidR="0078213C" w:rsidRPr="00A13C46" w:rsidRDefault="0078213C" w:rsidP="00A13C46">
      <w:pPr>
        <w:spacing w:line="360" w:lineRule="auto"/>
        <w:ind w:firstLine="737"/>
        <w:jc w:val="both"/>
        <w:rPr>
          <w:iCs/>
          <w:color w:val="000000" w:themeColor="text1"/>
          <w:sz w:val="24"/>
          <w:szCs w:val="24"/>
        </w:rPr>
      </w:pPr>
      <w:r w:rsidRPr="00A13C46">
        <w:rPr>
          <w:rFonts w:eastAsia="Calibri"/>
          <w:color w:val="000000" w:themeColor="text1"/>
          <w:sz w:val="24"/>
          <w:szCs w:val="24"/>
        </w:rPr>
        <w:t xml:space="preserve">Įstatymo 71 straipsnio 1 dalies 2 punkto (c) papunkčio nuostatose įtvirtinta, kad prekės, paslaugos ar darbai neskelbiamų derybų būdu gali būti perkamos: </w:t>
      </w:r>
      <w:r w:rsidRPr="00A13C46">
        <w:rPr>
          <w:rFonts w:eastAsia="Calibri"/>
          <w:i/>
          <w:iCs/>
          <w:color w:val="000000" w:themeColor="text1"/>
          <w:sz w:val="24"/>
          <w:szCs w:val="24"/>
        </w:rPr>
        <w:t>„jeigu prekes pateikti, paslaugas teikti ar darbus atlikti gali tik konkretus tiekėjas dėl vienos iš šių priežasčių:&lt;...&gt;c) dėl išimtinių teisių, įskaitant intelektinės nuosavybės teises, apsaugos</w:t>
      </w:r>
      <w:r w:rsidR="00074362">
        <w:rPr>
          <w:rFonts w:eastAsia="Calibri"/>
          <w:i/>
          <w:iCs/>
          <w:color w:val="000000" w:themeColor="text1"/>
          <w:sz w:val="24"/>
          <w:szCs w:val="24"/>
        </w:rPr>
        <w:t xml:space="preserve"> </w:t>
      </w:r>
      <w:r w:rsidRPr="00A13C46">
        <w:rPr>
          <w:rFonts w:eastAsia="Calibri"/>
          <w:i/>
          <w:iCs/>
          <w:color w:val="000000" w:themeColor="text1"/>
          <w:sz w:val="24"/>
          <w:szCs w:val="24"/>
        </w:rPr>
        <w:t xml:space="preserve">&lt;...&gt;“. </w:t>
      </w:r>
    </w:p>
    <w:p w14:paraId="4A2A9786" w14:textId="28B62F84" w:rsidR="006204C7" w:rsidRPr="00A13C46" w:rsidRDefault="00A0194F" w:rsidP="00A13C46">
      <w:pPr>
        <w:spacing w:line="360" w:lineRule="auto"/>
        <w:ind w:firstLine="737"/>
        <w:jc w:val="both"/>
        <w:rPr>
          <w:color w:val="000000" w:themeColor="text1"/>
          <w:sz w:val="24"/>
          <w:szCs w:val="24"/>
        </w:rPr>
      </w:pPr>
      <w:r w:rsidRPr="00A13C46">
        <w:rPr>
          <w:rFonts w:eastAsia="Calibri"/>
          <w:iCs/>
          <w:color w:val="000000" w:themeColor="text1"/>
          <w:sz w:val="24"/>
          <w:szCs w:val="24"/>
        </w:rPr>
        <w:t xml:space="preserve">Įvertinus pateiktus dokumentus, nustatyta, </w:t>
      </w:r>
      <w:r w:rsidRPr="00A13C46">
        <w:rPr>
          <w:rFonts w:eastAsia="Calibri"/>
          <w:color w:val="000000" w:themeColor="text1"/>
          <w:sz w:val="24"/>
          <w:szCs w:val="24"/>
          <w:lang w:eastAsia="lt-LT"/>
        </w:rPr>
        <w:t xml:space="preserve">kad Perkančiosios organizacijos priimtas sprendimas ir pasirinktas paslaugų pirkimo būdas atitinka Įstatymo </w:t>
      </w:r>
      <w:bookmarkStart w:id="2" w:name="_Hlk45542984"/>
      <w:r w:rsidRPr="00A13C46">
        <w:rPr>
          <w:color w:val="000000" w:themeColor="text1"/>
          <w:sz w:val="24"/>
          <w:szCs w:val="24"/>
        </w:rPr>
        <w:t xml:space="preserve">71 straipsnio </w:t>
      </w:r>
      <w:r w:rsidRPr="00A13C46">
        <w:rPr>
          <w:rFonts w:eastAsia="Calibri"/>
          <w:color w:val="000000" w:themeColor="text1"/>
          <w:sz w:val="24"/>
          <w:szCs w:val="24"/>
        </w:rPr>
        <w:t xml:space="preserve">1 dalies 2 </w:t>
      </w:r>
      <w:r w:rsidRPr="00A13C46">
        <w:rPr>
          <w:rFonts w:eastAsia="Calibri"/>
          <w:color w:val="000000" w:themeColor="text1"/>
          <w:sz w:val="24"/>
          <w:szCs w:val="24"/>
          <w:lang w:eastAsia="lt-LT"/>
        </w:rPr>
        <w:t xml:space="preserve">punkto (c) papunkčio </w:t>
      </w:r>
      <w:bookmarkEnd w:id="2"/>
      <w:r w:rsidRPr="00A13C46">
        <w:rPr>
          <w:rFonts w:eastAsia="Calibri"/>
          <w:color w:val="000000" w:themeColor="text1"/>
          <w:sz w:val="24"/>
          <w:szCs w:val="24"/>
          <w:lang w:eastAsia="lt-LT"/>
        </w:rPr>
        <w:t xml:space="preserve">nuostatas, t. y. šiuo Pirkimu iš </w:t>
      </w:r>
      <w:r w:rsidR="00715674" w:rsidRPr="00A13C46">
        <w:rPr>
          <w:rFonts w:eastAsia="Calibri"/>
          <w:color w:val="000000" w:themeColor="text1"/>
          <w:sz w:val="24"/>
          <w:szCs w:val="24"/>
          <w:lang w:eastAsia="lt-LT"/>
        </w:rPr>
        <w:t>P</w:t>
      </w:r>
      <w:r w:rsidRPr="00A13C46">
        <w:rPr>
          <w:rFonts w:eastAsia="Calibri"/>
          <w:color w:val="000000" w:themeColor="text1"/>
          <w:sz w:val="24"/>
          <w:szCs w:val="24"/>
          <w:lang w:eastAsia="lt-LT"/>
        </w:rPr>
        <w:t xml:space="preserve">rojekto rengėjo </w:t>
      </w:r>
      <w:r w:rsidR="00074362" w:rsidRPr="00A13C46">
        <w:rPr>
          <w:rFonts w:eastAsia="Calibri"/>
          <w:color w:val="000000" w:themeColor="text1"/>
          <w:sz w:val="24"/>
          <w:szCs w:val="24"/>
          <w:lang w:eastAsia="lt-LT"/>
        </w:rPr>
        <w:t xml:space="preserve">siekiama </w:t>
      </w:r>
      <w:r w:rsidRPr="00A13C46">
        <w:rPr>
          <w:rFonts w:eastAsia="Calibri"/>
          <w:color w:val="000000" w:themeColor="text1"/>
          <w:sz w:val="24"/>
          <w:szCs w:val="24"/>
          <w:lang w:eastAsia="lt-LT"/>
        </w:rPr>
        <w:t xml:space="preserve">įsigyti </w:t>
      </w:r>
      <w:r w:rsidR="00715674" w:rsidRPr="00A13C46">
        <w:rPr>
          <w:rFonts w:eastAsia="Calibri"/>
          <w:color w:val="000000" w:themeColor="text1"/>
          <w:sz w:val="24"/>
          <w:szCs w:val="24"/>
          <w:lang w:eastAsia="lt-LT"/>
        </w:rPr>
        <w:t>P</w:t>
      </w:r>
      <w:r w:rsidRPr="00A13C46">
        <w:rPr>
          <w:rFonts w:eastAsia="Calibri"/>
          <w:color w:val="000000" w:themeColor="text1"/>
          <w:sz w:val="24"/>
          <w:szCs w:val="24"/>
          <w:lang w:eastAsia="lt-LT"/>
        </w:rPr>
        <w:t>rojekto korektūros</w:t>
      </w:r>
      <w:r w:rsidR="00A13C46" w:rsidRPr="00A13C46">
        <w:rPr>
          <w:rFonts w:eastAsia="Calibri"/>
          <w:color w:val="000000" w:themeColor="text1"/>
          <w:sz w:val="24"/>
          <w:szCs w:val="24"/>
          <w:lang w:eastAsia="lt-LT"/>
        </w:rPr>
        <w:t xml:space="preserve">, </w:t>
      </w:r>
      <w:r w:rsidRPr="00A13C46">
        <w:rPr>
          <w:rFonts w:eastAsia="Calibri"/>
          <w:color w:val="000000" w:themeColor="text1"/>
          <w:sz w:val="24"/>
          <w:szCs w:val="24"/>
          <w:lang w:eastAsia="lt-LT"/>
        </w:rPr>
        <w:t xml:space="preserve">darbo projekto parengimo </w:t>
      </w:r>
      <w:r w:rsidR="00A13C46" w:rsidRPr="00A13C46">
        <w:rPr>
          <w:rFonts w:eastAsia="Calibri"/>
          <w:color w:val="000000" w:themeColor="text1"/>
          <w:sz w:val="24"/>
          <w:szCs w:val="24"/>
          <w:lang w:eastAsia="lt-LT"/>
        </w:rPr>
        <w:t xml:space="preserve">ir </w:t>
      </w:r>
      <w:r w:rsidR="00972EBC">
        <w:rPr>
          <w:rFonts w:eastAsia="Calibri"/>
          <w:color w:val="000000" w:themeColor="text1"/>
          <w:sz w:val="24"/>
          <w:szCs w:val="24"/>
          <w:lang w:eastAsia="lt-LT"/>
        </w:rPr>
        <w:t>P</w:t>
      </w:r>
      <w:r w:rsidR="00A13C46" w:rsidRPr="00A13C46">
        <w:rPr>
          <w:rFonts w:eastAsia="Calibri"/>
          <w:color w:val="000000" w:themeColor="text1"/>
          <w:sz w:val="24"/>
          <w:szCs w:val="24"/>
          <w:lang w:eastAsia="lt-LT"/>
        </w:rPr>
        <w:t xml:space="preserve">rojekto vykdymo priežiūros </w:t>
      </w:r>
      <w:r w:rsidRPr="00A13C46">
        <w:rPr>
          <w:rFonts w:eastAsia="Calibri"/>
          <w:color w:val="000000" w:themeColor="text1"/>
          <w:sz w:val="24"/>
          <w:szCs w:val="24"/>
          <w:lang w:eastAsia="lt-LT"/>
        </w:rPr>
        <w:t xml:space="preserve">paslaugas, kurias pagal teisės aktų reikalavimus </w:t>
      </w:r>
      <w:r w:rsidRPr="00A13C46">
        <w:rPr>
          <w:rFonts w:eastAsia="Calibri"/>
          <w:color w:val="000000" w:themeColor="text1"/>
          <w:sz w:val="24"/>
          <w:szCs w:val="24"/>
        </w:rPr>
        <w:t xml:space="preserve">gali suteikti tik </w:t>
      </w:r>
      <w:r w:rsidR="00715674" w:rsidRPr="00A13C46">
        <w:rPr>
          <w:rFonts w:eastAsia="Calibri"/>
          <w:color w:val="000000" w:themeColor="text1"/>
          <w:sz w:val="24"/>
          <w:szCs w:val="24"/>
        </w:rPr>
        <w:t>konkretus tiekėjas – parengto P</w:t>
      </w:r>
      <w:r w:rsidRPr="00A13C46">
        <w:rPr>
          <w:rFonts w:eastAsia="Calibri"/>
          <w:color w:val="000000" w:themeColor="text1"/>
          <w:sz w:val="24"/>
          <w:szCs w:val="24"/>
        </w:rPr>
        <w:t>rojekto autorius. Atsižvelgdama į nurodytą ir</w:t>
      </w:r>
      <w:r w:rsidRPr="00A13C46">
        <w:rPr>
          <w:rFonts w:eastAsia="Calibri"/>
          <w:color w:val="000000" w:themeColor="text1"/>
          <w:sz w:val="24"/>
          <w:szCs w:val="24"/>
          <w:lang w:eastAsia="lt-LT"/>
        </w:rPr>
        <w:t xml:space="preserve"> vadovaudamasi Įstatymo </w:t>
      </w:r>
      <w:r w:rsidRPr="00A13C46">
        <w:rPr>
          <w:color w:val="000000" w:themeColor="text1"/>
          <w:sz w:val="24"/>
          <w:szCs w:val="24"/>
        </w:rPr>
        <w:t xml:space="preserve">95 straipsnio 2 dalies 6 punkto </w:t>
      </w:r>
      <w:r w:rsidRPr="00A13C46">
        <w:rPr>
          <w:rFonts w:eastAsia="Calibri"/>
          <w:color w:val="000000" w:themeColor="text1"/>
          <w:sz w:val="24"/>
          <w:szCs w:val="24"/>
          <w:lang w:eastAsia="lt-LT"/>
        </w:rPr>
        <w:t xml:space="preserve">nuostatomis, Tarnyba </w:t>
      </w:r>
      <w:r w:rsidRPr="00A13C46">
        <w:rPr>
          <w:rFonts w:eastAsia="Calibri"/>
          <w:b/>
          <w:bCs/>
          <w:color w:val="000000" w:themeColor="text1"/>
          <w:sz w:val="24"/>
          <w:szCs w:val="24"/>
          <w:lang w:eastAsia="lt-LT"/>
        </w:rPr>
        <w:t>sutinka</w:t>
      </w:r>
      <w:r w:rsidRPr="00A13C46">
        <w:rPr>
          <w:rFonts w:eastAsia="Calibri"/>
          <w:color w:val="000000" w:themeColor="text1"/>
          <w:sz w:val="24"/>
          <w:szCs w:val="24"/>
          <w:lang w:eastAsia="lt-LT"/>
        </w:rPr>
        <w:t xml:space="preserve">, kad Klaipėdos rajono savivaldybės administracija </w:t>
      </w:r>
      <w:r w:rsidRPr="00A13C46">
        <w:rPr>
          <w:rFonts w:eastAsia="Calibri"/>
          <w:i/>
          <w:iCs/>
          <w:color w:val="000000" w:themeColor="text1"/>
          <w:sz w:val="24"/>
          <w:szCs w:val="24"/>
          <w:lang w:eastAsia="lt-LT"/>
        </w:rPr>
        <w:t>Pirkimą</w:t>
      </w:r>
      <w:r w:rsidRPr="00A13C46">
        <w:rPr>
          <w:rFonts w:eastAsia="Calibri"/>
          <w:color w:val="000000" w:themeColor="text1"/>
          <w:sz w:val="24"/>
          <w:szCs w:val="24"/>
          <w:lang w:eastAsia="lt-LT"/>
        </w:rPr>
        <w:t xml:space="preserve"> vykdytų neskelbiamų derybų būdu, vadovaujantis Įstatymo </w:t>
      </w:r>
      <w:r w:rsidRPr="00A13C46">
        <w:rPr>
          <w:color w:val="000000" w:themeColor="text1"/>
          <w:sz w:val="24"/>
          <w:szCs w:val="24"/>
        </w:rPr>
        <w:t xml:space="preserve">71 straipsnio </w:t>
      </w:r>
      <w:r w:rsidRPr="00A13C46">
        <w:rPr>
          <w:rFonts w:eastAsia="Calibri"/>
          <w:color w:val="000000" w:themeColor="text1"/>
          <w:sz w:val="24"/>
          <w:szCs w:val="24"/>
        </w:rPr>
        <w:t xml:space="preserve">1 dalies 2 </w:t>
      </w:r>
      <w:r w:rsidRPr="00A13C46">
        <w:rPr>
          <w:rFonts w:eastAsia="Calibri"/>
          <w:color w:val="000000" w:themeColor="text1"/>
          <w:sz w:val="24"/>
          <w:szCs w:val="24"/>
          <w:lang w:eastAsia="lt-LT"/>
        </w:rPr>
        <w:t>punkto (c) papunkčio nuostatomis į derybas kviečian</w:t>
      </w:r>
      <w:r w:rsidRPr="00A13C46">
        <w:rPr>
          <w:color w:val="000000" w:themeColor="text1"/>
          <w:sz w:val="24"/>
          <w:szCs w:val="24"/>
        </w:rPr>
        <w:t xml:space="preserve">t </w:t>
      </w:r>
      <w:r w:rsidR="00715674" w:rsidRPr="00A13C46">
        <w:rPr>
          <w:color w:val="000000" w:themeColor="text1"/>
          <w:sz w:val="24"/>
          <w:szCs w:val="24"/>
        </w:rPr>
        <w:t>P</w:t>
      </w:r>
      <w:r w:rsidRPr="00A13C46">
        <w:rPr>
          <w:color w:val="000000" w:themeColor="text1"/>
          <w:sz w:val="24"/>
          <w:szCs w:val="24"/>
        </w:rPr>
        <w:t>rojektą parengusį Tiekėją ūkio subjektų grupę, sudarytą iš UAB „Aketuri architektai“ ir UAB „Klaipėdos projektas“.</w:t>
      </w:r>
    </w:p>
    <w:p w14:paraId="456F8C39" w14:textId="77777777" w:rsidR="00A13C46" w:rsidRPr="00A13C46" w:rsidRDefault="00A13C46" w:rsidP="00A13C46">
      <w:pPr>
        <w:tabs>
          <w:tab w:val="left" w:pos="1134"/>
        </w:tabs>
        <w:spacing w:line="360" w:lineRule="auto"/>
        <w:ind w:firstLine="737"/>
        <w:jc w:val="both"/>
        <w:rPr>
          <w:color w:val="000000" w:themeColor="text1"/>
          <w:sz w:val="24"/>
          <w:szCs w:val="24"/>
        </w:rPr>
      </w:pPr>
      <w:bookmarkStart w:id="3" w:name="_Hlk28595239"/>
    </w:p>
    <w:p w14:paraId="228ED1A9" w14:textId="77777777" w:rsidR="00A13C46" w:rsidRPr="00A13C46" w:rsidRDefault="00A13C46" w:rsidP="00A13C46">
      <w:pPr>
        <w:tabs>
          <w:tab w:val="left" w:pos="1134"/>
        </w:tabs>
        <w:spacing w:line="360" w:lineRule="auto"/>
        <w:ind w:firstLine="737"/>
        <w:jc w:val="both"/>
        <w:rPr>
          <w:color w:val="000000" w:themeColor="text1"/>
          <w:sz w:val="24"/>
          <w:szCs w:val="24"/>
        </w:rPr>
      </w:pPr>
    </w:p>
    <w:p w14:paraId="5F03CF96" w14:textId="3E1098D8" w:rsidR="006204C7" w:rsidRPr="00A13C46" w:rsidRDefault="006204C7" w:rsidP="00A13C46">
      <w:pPr>
        <w:tabs>
          <w:tab w:val="left" w:pos="1134"/>
        </w:tabs>
        <w:spacing w:line="360" w:lineRule="auto"/>
        <w:jc w:val="both"/>
        <w:rPr>
          <w:rFonts w:eastAsia="Calibri"/>
          <w:sz w:val="24"/>
          <w:szCs w:val="24"/>
        </w:rPr>
      </w:pPr>
      <w:r w:rsidRPr="00A13C46">
        <w:rPr>
          <w:rFonts w:eastAsia="Calibri"/>
          <w:sz w:val="24"/>
          <w:szCs w:val="24"/>
        </w:rPr>
        <w:t xml:space="preserve">Direktoriaus pavaduotoja, </w:t>
      </w:r>
    </w:p>
    <w:p w14:paraId="73F0F46F" w14:textId="386D7B7F" w:rsidR="00FD56A5" w:rsidRPr="00A13C46" w:rsidRDefault="006204C7" w:rsidP="00A13C46">
      <w:pPr>
        <w:tabs>
          <w:tab w:val="left" w:pos="1134"/>
        </w:tabs>
        <w:spacing w:line="360" w:lineRule="auto"/>
        <w:jc w:val="both"/>
        <w:rPr>
          <w:sz w:val="24"/>
          <w:szCs w:val="24"/>
        </w:rPr>
      </w:pPr>
      <w:r w:rsidRPr="00A13C46">
        <w:rPr>
          <w:rFonts w:eastAsia="Calibri"/>
          <w:sz w:val="24"/>
          <w:szCs w:val="24"/>
        </w:rPr>
        <w:t>laikinai atliekanti direktoriaus funkcijas</w:t>
      </w:r>
      <w:r w:rsidRPr="00A13C46">
        <w:rPr>
          <w:sz w:val="24"/>
          <w:szCs w:val="24"/>
        </w:rPr>
        <w:tab/>
      </w:r>
      <w:r w:rsidRPr="00A13C46">
        <w:rPr>
          <w:sz w:val="24"/>
          <w:szCs w:val="24"/>
        </w:rPr>
        <w:tab/>
      </w:r>
      <w:r w:rsidRPr="00A13C46">
        <w:rPr>
          <w:sz w:val="24"/>
          <w:szCs w:val="24"/>
        </w:rPr>
        <w:tab/>
      </w:r>
      <w:r w:rsidR="00074362">
        <w:rPr>
          <w:sz w:val="24"/>
          <w:szCs w:val="24"/>
        </w:rPr>
        <w:tab/>
        <w:t>Jovita Petkuvienė</w:t>
      </w:r>
      <w:bookmarkEnd w:id="3"/>
    </w:p>
    <w:p w14:paraId="7DDE3B22" w14:textId="77777777" w:rsidR="00FD56A5" w:rsidRPr="00A13C46" w:rsidRDefault="00FD56A5" w:rsidP="00A13C46">
      <w:pPr>
        <w:spacing w:line="360" w:lineRule="auto"/>
        <w:ind w:firstLine="737"/>
        <w:jc w:val="both"/>
        <w:rPr>
          <w:sz w:val="24"/>
          <w:szCs w:val="24"/>
        </w:rPr>
      </w:pPr>
    </w:p>
    <w:p w14:paraId="58E0142E" w14:textId="17A71AF0" w:rsidR="00B43C80" w:rsidRPr="00A13C46" w:rsidRDefault="006204C7" w:rsidP="00A13C46">
      <w:pPr>
        <w:jc w:val="both"/>
        <w:rPr>
          <w:sz w:val="24"/>
          <w:szCs w:val="24"/>
        </w:rPr>
      </w:pPr>
      <w:r w:rsidRPr="00A13C46">
        <w:rPr>
          <w:noProof/>
          <w:color w:val="000000"/>
          <w:sz w:val="24"/>
          <w:szCs w:val="24"/>
          <w:lang w:eastAsia="lt-LT"/>
        </w:rPr>
        <mc:AlternateContent>
          <mc:Choice Requires="wps">
            <w:drawing>
              <wp:anchor distT="0" distB="0" distL="114300" distR="114300" simplePos="0" relativeHeight="251659264" behindDoc="0" locked="1" layoutInCell="1" allowOverlap="0" wp14:anchorId="453BDCEF" wp14:editId="7602FDB5">
                <wp:simplePos x="0" y="0"/>
                <wp:positionH relativeFrom="margin">
                  <wp:posOffset>-35560</wp:posOffset>
                </wp:positionH>
                <wp:positionV relativeFrom="page">
                  <wp:posOffset>9041765</wp:posOffset>
                </wp:positionV>
                <wp:extent cx="5772150" cy="2374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5F16D" w14:textId="77777777" w:rsidR="006204C7" w:rsidRPr="006A0F6E" w:rsidRDefault="006204C7" w:rsidP="006204C7">
                            <w:pPr>
                              <w:rPr>
                                <w:color w:val="808080"/>
                                <w:sz w:val="24"/>
                                <w:szCs w:val="24"/>
                              </w:rPr>
                            </w:pPr>
                            <w:r w:rsidRPr="006A0F6E">
                              <w:rPr>
                                <w:sz w:val="24"/>
                                <w:szCs w:val="24"/>
                                <w:lang w:val="en-US"/>
                              </w:rPr>
                              <w:t xml:space="preserve">Dovilė Gataukytė, tel. (8 5) 219 7017, faks. (8 5) 213 6213el. p. </w:t>
                            </w:r>
                            <w:r w:rsidRPr="006A0F6E">
                              <w:rPr>
                                <w:color w:val="808080"/>
                                <w:sz w:val="24"/>
                                <w:szCs w:val="24"/>
                                <w:lang w:val="en-US"/>
                              </w:rPr>
                              <w:t>Dovile.Gataukyte@vpt.lt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3BDCEF" id="_x0000_t202" coordsize="21600,21600" o:spt="202" path="m,l,21600r21600,l21600,xe">
                <v:stroke joinstyle="miter"/>
                <v:path gradientshapeok="t" o:connecttype="rect"/>
              </v:shapetype>
              <v:shape id="Text Box 3" o:spid="_x0000_s1026" type="#_x0000_t202" style="position:absolute;left:0;text-align:left;margin-left:-2.8pt;margin-top:711.95pt;width:454.5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" o:allowoverlap="f" stroked="f">
                <v:textbox style="mso-fit-shape-to-text:t">
                  <w:txbxContent>
                    <w:p w14:paraId="1435F16D" w14:textId="77777777" w:rsidR="006204C7" w:rsidRPr="006A0F6E" w:rsidRDefault="006204C7" w:rsidP="006204C7">
                      <w:pPr>
                        <w:rPr>
                          <w:color w:val="808080"/>
                          <w:sz w:val="24"/>
                          <w:szCs w:val="24"/>
                        </w:rPr>
                      </w:pPr>
                      <w:r w:rsidRPr="006A0F6E">
                        <w:rPr>
                          <w:sz w:val="24"/>
                          <w:szCs w:val="24"/>
                          <w:lang w:val="en-US"/>
                        </w:rPr>
                        <w:t xml:space="preserve">Dovilė Gataukytė, tel. (8 5) 219 7017, faks. (8 5) 213 6213el. p. </w:t>
                      </w:r>
                      <w:r w:rsidRPr="006A0F6E">
                        <w:rPr>
                          <w:color w:val="808080"/>
                          <w:sz w:val="24"/>
                          <w:szCs w:val="24"/>
                          <w:lang w:val="en-US"/>
                        </w:rPr>
                        <w:t>Dovile.Gataukyte@vpt.lt</w:t>
                      </w:r>
                    </w:p>
                  </w:txbxContent>
                </v:textbox>
                <w10:wrap anchorx="margin" anchory="page"/>
                <w10:anchorlock/>
              </v:shape>
            </w:pict>
          </mc:Fallback>
        </mc:AlternateContent>
      </w:r>
    </w:p>
    <w:sectPr w:rsidR="00B43C80" w:rsidRPr="00A13C46" w:rsidSect="003830E2">
      <w:headerReference w:type="even" r:id="rId10"/>
      <w:headerReference w:type="default" r:id="rId11"/>
      <w:footerReference w:type="default" r:id="rId12"/>
      <w:footerReference w:type="first" r:id="rId13"/>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9E505" w14:textId="77777777" w:rsidR="00B46194" w:rsidRDefault="00B46194">
      <w:r>
        <w:separator/>
      </w:r>
    </w:p>
  </w:endnote>
  <w:endnote w:type="continuationSeparator" w:id="0">
    <w:p w14:paraId="2CBF1F69" w14:textId="77777777" w:rsidR="00B46194" w:rsidRDefault="00B4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F25B" w14:textId="56D9563D" w:rsidR="00EF7000" w:rsidRPr="00C96169" w:rsidRDefault="00541CEC" w:rsidP="00345795">
    <w:pPr>
      <w:pBdr>
        <w:top w:val="single" w:sz="4" w:space="1" w:color="auto"/>
      </w:pBdr>
    </w:pPr>
    <w:r>
      <w:rPr>
        <w:noProof/>
        <w:lang w:eastAsia="lt-LT"/>
      </w:rPr>
      <w:drawing>
        <wp:anchor distT="0" distB="0" distL="114300" distR="114300" simplePos="0" relativeHeight="251658240" behindDoc="0" locked="0" layoutInCell="1" allowOverlap="1" wp14:anchorId="11CC367F" wp14:editId="1AA2236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EF7000" w:rsidRPr="00C96169">
      <w:t>Biudžetinė įstaiga</w:t>
    </w:r>
    <w:r w:rsidR="0043489E">
      <w:tab/>
      <w:t xml:space="preserve">         </w:t>
    </w:r>
    <w:r w:rsidR="00EF7000" w:rsidRPr="00C96169">
      <w:t>Tel. (8 5) 219 7001</w:t>
    </w:r>
    <w:r w:rsidR="0043489E">
      <w:t xml:space="preserve">               </w:t>
    </w:r>
    <w:r w:rsidR="00EF7000" w:rsidRPr="00C96169">
      <w:t>Duomenys kaupiami ir saugomi </w:t>
    </w:r>
    <w:r w:rsidR="0043489E">
      <w:t xml:space="preserve">             </w:t>
    </w:r>
  </w:p>
  <w:p w14:paraId="28703B11" w14:textId="6B8B3767"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Pr="00C96169">
      <w:t>Faks. (8 5) 213 6213</w:t>
    </w:r>
    <w:r w:rsidR="0043489E">
      <w:t xml:space="preserve">             </w:t>
    </w:r>
    <w:r w:rsidRPr="00C96169">
      <w:t>Juridinių asmenų registre</w:t>
    </w:r>
    <w:r w:rsidR="0043489E">
      <w:t xml:space="preserve"> </w:t>
    </w:r>
  </w:p>
  <w:p w14:paraId="7496C2E1" w14:textId="1A4AC1D7" w:rsidR="00EF7000" w:rsidRPr="00C96169" w:rsidRDefault="00B46194" w:rsidP="00345795">
    <w:pPr>
      <w:pBdr>
        <w:top w:val="single" w:sz="4" w:space="1" w:color="auto"/>
      </w:pBdr>
      <w:jc w:val="both"/>
    </w:pPr>
    <w:hyperlink r:id="rId3" w:history="1">
      <w:r w:rsidR="003631BF" w:rsidRPr="00C96169">
        <w:rPr>
          <w:rStyle w:val="Hyperlink"/>
        </w:rPr>
        <w:t>http://www.vpt.lrv.lt</w:t>
      </w:r>
    </w:hyperlink>
    <w:r w:rsidR="003631BF" w:rsidRPr="00C96169">
      <w:tab/>
    </w:r>
    <w:r w:rsidR="0043489E">
      <w:t xml:space="preserve">         </w:t>
    </w:r>
    <w:r w:rsidR="00EF7000" w:rsidRPr="00C96169">
      <w:t>El.</w:t>
    </w:r>
    <w:r w:rsidR="003631BF" w:rsidRPr="00C96169">
      <w:t xml:space="preserve"> </w:t>
    </w:r>
    <w:r w:rsidR="00EF7000" w:rsidRPr="00C96169">
      <w:t xml:space="preserve">p. </w:t>
    </w:r>
    <w:hyperlink r:id="rId4" w:history="1">
      <w:r w:rsidR="003631BF" w:rsidRPr="00C96169">
        <w:rPr>
          <w:rStyle w:val="Hyperlink"/>
        </w:rPr>
        <w:t>info@vpt.lt</w:t>
      </w:r>
    </w:hyperlink>
    <w:r w:rsidR="0043489E">
      <w:t xml:space="preserve">                   </w:t>
    </w:r>
    <w:r w:rsidR="00EF7000" w:rsidRPr="00C96169">
      <w:t>Kodas 188656261</w:t>
    </w:r>
    <w:r w:rsidR="0043489E">
      <w:t xml:space="preserve">                                   </w:t>
    </w:r>
  </w:p>
  <w:p w14:paraId="56BF2B6C" w14:textId="1BC0B232" w:rsidR="00EF7000" w:rsidRPr="004D1BAD" w:rsidRDefault="0043489E"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A7B1E" w14:textId="77777777" w:rsidR="00B46194" w:rsidRDefault="00B46194">
      <w:r>
        <w:separator/>
      </w:r>
    </w:p>
  </w:footnote>
  <w:footnote w:type="continuationSeparator" w:id="0">
    <w:p w14:paraId="1764F2B3" w14:textId="77777777" w:rsidR="00B46194" w:rsidRDefault="00B46194">
      <w:r>
        <w:continuationSeparator/>
      </w:r>
    </w:p>
  </w:footnote>
  <w:footnote w:id="1">
    <w:p w14:paraId="6F47938B" w14:textId="4E6FAB37" w:rsidR="00530693" w:rsidRPr="005E7768" w:rsidRDefault="00530693" w:rsidP="007008FA">
      <w:pPr>
        <w:pStyle w:val="FootnoteText"/>
        <w:jc w:val="both"/>
        <w:rPr>
          <w:sz w:val="18"/>
          <w:szCs w:val="18"/>
        </w:rPr>
      </w:pPr>
      <w:r w:rsidRPr="007008FA">
        <w:rPr>
          <w:rStyle w:val="FootnoteReference"/>
        </w:rPr>
        <w:footnoteRef/>
      </w:r>
      <w:r w:rsidRPr="007008FA">
        <w:t xml:space="preserve"> </w:t>
      </w:r>
      <w:r w:rsidRPr="005E7768">
        <w:rPr>
          <w:sz w:val="18"/>
          <w:szCs w:val="18"/>
        </w:rPr>
        <w:t>Pirkimo Nr. 172036;</w:t>
      </w:r>
    </w:p>
  </w:footnote>
  <w:footnote w:id="2">
    <w:p w14:paraId="7D4A0823" w14:textId="48D969B3" w:rsidR="002C4D5D" w:rsidRPr="005E7768" w:rsidRDefault="002C4D5D" w:rsidP="007008FA">
      <w:pPr>
        <w:pStyle w:val="FootnoteText"/>
        <w:jc w:val="both"/>
        <w:rPr>
          <w:sz w:val="18"/>
          <w:szCs w:val="18"/>
        </w:rPr>
      </w:pPr>
      <w:r w:rsidRPr="005E7768">
        <w:rPr>
          <w:rStyle w:val="FootnoteReference"/>
          <w:sz w:val="18"/>
          <w:szCs w:val="18"/>
        </w:rPr>
        <w:footnoteRef/>
      </w:r>
      <w:r w:rsidR="00DD5DF6" w:rsidRPr="005E7768">
        <w:rPr>
          <w:sz w:val="18"/>
          <w:szCs w:val="18"/>
        </w:rPr>
        <w:t xml:space="preserve"> </w:t>
      </w:r>
      <w:r w:rsidRPr="005E7768">
        <w:rPr>
          <w:sz w:val="18"/>
          <w:szCs w:val="18"/>
        </w:rPr>
        <w:t>Pagal Jungtinės veiklos sutartį Nr. K008_1/2016 04 28 UAB „Aketuri architektai“ atliko 95 proc. paslaugų (Projekto architektūrinės/sklypo sutvarkymo dalies parengimas) ir UAB „Klaipėdos projektai“ atliko 5 proc. paslaugų (paveldosauginės Projekto dalies parengimas, kitų Projekto dalių atitikimo paveldosauginiams reikalavimams koordinavimas);</w:t>
      </w:r>
    </w:p>
  </w:footnote>
  <w:footnote w:id="3">
    <w:p w14:paraId="0B3BF0B4" w14:textId="2870BA4D" w:rsidR="00CF071A" w:rsidRPr="005E7768" w:rsidRDefault="00CF071A" w:rsidP="007008FA">
      <w:pPr>
        <w:pStyle w:val="FootnoteText"/>
        <w:jc w:val="both"/>
        <w:rPr>
          <w:sz w:val="18"/>
          <w:szCs w:val="18"/>
        </w:rPr>
      </w:pPr>
      <w:r w:rsidRPr="005E7768">
        <w:rPr>
          <w:rStyle w:val="FootnoteReference"/>
          <w:sz w:val="18"/>
          <w:szCs w:val="18"/>
        </w:rPr>
        <w:footnoteRef/>
      </w:r>
      <w:r w:rsidRPr="005E7768">
        <w:rPr>
          <w:sz w:val="18"/>
          <w:szCs w:val="18"/>
        </w:rPr>
        <w:t xml:space="preserve"> 2016 m. rugsėjo 1 d. </w:t>
      </w:r>
      <w:r w:rsidR="00530693" w:rsidRPr="005E7768">
        <w:rPr>
          <w:sz w:val="18"/>
          <w:szCs w:val="18"/>
        </w:rPr>
        <w:t xml:space="preserve">Paslaugų viešojo pirkimo-pardavimo sutartis </w:t>
      </w:r>
      <w:r w:rsidRPr="005E7768">
        <w:rPr>
          <w:sz w:val="18"/>
          <w:szCs w:val="18"/>
        </w:rPr>
        <w:t>Nr. AS-892</w:t>
      </w:r>
      <w:r w:rsidR="00530693" w:rsidRPr="005E7768">
        <w:rPr>
          <w:sz w:val="18"/>
          <w:szCs w:val="18"/>
        </w:rPr>
        <w:t xml:space="preserve"> (toliau – Sutartis)</w:t>
      </w:r>
      <w:r w:rsidRPr="005E7768">
        <w:rPr>
          <w:sz w:val="18"/>
          <w:szCs w:val="18"/>
        </w:rPr>
        <w:t>;</w:t>
      </w:r>
    </w:p>
  </w:footnote>
  <w:footnote w:id="4">
    <w:p w14:paraId="4FE02AE4" w14:textId="1BE7618B" w:rsidR="008F73D6" w:rsidRPr="005E7768" w:rsidRDefault="008F73D6" w:rsidP="007008FA">
      <w:pPr>
        <w:pStyle w:val="FootnoteText"/>
        <w:jc w:val="both"/>
        <w:rPr>
          <w:sz w:val="18"/>
          <w:szCs w:val="18"/>
        </w:rPr>
      </w:pPr>
      <w:r w:rsidRPr="005E7768">
        <w:rPr>
          <w:rStyle w:val="FootnoteReference"/>
          <w:sz w:val="18"/>
          <w:szCs w:val="18"/>
        </w:rPr>
        <w:footnoteRef/>
      </w:r>
      <w:r w:rsidRPr="005E7768">
        <w:rPr>
          <w:sz w:val="18"/>
          <w:szCs w:val="18"/>
        </w:rPr>
        <w:t xml:space="preserve"> </w:t>
      </w:r>
      <w:r w:rsidR="007008FA" w:rsidRPr="005E7768">
        <w:rPr>
          <w:sz w:val="18"/>
          <w:szCs w:val="18"/>
        </w:rPr>
        <w:t xml:space="preserve">Projekto pavadinimas: Gargždų miesto parko infrastruktūros sutvarkymo (statybos) projektas. </w:t>
      </w:r>
      <w:r w:rsidR="007008FA" w:rsidRPr="005E7768">
        <w:rPr>
          <w:sz w:val="18"/>
          <w:szCs w:val="18"/>
        </w:rPr>
        <w:t>Projektuotojas: UAB „Aketuri architektai“, 2016</w:t>
      </w:r>
      <w:r w:rsidR="00255538" w:rsidRPr="005E7768">
        <w:rPr>
          <w:sz w:val="18"/>
          <w:szCs w:val="18"/>
        </w:rPr>
        <w:t xml:space="preserve"> m.</w:t>
      </w:r>
      <w:r w:rsidR="007008FA" w:rsidRPr="005E7768">
        <w:rPr>
          <w:sz w:val="18"/>
          <w:szCs w:val="18"/>
        </w:rPr>
        <w:t>;</w:t>
      </w:r>
    </w:p>
  </w:footnote>
  <w:footnote w:id="5">
    <w:p w14:paraId="1CCB85D6" w14:textId="77777777" w:rsidR="009B2C0A" w:rsidRPr="005E7768" w:rsidRDefault="009B2C0A" w:rsidP="005E7768">
      <w:pPr>
        <w:pStyle w:val="FootnoteText"/>
        <w:jc w:val="both"/>
        <w:rPr>
          <w:sz w:val="18"/>
          <w:szCs w:val="18"/>
        </w:rPr>
      </w:pPr>
      <w:r w:rsidRPr="007008FA">
        <w:rPr>
          <w:rStyle w:val="FootnoteReference"/>
        </w:rPr>
        <w:footnoteRef/>
      </w:r>
      <w:r w:rsidRPr="007008FA">
        <w:t xml:space="preserve"> </w:t>
      </w:r>
      <w:r w:rsidRPr="005E7768">
        <w:rPr>
          <w:sz w:val="18"/>
          <w:szCs w:val="18"/>
        </w:rPr>
        <w:t>2020 m. liepos 17 d. „Gargždų miesto parko infrastruktūros sutvarkymo (statybos) techninio projekto“ darbo projekto, projekto keitimo parengimas su technine priežiūra pirkimo techninė specifikacija“;</w:t>
      </w:r>
    </w:p>
  </w:footnote>
  <w:footnote w:id="6">
    <w:p w14:paraId="2296F719" w14:textId="3893C72E" w:rsidR="009B2C0A" w:rsidRPr="005E7768" w:rsidRDefault="009B2C0A" w:rsidP="005E7768">
      <w:pPr>
        <w:pStyle w:val="FootnoteText"/>
        <w:jc w:val="both"/>
        <w:rPr>
          <w:sz w:val="18"/>
          <w:szCs w:val="18"/>
        </w:rPr>
      </w:pPr>
      <w:r w:rsidRPr="005E7768">
        <w:rPr>
          <w:rStyle w:val="FootnoteReference"/>
          <w:sz w:val="18"/>
          <w:szCs w:val="18"/>
        </w:rPr>
        <w:footnoteRef/>
      </w:r>
      <w:r w:rsidRPr="005E7768">
        <w:rPr>
          <w:sz w:val="18"/>
          <w:szCs w:val="18"/>
        </w:rPr>
        <w:t xml:space="preserve"> Sutarties 3.1 punktas „&lt;...&gt; Bendrą sutarties kainą sudaro: &lt;...&gt; Techninio projekto vykdymo priežiūra – 5 000 Eur su PVM.“;</w:t>
      </w:r>
    </w:p>
  </w:footnote>
  <w:footnote w:id="7">
    <w:p w14:paraId="7ECF056E" w14:textId="59641612" w:rsidR="00D3403B" w:rsidRPr="005E7768" w:rsidRDefault="00D3403B" w:rsidP="005E7768">
      <w:pPr>
        <w:pStyle w:val="FootnoteText"/>
        <w:jc w:val="both"/>
        <w:rPr>
          <w:sz w:val="18"/>
          <w:szCs w:val="18"/>
        </w:rPr>
      </w:pPr>
      <w:r w:rsidRPr="005E7768">
        <w:rPr>
          <w:rStyle w:val="FootnoteReference"/>
          <w:sz w:val="18"/>
          <w:szCs w:val="18"/>
        </w:rPr>
        <w:footnoteRef/>
      </w:r>
      <w:r w:rsidR="007008FA" w:rsidRPr="005E7768">
        <w:rPr>
          <w:sz w:val="18"/>
          <w:szCs w:val="18"/>
        </w:rPr>
        <w:t xml:space="preserve"> </w:t>
      </w:r>
      <w:r w:rsidRPr="005E7768">
        <w:rPr>
          <w:sz w:val="18"/>
          <w:szCs w:val="18"/>
        </w:rPr>
        <w:t>2016 m. lapkričio 7 d. įsakymas Nr. D1-738 „Dėl statybos techninio reglamento STR 1.04.04:2017 „Statinio projektavimas, projekto ekspertizė“ patvirtinimo“;</w:t>
      </w:r>
    </w:p>
  </w:footnote>
  <w:footnote w:id="8">
    <w:p w14:paraId="671044C5" w14:textId="550BB1B7" w:rsidR="00D3403B" w:rsidRPr="002F30F7" w:rsidRDefault="00D3403B" w:rsidP="002F30F7">
      <w:pPr>
        <w:pStyle w:val="FootnoteText"/>
        <w:rPr>
          <w:color w:val="000000" w:themeColor="text1"/>
          <w:sz w:val="18"/>
          <w:szCs w:val="18"/>
        </w:rPr>
      </w:pPr>
      <w:r w:rsidRPr="007008FA">
        <w:rPr>
          <w:rStyle w:val="FootnoteReference"/>
          <w:color w:val="000000" w:themeColor="text1"/>
        </w:rPr>
        <w:footnoteRef/>
      </w:r>
      <w:r w:rsidRPr="007008FA">
        <w:rPr>
          <w:color w:val="000000" w:themeColor="text1"/>
        </w:rPr>
        <w:t xml:space="preserve"> </w:t>
      </w:r>
      <w:r w:rsidRPr="002F30F7">
        <w:rPr>
          <w:color w:val="000000" w:themeColor="text1"/>
          <w:sz w:val="18"/>
          <w:szCs w:val="18"/>
        </w:rPr>
        <w:t xml:space="preserve">2020 m. birželio </w:t>
      </w:r>
      <w:r w:rsidR="006350C1" w:rsidRPr="002F30F7">
        <w:rPr>
          <w:color w:val="000000" w:themeColor="text1"/>
          <w:sz w:val="18"/>
          <w:szCs w:val="18"/>
        </w:rPr>
        <w:t>5</w:t>
      </w:r>
      <w:r w:rsidRPr="002F30F7">
        <w:rPr>
          <w:color w:val="000000" w:themeColor="text1"/>
          <w:sz w:val="18"/>
          <w:szCs w:val="18"/>
        </w:rPr>
        <w:t xml:space="preserve"> d. </w:t>
      </w:r>
      <w:r w:rsidR="002C4D5D" w:rsidRPr="002F30F7">
        <w:rPr>
          <w:color w:val="000000" w:themeColor="text1"/>
          <w:sz w:val="18"/>
          <w:szCs w:val="18"/>
        </w:rPr>
        <w:t xml:space="preserve">UAB „Aketuri architektai“ </w:t>
      </w:r>
      <w:r w:rsidRPr="002F30F7">
        <w:rPr>
          <w:color w:val="000000" w:themeColor="text1"/>
          <w:sz w:val="18"/>
          <w:szCs w:val="18"/>
        </w:rPr>
        <w:t xml:space="preserve">raštas Nr. </w:t>
      </w:r>
      <w:r w:rsidR="006350C1" w:rsidRPr="002F30F7">
        <w:rPr>
          <w:color w:val="000000" w:themeColor="text1"/>
          <w:sz w:val="18"/>
          <w:szCs w:val="18"/>
        </w:rPr>
        <w:t>A23-4259</w:t>
      </w:r>
      <w:r w:rsidRPr="002F30F7">
        <w:rPr>
          <w:color w:val="000000" w:themeColor="text1"/>
          <w:sz w:val="18"/>
          <w:szCs w:val="18"/>
        </w:rPr>
        <w:t xml:space="preserve"> „</w:t>
      </w:r>
      <w:r w:rsidR="006350C1" w:rsidRPr="002F30F7">
        <w:rPr>
          <w:color w:val="000000" w:themeColor="text1"/>
          <w:sz w:val="18"/>
          <w:szCs w:val="18"/>
        </w:rPr>
        <w:t>Komercinis pasiūlymas dėl Gargždų parko darbo projekto parengimo</w:t>
      </w:r>
      <w:r w:rsidRPr="002F30F7">
        <w:rPr>
          <w:color w:val="000000" w:themeColor="text1"/>
          <w:sz w:val="18"/>
          <w:szCs w:val="18"/>
        </w:rPr>
        <w:t>“;</w:t>
      </w:r>
    </w:p>
  </w:footnote>
  <w:footnote w:id="9">
    <w:p w14:paraId="762B247C" w14:textId="6C72B0C9" w:rsidR="00D3403B" w:rsidRPr="002F30F7" w:rsidRDefault="00D3403B" w:rsidP="002F30F7">
      <w:pPr>
        <w:pStyle w:val="FootnoteText"/>
        <w:rPr>
          <w:sz w:val="18"/>
          <w:szCs w:val="18"/>
        </w:rPr>
      </w:pPr>
      <w:r w:rsidRPr="002F30F7">
        <w:rPr>
          <w:rStyle w:val="FootnoteReference"/>
          <w:color w:val="000000" w:themeColor="text1"/>
          <w:sz w:val="18"/>
          <w:szCs w:val="18"/>
        </w:rPr>
        <w:footnoteRef/>
      </w:r>
      <w:r w:rsidRPr="002F30F7">
        <w:rPr>
          <w:color w:val="000000" w:themeColor="text1"/>
          <w:sz w:val="18"/>
          <w:szCs w:val="18"/>
        </w:rPr>
        <w:t xml:space="preserve"> </w:t>
      </w:r>
      <w:r w:rsidR="00715674" w:rsidRPr="002F30F7">
        <w:rPr>
          <w:color w:val="000000" w:themeColor="text1"/>
          <w:sz w:val="18"/>
          <w:szCs w:val="18"/>
        </w:rPr>
        <w:t xml:space="preserve">2020 m. liepos 15 d. </w:t>
      </w:r>
      <w:r w:rsidR="0078213C" w:rsidRPr="002F30F7">
        <w:rPr>
          <w:color w:val="000000" w:themeColor="text1"/>
          <w:sz w:val="18"/>
          <w:szCs w:val="18"/>
        </w:rPr>
        <w:t>Nuolatinės viešųjų pirkimų komisijos protokol</w:t>
      </w:r>
      <w:r w:rsidR="00715674" w:rsidRPr="002F30F7">
        <w:rPr>
          <w:color w:val="000000" w:themeColor="text1"/>
          <w:sz w:val="18"/>
          <w:szCs w:val="18"/>
        </w:rPr>
        <w:t>as</w:t>
      </w:r>
      <w:r w:rsidR="0078213C" w:rsidRPr="002F30F7">
        <w:rPr>
          <w:color w:val="000000" w:themeColor="text1"/>
          <w:sz w:val="18"/>
          <w:szCs w:val="18"/>
        </w:rPr>
        <w:t xml:space="preserve"> Nr. P-2020/3169.</w:t>
      </w:r>
      <w:r w:rsidRPr="002F30F7">
        <w:rPr>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6397" w14:textId="4E5BDBA2"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CEC">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8"/>
  </w:num>
  <w:num w:numId="5">
    <w:abstractNumId w:val="2"/>
  </w:num>
  <w:num w:numId="6">
    <w:abstractNumId w:val="5"/>
  </w:num>
  <w:num w:numId="7">
    <w:abstractNumId w:val="6"/>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0D2"/>
    <w:rsid w:val="000029A7"/>
    <w:rsid w:val="00007BCA"/>
    <w:rsid w:val="00011229"/>
    <w:rsid w:val="000205A5"/>
    <w:rsid w:val="00020AEA"/>
    <w:rsid w:val="00032E30"/>
    <w:rsid w:val="00041165"/>
    <w:rsid w:val="0005793E"/>
    <w:rsid w:val="00060736"/>
    <w:rsid w:val="00065D63"/>
    <w:rsid w:val="00067E13"/>
    <w:rsid w:val="00074362"/>
    <w:rsid w:val="000825AA"/>
    <w:rsid w:val="00091B12"/>
    <w:rsid w:val="00094D97"/>
    <w:rsid w:val="00096D17"/>
    <w:rsid w:val="000A5831"/>
    <w:rsid w:val="000A5DDD"/>
    <w:rsid w:val="000A5F05"/>
    <w:rsid w:val="000B3F13"/>
    <w:rsid w:val="000B476E"/>
    <w:rsid w:val="000C26A8"/>
    <w:rsid w:val="000C2DFC"/>
    <w:rsid w:val="000D0EA9"/>
    <w:rsid w:val="000D2CBD"/>
    <w:rsid w:val="000D695C"/>
    <w:rsid w:val="0010247F"/>
    <w:rsid w:val="0010506F"/>
    <w:rsid w:val="0010592B"/>
    <w:rsid w:val="00120487"/>
    <w:rsid w:val="00120B1E"/>
    <w:rsid w:val="0012179B"/>
    <w:rsid w:val="0012239F"/>
    <w:rsid w:val="00126EDE"/>
    <w:rsid w:val="0013157D"/>
    <w:rsid w:val="00135455"/>
    <w:rsid w:val="0013783E"/>
    <w:rsid w:val="001413CF"/>
    <w:rsid w:val="00141EF4"/>
    <w:rsid w:val="00142022"/>
    <w:rsid w:val="001450E3"/>
    <w:rsid w:val="00147903"/>
    <w:rsid w:val="001515B0"/>
    <w:rsid w:val="00162FFD"/>
    <w:rsid w:val="00164491"/>
    <w:rsid w:val="00177B63"/>
    <w:rsid w:val="00185600"/>
    <w:rsid w:val="0018705A"/>
    <w:rsid w:val="0019643A"/>
    <w:rsid w:val="001A0227"/>
    <w:rsid w:val="001A20D5"/>
    <w:rsid w:val="001C2ACF"/>
    <w:rsid w:val="001C3767"/>
    <w:rsid w:val="001D3A13"/>
    <w:rsid w:val="001E1299"/>
    <w:rsid w:val="001E32F5"/>
    <w:rsid w:val="001E4DA1"/>
    <w:rsid w:val="001E4F4B"/>
    <w:rsid w:val="001E6B4E"/>
    <w:rsid w:val="001E7D68"/>
    <w:rsid w:val="001F21C3"/>
    <w:rsid w:val="001F3240"/>
    <w:rsid w:val="001F3259"/>
    <w:rsid w:val="001F54EA"/>
    <w:rsid w:val="001F557F"/>
    <w:rsid w:val="001F7EEE"/>
    <w:rsid w:val="00200CBA"/>
    <w:rsid w:val="00201C9C"/>
    <w:rsid w:val="00205813"/>
    <w:rsid w:val="00212DE7"/>
    <w:rsid w:val="002150D8"/>
    <w:rsid w:val="00217670"/>
    <w:rsid w:val="00220F8C"/>
    <w:rsid w:val="002237A5"/>
    <w:rsid w:val="00227615"/>
    <w:rsid w:val="00233FF7"/>
    <w:rsid w:val="00234580"/>
    <w:rsid w:val="00236278"/>
    <w:rsid w:val="0023768A"/>
    <w:rsid w:val="00237E48"/>
    <w:rsid w:val="00255538"/>
    <w:rsid w:val="0025785A"/>
    <w:rsid w:val="00263C03"/>
    <w:rsid w:val="002672AB"/>
    <w:rsid w:val="00273073"/>
    <w:rsid w:val="00275667"/>
    <w:rsid w:val="002824E2"/>
    <w:rsid w:val="00285309"/>
    <w:rsid w:val="00285930"/>
    <w:rsid w:val="00285F4F"/>
    <w:rsid w:val="00295342"/>
    <w:rsid w:val="00295462"/>
    <w:rsid w:val="0029776E"/>
    <w:rsid w:val="002A37FA"/>
    <w:rsid w:val="002A6FD8"/>
    <w:rsid w:val="002A78D5"/>
    <w:rsid w:val="002C188B"/>
    <w:rsid w:val="002C427F"/>
    <w:rsid w:val="002C4D5D"/>
    <w:rsid w:val="002D229A"/>
    <w:rsid w:val="002E19B3"/>
    <w:rsid w:val="002E270E"/>
    <w:rsid w:val="002E3BE6"/>
    <w:rsid w:val="002F30F7"/>
    <w:rsid w:val="002F3103"/>
    <w:rsid w:val="002F7678"/>
    <w:rsid w:val="002F7DA1"/>
    <w:rsid w:val="00310941"/>
    <w:rsid w:val="003126F6"/>
    <w:rsid w:val="00312B1A"/>
    <w:rsid w:val="00312F73"/>
    <w:rsid w:val="00313908"/>
    <w:rsid w:val="00323502"/>
    <w:rsid w:val="00330F2D"/>
    <w:rsid w:val="00334F10"/>
    <w:rsid w:val="00335354"/>
    <w:rsid w:val="003410EB"/>
    <w:rsid w:val="0034199B"/>
    <w:rsid w:val="0034260D"/>
    <w:rsid w:val="00344D5E"/>
    <w:rsid w:val="00345795"/>
    <w:rsid w:val="0034771D"/>
    <w:rsid w:val="0036093A"/>
    <w:rsid w:val="00360CC7"/>
    <w:rsid w:val="003631BF"/>
    <w:rsid w:val="00371C99"/>
    <w:rsid w:val="003830E2"/>
    <w:rsid w:val="00386371"/>
    <w:rsid w:val="003871FF"/>
    <w:rsid w:val="00390281"/>
    <w:rsid w:val="003A4870"/>
    <w:rsid w:val="003A5B17"/>
    <w:rsid w:val="003A64B7"/>
    <w:rsid w:val="003B0261"/>
    <w:rsid w:val="003B2FB9"/>
    <w:rsid w:val="003B71B4"/>
    <w:rsid w:val="003C11D2"/>
    <w:rsid w:val="003C5714"/>
    <w:rsid w:val="003C6B99"/>
    <w:rsid w:val="003D36FE"/>
    <w:rsid w:val="003D70BB"/>
    <w:rsid w:val="003D7ACB"/>
    <w:rsid w:val="003E5B85"/>
    <w:rsid w:val="003F1EE1"/>
    <w:rsid w:val="003F220C"/>
    <w:rsid w:val="003F2584"/>
    <w:rsid w:val="003F2855"/>
    <w:rsid w:val="003F4B96"/>
    <w:rsid w:val="003F55CE"/>
    <w:rsid w:val="003F5B08"/>
    <w:rsid w:val="00400B80"/>
    <w:rsid w:val="00411310"/>
    <w:rsid w:val="0041379D"/>
    <w:rsid w:val="00420B99"/>
    <w:rsid w:val="0042101D"/>
    <w:rsid w:val="00422589"/>
    <w:rsid w:val="00427CC6"/>
    <w:rsid w:val="0043041A"/>
    <w:rsid w:val="004309DA"/>
    <w:rsid w:val="00430B91"/>
    <w:rsid w:val="0043489E"/>
    <w:rsid w:val="00441571"/>
    <w:rsid w:val="00454216"/>
    <w:rsid w:val="00457A4A"/>
    <w:rsid w:val="00460108"/>
    <w:rsid w:val="00471289"/>
    <w:rsid w:val="00474479"/>
    <w:rsid w:val="004763F4"/>
    <w:rsid w:val="004826A4"/>
    <w:rsid w:val="004828F7"/>
    <w:rsid w:val="0048444C"/>
    <w:rsid w:val="004938A0"/>
    <w:rsid w:val="00493AE6"/>
    <w:rsid w:val="004A3586"/>
    <w:rsid w:val="004A4318"/>
    <w:rsid w:val="004B1D3A"/>
    <w:rsid w:val="004B41BA"/>
    <w:rsid w:val="004B4D76"/>
    <w:rsid w:val="004C2772"/>
    <w:rsid w:val="004D18E9"/>
    <w:rsid w:val="004D3863"/>
    <w:rsid w:val="004D47C1"/>
    <w:rsid w:val="004F150F"/>
    <w:rsid w:val="004F787A"/>
    <w:rsid w:val="00505F34"/>
    <w:rsid w:val="0051338C"/>
    <w:rsid w:val="00521032"/>
    <w:rsid w:val="00523B0B"/>
    <w:rsid w:val="00524684"/>
    <w:rsid w:val="0052505A"/>
    <w:rsid w:val="005277C1"/>
    <w:rsid w:val="00530693"/>
    <w:rsid w:val="00534E0D"/>
    <w:rsid w:val="00536BD1"/>
    <w:rsid w:val="0054095A"/>
    <w:rsid w:val="00541CEC"/>
    <w:rsid w:val="005541DF"/>
    <w:rsid w:val="00561AEF"/>
    <w:rsid w:val="005633F6"/>
    <w:rsid w:val="00563574"/>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2A50"/>
    <w:rsid w:val="005D6DCF"/>
    <w:rsid w:val="005E304B"/>
    <w:rsid w:val="005E386D"/>
    <w:rsid w:val="005E6FCF"/>
    <w:rsid w:val="005E7762"/>
    <w:rsid w:val="005E7768"/>
    <w:rsid w:val="005F16E7"/>
    <w:rsid w:val="005F2425"/>
    <w:rsid w:val="005F242B"/>
    <w:rsid w:val="005F2C7C"/>
    <w:rsid w:val="00603DF2"/>
    <w:rsid w:val="006157DD"/>
    <w:rsid w:val="00616232"/>
    <w:rsid w:val="006204C7"/>
    <w:rsid w:val="0062617D"/>
    <w:rsid w:val="00631C67"/>
    <w:rsid w:val="006350C1"/>
    <w:rsid w:val="00635C14"/>
    <w:rsid w:val="00635D84"/>
    <w:rsid w:val="00642E1E"/>
    <w:rsid w:val="00645395"/>
    <w:rsid w:val="00646FEC"/>
    <w:rsid w:val="00651C88"/>
    <w:rsid w:val="00651D27"/>
    <w:rsid w:val="00664415"/>
    <w:rsid w:val="006755D0"/>
    <w:rsid w:val="006772F3"/>
    <w:rsid w:val="006821F4"/>
    <w:rsid w:val="0068226E"/>
    <w:rsid w:val="00685AA6"/>
    <w:rsid w:val="00687076"/>
    <w:rsid w:val="00690800"/>
    <w:rsid w:val="006915D5"/>
    <w:rsid w:val="00692318"/>
    <w:rsid w:val="00692D70"/>
    <w:rsid w:val="00693D5D"/>
    <w:rsid w:val="006A0434"/>
    <w:rsid w:val="006C1805"/>
    <w:rsid w:val="006C3CE6"/>
    <w:rsid w:val="006C3DE0"/>
    <w:rsid w:val="006C4D48"/>
    <w:rsid w:val="006D2A79"/>
    <w:rsid w:val="006E1FB1"/>
    <w:rsid w:val="006E5BDF"/>
    <w:rsid w:val="006F2CA4"/>
    <w:rsid w:val="006F5A1F"/>
    <w:rsid w:val="006F6A2B"/>
    <w:rsid w:val="006F7E56"/>
    <w:rsid w:val="007008FA"/>
    <w:rsid w:val="00715674"/>
    <w:rsid w:val="007229DE"/>
    <w:rsid w:val="00722A57"/>
    <w:rsid w:val="00723240"/>
    <w:rsid w:val="007302DD"/>
    <w:rsid w:val="007304BD"/>
    <w:rsid w:val="007336CA"/>
    <w:rsid w:val="00734403"/>
    <w:rsid w:val="00736125"/>
    <w:rsid w:val="007407B5"/>
    <w:rsid w:val="00740FCA"/>
    <w:rsid w:val="007476E6"/>
    <w:rsid w:val="00751AD9"/>
    <w:rsid w:val="00754E9D"/>
    <w:rsid w:val="007724B7"/>
    <w:rsid w:val="00775BE5"/>
    <w:rsid w:val="00781A8B"/>
    <w:rsid w:val="0078213C"/>
    <w:rsid w:val="00785319"/>
    <w:rsid w:val="007A094A"/>
    <w:rsid w:val="007A7CC6"/>
    <w:rsid w:val="007B18D7"/>
    <w:rsid w:val="007B418D"/>
    <w:rsid w:val="007B5F54"/>
    <w:rsid w:val="007C7EC9"/>
    <w:rsid w:val="007D0BB6"/>
    <w:rsid w:val="007D2C04"/>
    <w:rsid w:val="007E5CFB"/>
    <w:rsid w:val="007E66F4"/>
    <w:rsid w:val="007E7A01"/>
    <w:rsid w:val="007F09D7"/>
    <w:rsid w:val="007F205E"/>
    <w:rsid w:val="007F4DB5"/>
    <w:rsid w:val="00805FB6"/>
    <w:rsid w:val="00806DC3"/>
    <w:rsid w:val="0081123D"/>
    <w:rsid w:val="0081258D"/>
    <w:rsid w:val="00822507"/>
    <w:rsid w:val="0082471C"/>
    <w:rsid w:val="0083611F"/>
    <w:rsid w:val="008403BB"/>
    <w:rsid w:val="0084263D"/>
    <w:rsid w:val="00862D96"/>
    <w:rsid w:val="0087178C"/>
    <w:rsid w:val="00876609"/>
    <w:rsid w:val="008842E8"/>
    <w:rsid w:val="00892C2E"/>
    <w:rsid w:val="008A6509"/>
    <w:rsid w:val="008A6E81"/>
    <w:rsid w:val="008B3261"/>
    <w:rsid w:val="008B76A2"/>
    <w:rsid w:val="008C218C"/>
    <w:rsid w:val="008D20C6"/>
    <w:rsid w:val="008D4DFC"/>
    <w:rsid w:val="008D6832"/>
    <w:rsid w:val="008D74A5"/>
    <w:rsid w:val="008E2B0B"/>
    <w:rsid w:val="008F0B5C"/>
    <w:rsid w:val="008F0EB8"/>
    <w:rsid w:val="008F51E5"/>
    <w:rsid w:val="008F62AA"/>
    <w:rsid w:val="008F73D6"/>
    <w:rsid w:val="00905DF3"/>
    <w:rsid w:val="009103EC"/>
    <w:rsid w:val="009149F4"/>
    <w:rsid w:val="00921736"/>
    <w:rsid w:val="00922E31"/>
    <w:rsid w:val="00926DA2"/>
    <w:rsid w:val="009331BE"/>
    <w:rsid w:val="00935C07"/>
    <w:rsid w:val="00947CD5"/>
    <w:rsid w:val="00952E39"/>
    <w:rsid w:val="0095511C"/>
    <w:rsid w:val="00963D62"/>
    <w:rsid w:val="009640EC"/>
    <w:rsid w:val="00972EBC"/>
    <w:rsid w:val="009847BD"/>
    <w:rsid w:val="00986D62"/>
    <w:rsid w:val="009931AC"/>
    <w:rsid w:val="009A008C"/>
    <w:rsid w:val="009A19C0"/>
    <w:rsid w:val="009A2A2F"/>
    <w:rsid w:val="009A4719"/>
    <w:rsid w:val="009A5747"/>
    <w:rsid w:val="009B2C0A"/>
    <w:rsid w:val="009C1F3E"/>
    <w:rsid w:val="009C2C98"/>
    <w:rsid w:val="009E18B8"/>
    <w:rsid w:val="009E56CC"/>
    <w:rsid w:val="009F1B90"/>
    <w:rsid w:val="009F5A01"/>
    <w:rsid w:val="00A0159E"/>
    <w:rsid w:val="00A0194F"/>
    <w:rsid w:val="00A0280B"/>
    <w:rsid w:val="00A11F4A"/>
    <w:rsid w:val="00A1308C"/>
    <w:rsid w:val="00A13C46"/>
    <w:rsid w:val="00A269F6"/>
    <w:rsid w:val="00A26BB4"/>
    <w:rsid w:val="00A27B6C"/>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810F1"/>
    <w:rsid w:val="00A85EC3"/>
    <w:rsid w:val="00A87DF7"/>
    <w:rsid w:val="00A9746D"/>
    <w:rsid w:val="00AA13F0"/>
    <w:rsid w:val="00AA66EC"/>
    <w:rsid w:val="00AB1B38"/>
    <w:rsid w:val="00AB346E"/>
    <w:rsid w:val="00AC0770"/>
    <w:rsid w:val="00AC16CB"/>
    <w:rsid w:val="00AC5C85"/>
    <w:rsid w:val="00AD4BA6"/>
    <w:rsid w:val="00AD6768"/>
    <w:rsid w:val="00AE1F4E"/>
    <w:rsid w:val="00AE3433"/>
    <w:rsid w:val="00AE357F"/>
    <w:rsid w:val="00AE5D6A"/>
    <w:rsid w:val="00AE6A81"/>
    <w:rsid w:val="00AF031A"/>
    <w:rsid w:val="00AF220F"/>
    <w:rsid w:val="00B00D21"/>
    <w:rsid w:val="00B0406C"/>
    <w:rsid w:val="00B043CA"/>
    <w:rsid w:val="00B23044"/>
    <w:rsid w:val="00B23944"/>
    <w:rsid w:val="00B33D0D"/>
    <w:rsid w:val="00B43C80"/>
    <w:rsid w:val="00B449B5"/>
    <w:rsid w:val="00B46194"/>
    <w:rsid w:val="00B513F0"/>
    <w:rsid w:val="00B52446"/>
    <w:rsid w:val="00B52ACA"/>
    <w:rsid w:val="00B55C05"/>
    <w:rsid w:val="00B56BEA"/>
    <w:rsid w:val="00B64414"/>
    <w:rsid w:val="00B64D5D"/>
    <w:rsid w:val="00B71637"/>
    <w:rsid w:val="00B74584"/>
    <w:rsid w:val="00B96F96"/>
    <w:rsid w:val="00B97313"/>
    <w:rsid w:val="00BA1022"/>
    <w:rsid w:val="00BA5737"/>
    <w:rsid w:val="00BA7823"/>
    <w:rsid w:val="00BA7F95"/>
    <w:rsid w:val="00BB0779"/>
    <w:rsid w:val="00BB139E"/>
    <w:rsid w:val="00BB1BA7"/>
    <w:rsid w:val="00BB5959"/>
    <w:rsid w:val="00BB5BE8"/>
    <w:rsid w:val="00BB7E08"/>
    <w:rsid w:val="00BD26D0"/>
    <w:rsid w:val="00BD6C5E"/>
    <w:rsid w:val="00BE12CD"/>
    <w:rsid w:val="00BE16FC"/>
    <w:rsid w:val="00BF03E9"/>
    <w:rsid w:val="00BF2D89"/>
    <w:rsid w:val="00BF78AF"/>
    <w:rsid w:val="00C05A9C"/>
    <w:rsid w:val="00C066CB"/>
    <w:rsid w:val="00C13EE4"/>
    <w:rsid w:val="00C14D1C"/>
    <w:rsid w:val="00C177C5"/>
    <w:rsid w:val="00C22B6A"/>
    <w:rsid w:val="00C255C9"/>
    <w:rsid w:val="00C25676"/>
    <w:rsid w:val="00C3301D"/>
    <w:rsid w:val="00C34F10"/>
    <w:rsid w:val="00C43438"/>
    <w:rsid w:val="00C442F4"/>
    <w:rsid w:val="00C45851"/>
    <w:rsid w:val="00C50192"/>
    <w:rsid w:val="00C616C5"/>
    <w:rsid w:val="00C65220"/>
    <w:rsid w:val="00C70B46"/>
    <w:rsid w:val="00C874ED"/>
    <w:rsid w:val="00C901A1"/>
    <w:rsid w:val="00C918D3"/>
    <w:rsid w:val="00C932CA"/>
    <w:rsid w:val="00C96169"/>
    <w:rsid w:val="00C97613"/>
    <w:rsid w:val="00CA6600"/>
    <w:rsid w:val="00CB0FE5"/>
    <w:rsid w:val="00CB4367"/>
    <w:rsid w:val="00CB5024"/>
    <w:rsid w:val="00CB511F"/>
    <w:rsid w:val="00CB7DD8"/>
    <w:rsid w:val="00CC2618"/>
    <w:rsid w:val="00CD32F4"/>
    <w:rsid w:val="00CE0859"/>
    <w:rsid w:val="00CE229D"/>
    <w:rsid w:val="00CE5815"/>
    <w:rsid w:val="00CF071A"/>
    <w:rsid w:val="00D04A3A"/>
    <w:rsid w:val="00D07A2E"/>
    <w:rsid w:val="00D11DD3"/>
    <w:rsid w:val="00D14C8F"/>
    <w:rsid w:val="00D23138"/>
    <w:rsid w:val="00D25F45"/>
    <w:rsid w:val="00D3403B"/>
    <w:rsid w:val="00D351F9"/>
    <w:rsid w:val="00D469FE"/>
    <w:rsid w:val="00D475C2"/>
    <w:rsid w:val="00D52DAB"/>
    <w:rsid w:val="00D55AF8"/>
    <w:rsid w:val="00D57C46"/>
    <w:rsid w:val="00D619CB"/>
    <w:rsid w:val="00D670B0"/>
    <w:rsid w:val="00D74CD2"/>
    <w:rsid w:val="00D807D2"/>
    <w:rsid w:val="00D8632C"/>
    <w:rsid w:val="00D9426D"/>
    <w:rsid w:val="00D95558"/>
    <w:rsid w:val="00D95BC3"/>
    <w:rsid w:val="00D97020"/>
    <w:rsid w:val="00DA16B9"/>
    <w:rsid w:val="00DB28BF"/>
    <w:rsid w:val="00DC6B37"/>
    <w:rsid w:val="00DC6C6D"/>
    <w:rsid w:val="00DD4403"/>
    <w:rsid w:val="00DD5DF6"/>
    <w:rsid w:val="00DE0D9A"/>
    <w:rsid w:val="00DE176C"/>
    <w:rsid w:val="00DE4107"/>
    <w:rsid w:val="00DE457C"/>
    <w:rsid w:val="00DE5C30"/>
    <w:rsid w:val="00DE671D"/>
    <w:rsid w:val="00DF23C2"/>
    <w:rsid w:val="00DF48E5"/>
    <w:rsid w:val="00E105D7"/>
    <w:rsid w:val="00E11020"/>
    <w:rsid w:val="00E26FDE"/>
    <w:rsid w:val="00E32469"/>
    <w:rsid w:val="00E375C0"/>
    <w:rsid w:val="00E424BD"/>
    <w:rsid w:val="00E46269"/>
    <w:rsid w:val="00E47BA3"/>
    <w:rsid w:val="00E50D25"/>
    <w:rsid w:val="00E52C4E"/>
    <w:rsid w:val="00E56998"/>
    <w:rsid w:val="00E644BF"/>
    <w:rsid w:val="00E73883"/>
    <w:rsid w:val="00E75B4A"/>
    <w:rsid w:val="00E76B8E"/>
    <w:rsid w:val="00E873DE"/>
    <w:rsid w:val="00E87A05"/>
    <w:rsid w:val="00E900D3"/>
    <w:rsid w:val="00EA4E2B"/>
    <w:rsid w:val="00EB5489"/>
    <w:rsid w:val="00EB6FA4"/>
    <w:rsid w:val="00EB79C5"/>
    <w:rsid w:val="00EC4F58"/>
    <w:rsid w:val="00EC5839"/>
    <w:rsid w:val="00ED19CF"/>
    <w:rsid w:val="00ED5F50"/>
    <w:rsid w:val="00ED6946"/>
    <w:rsid w:val="00ED7FBF"/>
    <w:rsid w:val="00EE3316"/>
    <w:rsid w:val="00EE41DE"/>
    <w:rsid w:val="00EF201F"/>
    <w:rsid w:val="00EF7000"/>
    <w:rsid w:val="00F00111"/>
    <w:rsid w:val="00F04368"/>
    <w:rsid w:val="00F10DD2"/>
    <w:rsid w:val="00F114EF"/>
    <w:rsid w:val="00F17D9E"/>
    <w:rsid w:val="00F202B1"/>
    <w:rsid w:val="00F23366"/>
    <w:rsid w:val="00F24F89"/>
    <w:rsid w:val="00F2612C"/>
    <w:rsid w:val="00F30236"/>
    <w:rsid w:val="00F358A9"/>
    <w:rsid w:val="00F37DB6"/>
    <w:rsid w:val="00F452C4"/>
    <w:rsid w:val="00F62141"/>
    <w:rsid w:val="00F62F10"/>
    <w:rsid w:val="00F64F60"/>
    <w:rsid w:val="00F6674F"/>
    <w:rsid w:val="00F66D96"/>
    <w:rsid w:val="00F705CD"/>
    <w:rsid w:val="00F72BD0"/>
    <w:rsid w:val="00F75E2A"/>
    <w:rsid w:val="00F81AEE"/>
    <w:rsid w:val="00F85F24"/>
    <w:rsid w:val="00F87C46"/>
    <w:rsid w:val="00F903B5"/>
    <w:rsid w:val="00F92D4E"/>
    <w:rsid w:val="00F93CA0"/>
    <w:rsid w:val="00F95B20"/>
    <w:rsid w:val="00FA0AE4"/>
    <w:rsid w:val="00FA0C2E"/>
    <w:rsid w:val="00FA5DDD"/>
    <w:rsid w:val="00FA65F3"/>
    <w:rsid w:val="00FC0222"/>
    <w:rsid w:val="00FC101E"/>
    <w:rsid w:val="00FD1061"/>
    <w:rsid w:val="00FD339F"/>
    <w:rsid w:val="00FD3DE9"/>
    <w:rsid w:val="00FD56A5"/>
    <w:rsid w:val="00FD5D7D"/>
    <w:rsid w:val="00FD5E3C"/>
    <w:rsid w:val="00FD6E2C"/>
    <w:rsid w:val="00FF2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customStyle="1" w:styleId="UnresolvedMention1">
    <w:name w:val="Unresolved Mention1"/>
    <w:basedOn w:val="DefaultParagraphFont"/>
    <w:uiPriority w:val="99"/>
    <w:semiHidden/>
    <w:unhideWhenUsed/>
    <w:rsid w:val="003631BF"/>
    <w:rPr>
      <w:color w:val="605E5C"/>
      <w:shd w:val="clear" w:color="auto" w:fill="E1DFDD"/>
    </w:rPr>
  </w:style>
  <w:style w:type="paragraph" w:styleId="FootnoteText">
    <w:name w:val="footnote text"/>
    <w:basedOn w:val="Normal"/>
    <w:link w:val="FootnoteTextChar"/>
    <w:uiPriority w:val="99"/>
    <w:rsid w:val="00CF071A"/>
  </w:style>
  <w:style w:type="character" w:customStyle="1" w:styleId="FootnoteTextChar">
    <w:name w:val="Footnote Text Char"/>
    <w:basedOn w:val="DefaultParagraphFont"/>
    <w:link w:val="FootnoteText"/>
    <w:uiPriority w:val="99"/>
    <w:rsid w:val="00CF071A"/>
    <w:rPr>
      <w:lang w:eastAsia="en-US"/>
    </w:rPr>
  </w:style>
  <w:style w:type="character" w:styleId="FootnoteReference">
    <w:name w:val="footnote reference"/>
    <w:basedOn w:val="DefaultParagraphFont"/>
    <w:uiPriority w:val="99"/>
    <w:rsid w:val="00CF0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B9205-EDBD-4F41-974A-B4DC3FFE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1009</Words>
  <Characters>5755</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Dovilė Gataukytė</cp:lastModifiedBy>
  <cp:revision>4</cp:revision>
  <cp:lastPrinted>2017-04-05T07:57:00Z</cp:lastPrinted>
  <dcterms:created xsi:type="dcterms:W3CDTF">2020-07-31T10:37:00Z</dcterms:created>
  <dcterms:modified xsi:type="dcterms:W3CDTF">2020-07-31T10:40:00Z</dcterms:modified>
</cp:coreProperties>
</file>