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p w:rsidR="007C3C61" w:rsidRPr="0009665F" w:rsidRDefault="007C3C61" w:rsidP="007C3C61">
      <w:pPr>
        <w:jc w:val="center"/>
        <w:rPr>
          <w:sz w:val="24"/>
          <w:szCs w:val="24"/>
        </w:rPr>
      </w:pPr>
      <w:r w:rsidRPr="0009665F">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7" o:title=""/>
          </v:shape>
          <o:OLEObject Type="Embed" ProgID="Word.Picture.8" ShapeID="_x0000_i1025" DrawAspect="Content" ObjectID="_1653132464" r:id="rId8"/>
        </w:object>
      </w:r>
    </w:p>
    <w:p w:rsidR="007C3C61" w:rsidRPr="0009665F" w:rsidRDefault="007C3C61" w:rsidP="007C3C61">
      <w:pPr>
        <w:jc w:val="center"/>
        <w:rPr>
          <w:sz w:val="24"/>
          <w:szCs w:val="24"/>
        </w:rPr>
      </w:pPr>
    </w:p>
    <w:p w:rsidR="007C3C61" w:rsidRPr="0009665F" w:rsidRDefault="007C3C61" w:rsidP="007C3C61">
      <w:pPr>
        <w:pStyle w:val="Antrat1"/>
        <w:tabs>
          <w:tab w:val="left" w:pos="900"/>
        </w:tabs>
        <w:jc w:val="center"/>
        <w:rPr>
          <w:sz w:val="24"/>
          <w:szCs w:val="24"/>
        </w:rPr>
      </w:pPr>
      <w:r w:rsidRPr="0009665F">
        <w:rPr>
          <w:sz w:val="24"/>
          <w:szCs w:val="24"/>
        </w:rPr>
        <w:t>VIEŠŲJŲ PIRKIMŲ TARNYBA</w:t>
      </w:r>
    </w:p>
    <w:p w:rsidR="007C3C61" w:rsidRPr="0009665F" w:rsidRDefault="007C3C61" w:rsidP="007C3C61">
      <w:pPr>
        <w:tabs>
          <w:tab w:val="left" w:pos="900"/>
        </w:tabs>
        <w:rPr>
          <w:bCs/>
          <w:sz w:val="24"/>
          <w:szCs w:val="24"/>
        </w:rPr>
      </w:pPr>
    </w:p>
    <w:p w:rsidR="007C3C61" w:rsidRPr="0009665F" w:rsidRDefault="007C3C61" w:rsidP="007C3C61">
      <w:pPr>
        <w:tabs>
          <w:tab w:val="left" w:pos="900"/>
        </w:tabs>
        <w:rPr>
          <w:bCs/>
          <w:sz w:val="24"/>
          <w:szCs w:val="24"/>
        </w:rPr>
      </w:pPr>
    </w:p>
    <w:p w:rsidR="007C3C61" w:rsidRPr="0009665F" w:rsidRDefault="007C3C61" w:rsidP="007C3C61">
      <w:pPr>
        <w:tabs>
          <w:tab w:val="left" w:pos="900"/>
        </w:tabs>
        <w:rPr>
          <w:bCs/>
          <w:sz w:val="24"/>
          <w:szCs w:val="24"/>
        </w:rPr>
      </w:pPr>
    </w:p>
    <w:tbl>
      <w:tblPr>
        <w:tblW w:w="9621" w:type="dxa"/>
        <w:tblInd w:w="18" w:type="dxa"/>
        <w:tblLayout w:type="fixed"/>
        <w:tblLook w:val="0000" w:firstRow="0" w:lastRow="0" w:firstColumn="0" w:lastColumn="0" w:noHBand="0" w:noVBand="0"/>
      </w:tblPr>
      <w:tblGrid>
        <w:gridCol w:w="4093"/>
        <w:gridCol w:w="567"/>
        <w:gridCol w:w="1418"/>
        <w:gridCol w:w="534"/>
        <w:gridCol w:w="3009"/>
      </w:tblGrid>
      <w:tr w:rsidR="007C3C61" w:rsidRPr="0009665F" w:rsidTr="00F20AD4">
        <w:trPr>
          <w:cantSplit/>
          <w:trHeight w:val="80"/>
        </w:trPr>
        <w:tc>
          <w:tcPr>
            <w:tcW w:w="4093" w:type="dxa"/>
            <w:vMerge w:val="restart"/>
          </w:tcPr>
          <w:p w:rsidR="007C3C61" w:rsidRPr="0009665F" w:rsidRDefault="007C3C61" w:rsidP="00F20AD4">
            <w:pPr>
              <w:tabs>
                <w:tab w:val="left" w:pos="900"/>
              </w:tabs>
              <w:ind w:left="-108"/>
              <w:rPr>
                <w:sz w:val="24"/>
                <w:szCs w:val="24"/>
              </w:rPr>
            </w:pPr>
            <w:r w:rsidRPr="0009665F">
              <w:rPr>
                <w:sz w:val="24"/>
                <w:szCs w:val="24"/>
              </w:rPr>
              <w:t xml:space="preserve">Lietuvos bankas </w:t>
            </w:r>
          </w:p>
          <w:p w:rsidR="007C3C61" w:rsidRPr="0009665F" w:rsidRDefault="007C3C61" w:rsidP="00F20AD4">
            <w:pPr>
              <w:tabs>
                <w:tab w:val="left" w:pos="900"/>
              </w:tabs>
              <w:ind w:left="-108"/>
              <w:rPr>
                <w:sz w:val="24"/>
                <w:szCs w:val="24"/>
              </w:rPr>
            </w:pPr>
            <w:r w:rsidRPr="0009665F">
              <w:rPr>
                <w:sz w:val="24"/>
                <w:szCs w:val="24"/>
              </w:rPr>
              <w:t>Gedimino pr. 6</w:t>
            </w:r>
          </w:p>
          <w:p w:rsidR="007C3C61" w:rsidRPr="0009665F" w:rsidRDefault="007C3C61" w:rsidP="00F20AD4">
            <w:pPr>
              <w:tabs>
                <w:tab w:val="left" w:pos="900"/>
              </w:tabs>
              <w:ind w:left="-108"/>
              <w:rPr>
                <w:sz w:val="24"/>
                <w:szCs w:val="24"/>
              </w:rPr>
            </w:pPr>
            <w:r>
              <w:rPr>
                <w:sz w:val="24"/>
                <w:szCs w:val="24"/>
              </w:rPr>
              <w:t>LT-</w:t>
            </w:r>
            <w:r w:rsidRPr="0009665F">
              <w:rPr>
                <w:sz w:val="24"/>
                <w:szCs w:val="24"/>
              </w:rPr>
              <w:t xml:space="preserve">01103 Vilnius </w:t>
            </w:r>
          </w:p>
          <w:p w:rsidR="007C3C61" w:rsidRPr="0009665F" w:rsidRDefault="007C3C61" w:rsidP="00F20AD4">
            <w:pPr>
              <w:tabs>
                <w:tab w:val="left" w:pos="900"/>
              </w:tabs>
              <w:ind w:left="-108"/>
              <w:rPr>
                <w:sz w:val="24"/>
                <w:szCs w:val="24"/>
              </w:rPr>
            </w:pPr>
          </w:p>
        </w:tc>
        <w:tc>
          <w:tcPr>
            <w:tcW w:w="567" w:type="dxa"/>
          </w:tcPr>
          <w:p w:rsidR="007C3C61" w:rsidRPr="0009665F" w:rsidRDefault="007C3C61" w:rsidP="00F20AD4">
            <w:pPr>
              <w:tabs>
                <w:tab w:val="left" w:pos="900"/>
              </w:tabs>
              <w:rPr>
                <w:sz w:val="24"/>
                <w:szCs w:val="24"/>
              </w:rPr>
            </w:pPr>
          </w:p>
        </w:tc>
        <w:tc>
          <w:tcPr>
            <w:tcW w:w="1418" w:type="dxa"/>
          </w:tcPr>
          <w:p w:rsidR="007C3C61" w:rsidRPr="0009665F" w:rsidRDefault="007C3C61" w:rsidP="00F20AD4">
            <w:pPr>
              <w:ind w:left="-214" w:firstLine="109"/>
              <w:rPr>
                <w:sz w:val="24"/>
                <w:szCs w:val="24"/>
              </w:rPr>
            </w:pPr>
            <w:r w:rsidRPr="0009665F">
              <w:rPr>
                <w:sz w:val="24"/>
                <w:szCs w:val="24"/>
              </w:rPr>
              <w:t xml:space="preserve">   2020-06-    </w:t>
            </w:r>
          </w:p>
        </w:tc>
        <w:tc>
          <w:tcPr>
            <w:tcW w:w="534" w:type="dxa"/>
          </w:tcPr>
          <w:p w:rsidR="007C3C61" w:rsidRPr="0009665F" w:rsidRDefault="007C3C61" w:rsidP="00F20AD4">
            <w:pPr>
              <w:tabs>
                <w:tab w:val="left" w:pos="900"/>
              </w:tabs>
              <w:rPr>
                <w:sz w:val="24"/>
                <w:szCs w:val="24"/>
              </w:rPr>
            </w:pPr>
            <w:r w:rsidRPr="0009665F">
              <w:rPr>
                <w:sz w:val="24"/>
                <w:szCs w:val="24"/>
              </w:rPr>
              <w:t>Nr.</w:t>
            </w:r>
          </w:p>
        </w:tc>
        <w:tc>
          <w:tcPr>
            <w:tcW w:w="3009" w:type="dxa"/>
          </w:tcPr>
          <w:p w:rsidR="007C3C61" w:rsidRPr="0009665F" w:rsidRDefault="007C3C61" w:rsidP="00F20AD4">
            <w:pPr>
              <w:tabs>
                <w:tab w:val="left" w:pos="900"/>
              </w:tabs>
              <w:ind w:left="-73"/>
              <w:rPr>
                <w:sz w:val="24"/>
                <w:szCs w:val="24"/>
              </w:rPr>
            </w:pPr>
            <w:r w:rsidRPr="0009665F">
              <w:rPr>
                <w:sz w:val="24"/>
                <w:szCs w:val="24"/>
              </w:rPr>
              <w:t xml:space="preserve">4S-       (8.15) </w:t>
            </w:r>
          </w:p>
        </w:tc>
      </w:tr>
      <w:tr w:rsidR="007C3C61" w:rsidRPr="0009665F" w:rsidTr="00F20AD4">
        <w:trPr>
          <w:cantSplit/>
          <w:trHeight w:val="380"/>
        </w:trPr>
        <w:tc>
          <w:tcPr>
            <w:tcW w:w="4093" w:type="dxa"/>
            <w:vMerge/>
          </w:tcPr>
          <w:p w:rsidR="007C3C61" w:rsidRPr="0009665F" w:rsidRDefault="007C3C61" w:rsidP="00F20AD4">
            <w:pPr>
              <w:tabs>
                <w:tab w:val="left" w:pos="900"/>
              </w:tabs>
              <w:rPr>
                <w:sz w:val="24"/>
                <w:szCs w:val="24"/>
              </w:rPr>
            </w:pPr>
          </w:p>
        </w:tc>
        <w:tc>
          <w:tcPr>
            <w:tcW w:w="567" w:type="dxa"/>
          </w:tcPr>
          <w:p w:rsidR="007C3C61" w:rsidRPr="0009665F" w:rsidRDefault="007C3C61" w:rsidP="00F20AD4">
            <w:pPr>
              <w:tabs>
                <w:tab w:val="left" w:pos="900"/>
              </w:tabs>
              <w:ind w:right="25"/>
              <w:jc w:val="both"/>
              <w:rPr>
                <w:sz w:val="24"/>
                <w:szCs w:val="24"/>
              </w:rPr>
            </w:pPr>
          </w:p>
        </w:tc>
        <w:tc>
          <w:tcPr>
            <w:tcW w:w="1418" w:type="dxa"/>
          </w:tcPr>
          <w:p w:rsidR="007C3C61" w:rsidRDefault="007C3C61" w:rsidP="00F20AD4">
            <w:pPr>
              <w:tabs>
                <w:tab w:val="left" w:pos="900"/>
              </w:tabs>
              <w:ind w:left="-78"/>
              <w:rPr>
                <w:sz w:val="24"/>
                <w:szCs w:val="24"/>
              </w:rPr>
            </w:pPr>
            <w:r w:rsidRPr="0009665F">
              <w:rPr>
                <w:sz w:val="24"/>
                <w:szCs w:val="24"/>
              </w:rPr>
              <w:t>Į 2020-05-27</w:t>
            </w:r>
          </w:p>
          <w:p w:rsidR="007C3C61" w:rsidRPr="0009665F" w:rsidRDefault="007C3C61" w:rsidP="00F20AD4">
            <w:pPr>
              <w:tabs>
                <w:tab w:val="left" w:pos="900"/>
              </w:tabs>
              <w:ind w:left="-78"/>
              <w:rPr>
                <w:sz w:val="24"/>
                <w:szCs w:val="24"/>
              </w:rPr>
            </w:pPr>
            <w:r>
              <w:rPr>
                <w:sz w:val="24"/>
                <w:szCs w:val="24"/>
              </w:rPr>
              <w:t>Į 2020-06-04</w:t>
            </w:r>
          </w:p>
        </w:tc>
        <w:tc>
          <w:tcPr>
            <w:tcW w:w="534" w:type="dxa"/>
          </w:tcPr>
          <w:p w:rsidR="007C3C61" w:rsidRPr="0009665F" w:rsidRDefault="007C3C61" w:rsidP="00F20AD4">
            <w:pPr>
              <w:tabs>
                <w:tab w:val="left" w:pos="900"/>
              </w:tabs>
              <w:rPr>
                <w:sz w:val="24"/>
                <w:szCs w:val="24"/>
              </w:rPr>
            </w:pPr>
            <w:r w:rsidRPr="0009665F">
              <w:rPr>
                <w:sz w:val="24"/>
                <w:szCs w:val="24"/>
              </w:rPr>
              <w:t>Nr.</w:t>
            </w:r>
          </w:p>
          <w:p w:rsidR="007C3C61" w:rsidRPr="0009665F" w:rsidRDefault="007C3C61" w:rsidP="00F20AD4">
            <w:pPr>
              <w:rPr>
                <w:sz w:val="24"/>
                <w:szCs w:val="24"/>
              </w:rPr>
            </w:pPr>
            <w:r>
              <w:rPr>
                <w:sz w:val="24"/>
                <w:szCs w:val="24"/>
              </w:rPr>
              <w:t>Nr.</w:t>
            </w:r>
          </w:p>
        </w:tc>
        <w:tc>
          <w:tcPr>
            <w:tcW w:w="3009" w:type="dxa"/>
          </w:tcPr>
          <w:p w:rsidR="007C3C61" w:rsidRPr="0009665F" w:rsidRDefault="007C3C61" w:rsidP="00F20AD4">
            <w:pPr>
              <w:tabs>
                <w:tab w:val="left" w:pos="900"/>
              </w:tabs>
              <w:ind w:left="-73"/>
              <w:rPr>
                <w:sz w:val="24"/>
                <w:szCs w:val="24"/>
              </w:rPr>
            </w:pPr>
            <w:r w:rsidRPr="0009665F">
              <w:rPr>
                <w:sz w:val="24"/>
                <w:szCs w:val="24"/>
              </w:rPr>
              <w:t>S 2020/(27.1.E-2700)-</w:t>
            </w:r>
          </w:p>
          <w:p w:rsidR="007C3C61" w:rsidRPr="0009665F" w:rsidRDefault="007C3C61" w:rsidP="00F20AD4">
            <w:pPr>
              <w:tabs>
                <w:tab w:val="left" w:pos="900"/>
              </w:tabs>
              <w:ind w:left="-73"/>
              <w:rPr>
                <w:sz w:val="24"/>
                <w:szCs w:val="24"/>
              </w:rPr>
            </w:pPr>
            <w:r w:rsidRPr="005405F3">
              <w:rPr>
                <w:sz w:val="24"/>
                <w:szCs w:val="24"/>
              </w:rPr>
              <w:t>3S-1617</w:t>
            </w:r>
          </w:p>
        </w:tc>
      </w:tr>
    </w:tbl>
    <w:p w:rsidR="007C3C61" w:rsidRPr="0009665F" w:rsidRDefault="007C3C61" w:rsidP="007C3C61">
      <w:pPr>
        <w:shd w:val="clear" w:color="auto" w:fill="FFFFFF"/>
        <w:tabs>
          <w:tab w:val="left" w:pos="900"/>
        </w:tabs>
        <w:rPr>
          <w:bCs/>
          <w:color w:val="000000"/>
          <w:sz w:val="24"/>
          <w:szCs w:val="24"/>
          <w:lang w:eastAsia="lt-LT"/>
        </w:rPr>
      </w:pPr>
      <w:r w:rsidRPr="0009665F">
        <w:rPr>
          <w:bCs/>
          <w:color w:val="000000"/>
          <w:sz w:val="24"/>
          <w:szCs w:val="24"/>
          <w:lang w:eastAsia="lt-LT"/>
        </w:rPr>
        <w:t>El. p.: info@lb.lt</w:t>
      </w:r>
    </w:p>
    <w:p w:rsidR="007C3C61" w:rsidRDefault="007C3C61" w:rsidP="007C3C61">
      <w:pPr>
        <w:spacing w:line="360" w:lineRule="auto"/>
        <w:jc w:val="both"/>
        <w:rPr>
          <w:color w:val="000000"/>
          <w:sz w:val="24"/>
          <w:szCs w:val="24"/>
          <w:lang w:eastAsia="lt-LT"/>
        </w:rPr>
      </w:pPr>
    </w:p>
    <w:p w:rsidR="00F6447A" w:rsidRPr="0009665F" w:rsidRDefault="00F6447A" w:rsidP="007C3C61">
      <w:pPr>
        <w:spacing w:line="360" w:lineRule="auto"/>
        <w:jc w:val="both"/>
        <w:rPr>
          <w:color w:val="000000"/>
          <w:sz w:val="24"/>
          <w:szCs w:val="24"/>
          <w:lang w:eastAsia="lt-LT"/>
        </w:rPr>
      </w:pPr>
    </w:p>
    <w:p w:rsidR="007C3C61" w:rsidRPr="0009665F" w:rsidRDefault="007C3C61" w:rsidP="007C3C61">
      <w:pPr>
        <w:spacing w:line="360" w:lineRule="auto"/>
        <w:jc w:val="both"/>
        <w:rPr>
          <w:b/>
          <w:color w:val="000000"/>
          <w:sz w:val="24"/>
          <w:szCs w:val="24"/>
          <w:lang w:eastAsia="lt-LT"/>
        </w:rPr>
      </w:pPr>
      <w:r w:rsidRPr="0009665F">
        <w:rPr>
          <w:b/>
          <w:color w:val="000000"/>
          <w:sz w:val="24"/>
          <w:szCs w:val="24"/>
          <w:lang w:eastAsia="lt-LT"/>
        </w:rPr>
        <w:t>SPRENDIMAS DĖL SUTIKIMO VYKDYTI PIRKIMĄ NESKELBIAMŲ DERYBŲ BŪDU</w:t>
      </w:r>
    </w:p>
    <w:p w:rsidR="007C3C61" w:rsidRDefault="007C3C61" w:rsidP="007C3C61">
      <w:pPr>
        <w:spacing w:line="360" w:lineRule="auto"/>
        <w:jc w:val="both"/>
        <w:rPr>
          <w:bCs/>
          <w:color w:val="000000" w:themeColor="text1"/>
          <w:sz w:val="24"/>
          <w:szCs w:val="24"/>
          <w:lang w:eastAsia="lt-LT"/>
        </w:rPr>
      </w:pPr>
    </w:p>
    <w:p w:rsidR="00F6447A" w:rsidRPr="0009665F" w:rsidRDefault="00F6447A" w:rsidP="007C3C61">
      <w:pPr>
        <w:spacing w:line="360" w:lineRule="auto"/>
        <w:jc w:val="both"/>
        <w:rPr>
          <w:bCs/>
          <w:color w:val="000000" w:themeColor="text1"/>
          <w:sz w:val="24"/>
          <w:szCs w:val="24"/>
          <w:lang w:eastAsia="lt-LT"/>
        </w:rPr>
      </w:pPr>
    </w:p>
    <w:p w:rsidR="007C3C61" w:rsidRPr="00B33332" w:rsidRDefault="007C3C61" w:rsidP="007C3C61">
      <w:pPr>
        <w:ind w:firstLine="680"/>
        <w:jc w:val="both"/>
        <w:rPr>
          <w:bCs/>
          <w:color w:val="000000" w:themeColor="text1"/>
          <w:sz w:val="24"/>
          <w:szCs w:val="24"/>
          <w:lang w:eastAsia="lt-LT"/>
        </w:rPr>
      </w:pPr>
      <w:r w:rsidRPr="00B33332">
        <w:rPr>
          <w:bCs/>
          <w:color w:val="000000" w:themeColor="text1"/>
          <w:sz w:val="24"/>
          <w:szCs w:val="24"/>
          <w:lang w:eastAsia="lt-LT"/>
        </w:rPr>
        <w:t>Viešųjų pirkimų tarnyba (toliau – Tarnyba), vadovaudamasi Lietuvos Respublikos viešųjų pirkimų įstatymo (toliau – Įstatymas) 95 straipsnio 2 dalies 6 punkto nuostatomis, išnagrinėjo Lietuvos banko (toliau – Perkančioji organizacija) prašymą</w:t>
      </w:r>
      <w:r w:rsidR="00106743">
        <w:rPr>
          <w:rStyle w:val="Puslapioinaosnuoroda"/>
          <w:bCs/>
          <w:color w:val="000000" w:themeColor="text1"/>
          <w:sz w:val="24"/>
          <w:szCs w:val="24"/>
          <w:lang w:eastAsia="lt-LT"/>
        </w:rPr>
        <w:footnoteReference w:id="1"/>
      </w:r>
      <w:r w:rsidRPr="00B33332">
        <w:rPr>
          <w:bCs/>
          <w:color w:val="000000" w:themeColor="text1"/>
          <w:sz w:val="24"/>
          <w:szCs w:val="24"/>
          <w:lang w:eastAsia="lt-LT"/>
        </w:rPr>
        <w:t xml:space="preserve"> sutikti </w:t>
      </w:r>
      <w:bookmarkStart w:id="1" w:name="_Hlk42515049"/>
      <w:r w:rsidRPr="00B33332">
        <w:rPr>
          <w:bCs/>
          <w:i/>
          <w:iCs/>
          <w:color w:val="000000" w:themeColor="text1"/>
          <w:sz w:val="24"/>
          <w:szCs w:val="24"/>
          <w:lang w:eastAsia="lt-LT"/>
        </w:rPr>
        <w:t>Momentinių mokėjimų apdorojimo ir vykdymo (prisijungimo prie RT1)</w:t>
      </w:r>
      <w:bookmarkEnd w:id="1"/>
      <w:r w:rsidRPr="00B33332">
        <w:rPr>
          <w:bCs/>
          <w:i/>
          <w:iCs/>
          <w:color w:val="000000" w:themeColor="text1"/>
          <w:sz w:val="24"/>
          <w:szCs w:val="24"/>
          <w:lang w:eastAsia="lt-LT"/>
        </w:rPr>
        <w:t xml:space="preserve"> paslaugų</w:t>
      </w:r>
      <w:r w:rsidRPr="00B33332">
        <w:rPr>
          <w:bCs/>
          <w:color w:val="000000" w:themeColor="text1"/>
          <w:sz w:val="24"/>
          <w:szCs w:val="24"/>
          <w:lang w:eastAsia="lt-LT"/>
        </w:rPr>
        <w:t xml:space="preserve"> </w:t>
      </w:r>
      <w:r w:rsidRPr="00B33332">
        <w:rPr>
          <w:bCs/>
          <w:i/>
          <w:iCs/>
          <w:color w:val="000000" w:themeColor="text1"/>
          <w:sz w:val="24"/>
          <w:szCs w:val="24"/>
          <w:lang w:eastAsia="lt-LT"/>
        </w:rPr>
        <w:t>pirkimą</w:t>
      </w:r>
      <w:r w:rsidRPr="00B33332">
        <w:rPr>
          <w:bCs/>
          <w:color w:val="000000" w:themeColor="text1"/>
          <w:sz w:val="24"/>
          <w:szCs w:val="24"/>
          <w:lang w:eastAsia="lt-LT"/>
        </w:rPr>
        <w:t xml:space="preserve"> </w:t>
      </w:r>
      <w:r w:rsidRPr="007C3C61">
        <w:rPr>
          <w:bCs/>
          <w:i/>
          <w:iCs/>
          <w:color w:val="000000" w:themeColor="text1"/>
          <w:sz w:val="24"/>
          <w:szCs w:val="24"/>
          <w:lang w:eastAsia="lt-LT"/>
        </w:rPr>
        <w:t>(toliau – Pirkimas)</w:t>
      </w:r>
      <w:r w:rsidRPr="00B33332">
        <w:rPr>
          <w:bCs/>
          <w:color w:val="000000" w:themeColor="text1"/>
          <w:sz w:val="24"/>
          <w:szCs w:val="24"/>
          <w:lang w:eastAsia="lt-LT"/>
        </w:rPr>
        <w:t xml:space="preserve"> vykdyti neskelbiamų derybų būdu, vadovaujantis Įstatymo 71 straipsnio 1 dalies 2 punkto (b) papunkčio nuostatomis.</w:t>
      </w:r>
    </w:p>
    <w:p w:rsidR="007C3C61" w:rsidRPr="0009665F" w:rsidRDefault="007C3C61" w:rsidP="007C3C61">
      <w:pPr>
        <w:pStyle w:val="Puslapioinaostekstas"/>
        <w:ind w:firstLine="851"/>
        <w:jc w:val="both"/>
        <w:rPr>
          <w:sz w:val="24"/>
          <w:szCs w:val="24"/>
          <w:lang w:eastAsia="lt-LT"/>
        </w:rPr>
      </w:pPr>
      <w:r w:rsidRPr="00B33332">
        <w:rPr>
          <w:bCs/>
          <w:color w:val="000000" w:themeColor="text1"/>
          <w:sz w:val="24"/>
          <w:szCs w:val="24"/>
          <w:lang w:eastAsia="lt-LT"/>
        </w:rPr>
        <w:t xml:space="preserve">Tarnybai pateiktame </w:t>
      </w:r>
      <w:r w:rsidRPr="0009665F">
        <w:rPr>
          <w:bCs/>
          <w:color w:val="000000" w:themeColor="text1"/>
          <w:sz w:val="24"/>
          <w:szCs w:val="24"/>
          <w:lang w:eastAsia="lt-LT"/>
        </w:rPr>
        <w:t>prašyme</w:t>
      </w:r>
      <w:r>
        <w:rPr>
          <w:bCs/>
          <w:color w:val="000000" w:themeColor="text1"/>
          <w:sz w:val="24"/>
          <w:szCs w:val="24"/>
          <w:lang w:eastAsia="lt-LT"/>
        </w:rPr>
        <w:t xml:space="preserve"> nurodoma, jog </w:t>
      </w:r>
      <w:r w:rsidRPr="0009665F">
        <w:rPr>
          <w:bCs/>
          <w:color w:val="000000" w:themeColor="text1"/>
          <w:sz w:val="24"/>
          <w:szCs w:val="24"/>
          <w:lang w:eastAsia="lt-LT"/>
        </w:rPr>
        <w:t>Perkanči</w:t>
      </w:r>
      <w:r>
        <w:rPr>
          <w:bCs/>
          <w:color w:val="000000" w:themeColor="text1"/>
          <w:sz w:val="24"/>
          <w:szCs w:val="24"/>
          <w:lang w:eastAsia="lt-LT"/>
        </w:rPr>
        <w:t xml:space="preserve">ajai </w:t>
      </w:r>
      <w:r w:rsidRPr="0009665F">
        <w:rPr>
          <w:bCs/>
          <w:color w:val="000000" w:themeColor="text1"/>
          <w:sz w:val="24"/>
          <w:szCs w:val="24"/>
          <w:lang w:eastAsia="lt-LT"/>
        </w:rPr>
        <w:t>organizacija</w:t>
      </w:r>
      <w:r>
        <w:rPr>
          <w:bCs/>
          <w:color w:val="000000" w:themeColor="text1"/>
          <w:sz w:val="24"/>
          <w:szCs w:val="24"/>
          <w:lang w:eastAsia="lt-LT"/>
        </w:rPr>
        <w:t xml:space="preserve">i yra būtinos </w:t>
      </w:r>
      <w:r w:rsidRPr="0009665F">
        <w:rPr>
          <w:bCs/>
          <w:color w:val="000000" w:themeColor="text1"/>
          <w:sz w:val="24"/>
          <w:szCs w:val="24"/>
          <w:lang w:eastAsia="lt-LT"/>
        </w:rPr>
        <w:t>momentinių mokėjimų apdorojimo ir įvykdymo paslaugos,</w:t>
      </w:r>
      <w:r>
        <w:rPr>
          <w:bCs/>
          <w:color w:val="000000" w:themeColor="text1"/>
          <w:sz w:val="24"/>
          <w:szCs w:val="24"/>
          <w:lang w:eastAsia="lt-LT"/>
        </w:rPr>
        <w:t xml:space="preserve"> kurios </w:t>
      </w:r>
      <w:r w:rsidRPr="0009665F">
        <w:rPr>
          <w:bCs/>
          <w:color w:val="000000" w:themeColor="text1"/>
          <w:sz w:val="24"/>
          <w:szCs w:val="24"/>
          <w:lang w:eastAsia="lt-LT"/>
        </w:rPr>
        <w:t>užtikrin</w:t>
      </w:r>
      <w:r>
        <w:rPr>
          <w:bCs/>
          <w:color w:val="000000" w:themeColor="text1"/>
          <w:sz w:val="24"/>
          <w:szCs w:val="24"/>
          <w:lang w:eastAsia="lt-LT"/>
        </w:rPr>
        <w:t>tų</w:t>
      </w:r>
      <w:r w:rsidRPr="0009665F">
        <w:rPr>
          <w:bCs/>
          <w:color w:val="000000" w:themeColor="text1"/>
          <w:sz w:val="24"/>
          <w:szCs w:val="24"/>
          <w:lang w:eastAsia="lt-LT"/>
        </w:rPr>
        <w:t xml:space="preserve">, </w:t>
      </w:r>
      <w:r>
        <w:rPr>
          <w:bCs/>
          <w:color w:val="000000" w:themeColor="text1"/>
          <w:sz w:val="24"/>
          <w:szCs w:val="24"/>
          <w:lang w:eastAsia="lt-LT"/>
        </w:rPr>
        <w:t>kad</w:t>
      </w:r>
      <w:r w:rsidRPr="0009665F">
        <w:rPr>
          <w:bCs/>
          <w:color w:val="000000" w:themeColor="text1"/>
          <w:sz w:val="24"/>
          <w:szCs w:val="24"/>
          <w:lang w:eastAsia="lt-LT"/>
        </w:rPr>
        <w:t xml:space="preserve"> momentiniai mokėjimai</w:t>
      </w:r>
      <w:r>
        <w:rPr>
          <w:bCs/>
          <w:color w:val="000000" w:themeColor="text1"/>
          <w:sz w:val="24"/>
          <w:szCs w:val="24"/>
          <w:lang w:eastAsia="lt-LT"/>
        </w:rPr>
        <w:t xml:space="preserve">, </w:t>
      </w:r>
      <w:r w:rsidRPr="0009665F">
        <w:rPr>
          <w:bCs/>
          <w:color w:val="000000" w:themeColor="text1"/>
          <w:sz w:val="24"/>
          <w:szCs w:val="24"/>
          <w:lang w:eastAsia="lt-LT"/>
        </w:rPr>
        <w:t xml:space="preserve">suformuoti </w:t>
      </w:r>
      <w:r>
        <w:rPr>
          <w:bCs/>
          <w:color w:val="000000" w:themeColor="text1"/>
          <w:sz w:val="24"/>
          <w:szCs w:val="24"/>
          <w:lang w:eastAsia="lt-LT"/>
        </w:rPr>
        <w:t>Perkančiosios organizacijos</w:t>
      </w:r>
      <w:r w:rsidRPr="0009665F">
        <w:rPr>
          <w:bCs/>
          <w:color w:val="000000" w:themeColor="text1"/>
          <w:sz w:val="24"/>
          <w:szCs w:val="24"/>
          <w:lang w:eastAsia="lt-LT"/>
        </w:rPr>
        <w:t xml:space="preserve"> </w:t>
      </w:r>
      <w:r>
        <w:rPr>
          <w:bCs/>
          <w:color w:val="000000" w:themeColor="text1"/>
          <w:sz w:val="24"/>
          <w:szCs w:val="24"/>
          <w:lang w:eastAsia="lt-LT"/>
        </w:rPr>
        <w:t xml:space="preserve">naudojamoje </w:t>
      </w:r>
      <w:r w:rsidRPr="0009665F">
        <w:rPr>
          <w:bCs/>
          <w:color w:val="000000" w:themeColor="text1"/>
          <w:sz w:val="24"/>
          <w:szCs w:val="24"/>
          <w:lang w:eastAsia="lt-LT"/>
        </w:rPr>
        <w:t>mažmeninėje mokėjimų sistemoje CENTROLINK</w:t>
      </w:r>
      <w:r>
        <w:rPr>
          <w:bCs/>
          <w:color w:val="000000" w:themeColor="text1"/>
          <w:sz w:val="24"/>
          <w:szCs w:val="24"/>
          <w:lang w:eastAsia="lt-LT"/>
        </w:rPr>
        <w:t xml:space="preserve"> (toliau – Sistema), </w:t>
      </w:r>
      <w:r w:rsidRPr="0009665F">
        <w:rPr>
          <w:bCs/>
          <w:color w:val="000000" w:themeColor="text1"/>
          <w:sz w:val="24"/>
          <w:szCs w:val="24"/>
          <w:lang w:eastAsia="lt-LT"/>
        </w:rPr>
        <w:t>pasiek</w:t>
      </w:r>
      <w:r>
        <w:rPr>
          <w:bCs/>
          <w:color w:val="000000" w:themeColor="text1"/>
          <w:sz w:val="24"/>
          <w:szCs w:val="24"/>
          <w:lang w:eastAsia="lt-LT"/>
        </w:rPr>
        <w:t>tų</w:t>
      </w:r>
      <w:r w:rsidRPr="0009665F">
        <w:rPr>
          <w:bCs/>
          <w:color w:val="000000" w:themeColor="text1"/>
          <w:sz w:val="24"/>
          <w:szCs w:val="24"/>
          <w:lang w:eastAsia="lt-LT"/>
        </w:rPr>
        <w:t xml:space="preserve"> kitas bendroje mokėjimų eurais erdvėje (</w:t>
      </w:r>
      <w:r w:rsidRPr="0009665F">
        <w:rPr>
          <w:sz w:val="24"/>
          <w:szCs w:val="24"/>
          <w:lang w:eastAsia="lt-LT"/>
        </w:rPr>
        <w:t xml:space="preserve">toliau </w:t>
      </w:r>
      <w:r w:rsidR="008C6444">
        <w:rPr>
          <w:sz w:val="24"/>
          <w:szCs w:val="24"/>
          <w:lang w:eastAsia="lt-LT"/>
        </w:rPr>
        <w:t xml:space="preserve">– </w:t>
      </w:r>
      <w:r w:rsidRPr="0009665F">
        <w:rPr>
          <w:sz w:val="24"/>
          <w:szCs w:val="24"/>
          <w:lang w:eastAsia="lt-LT"/>
        </w:rPr>
        <w:t>SEPA)</w:t>
      </w:r>
      <w:r w:rsidRPr="0009665F">
        <w:rPr>
          <w:rStyle w:val="Puslapioinaosnuoroda"/>
          <w:sz w:val="24"/>
          <w:szCs w:val="24"/>
          <w:lang w:eastAsia="lt-LT"/>
        </w:rPr>
        <w:footnoteReference w:id="2"/>
      </w:r>
      <w:r w:rsidRPr="0009665F">
        <w:rPr>
          <w:sz w:val="24"/>
          <w:szCs w:val="24"/>
          <w:lang w:eastAsia="lt-LT"/>
        </w:rPr>
        <w:t xml:space="preserve"> </w:t>
      </w:r>
      <w:r w:rsidRPr="0009665F">
        <w:rPr>
          <w:bCs/>
          <w:color w:val="000000" w:themeColor="text1"/>
          <w:sz w:val="24"/>
          <w:szCs w:val="24"/>
          <w:lang w:eastAsia="lt-LT"/>
        </w:rPr>
        <w:t>veikiančias mokėjimo sistemas ir jose dalyvaujančius mokėjimo paslaugų tiekėjus. Prancūzijos bendrovės ABE CLEARING S.A.S. à capital variable (EBA CLEARING) (toliau – Tiekėjas)</w:t>
      </w:r>
      <w:r>
        <w:rPr>
          <w:bCs/>
          <w:color w:val="000000" w:themeColor="text1"/>
          <w:sz w:val="24"/>
          <w:szCs w:val="24"/>
          <w:lang w:eastAsia="lt-LT"/>
        </w:rPr>
        <w:t xml:space="preserve"> </w:t>
      </w:r>
      <w:r w:rsidRPr="0009665F">
        <w:rPr>
          <w:color w:val="000000" w:themeColor="text1"/>
          <w:sz w:val="24"/>
          <w:szCs w:val="24"/>
          <w:lang w:eastAsia="lt-LT"/>
        </w:rPr>
        <w:t>valdom</w:t>
      </w:r>
      <w:r>
        <w:rPr>
          <w:color w:val="000000" w:themeColor="text1"/>
          <w:sz w:val="24"/>
          <w:szCs w:val="24"/>
          <w:lang w:eastAsia="lt-LT"/>
        </w:rPr>
        <w:t xml:space="preserve">a </w:t>
      </w:r>
      <w:bookmarkStart w:id="2" w:name="_Hlk42505376"/>
      <w:r>
        <w:rPr>
          <w:color w:val="000000" w:themeColor="text1"/>
          <w:sz w:val="24"/>
          <w:szCs w:val="24"/>
          <w:lang w:eastAsia="lt-LT"/>
        </w:rPr>
        <w:t xml:space="preserve">momentinių mokėjimų apdorojimo ir vykdymo sistema </w:t>
      </w:r>
      <w:bookmarkEnd w:id="2"/>
      <w:r>
        <w:rPr>
          <w:color w:val="000000" w:themeColor="text1"/>
          <w:sz w:val="24"/>
          <w:szCs w:val="24"/>
          <w:lang w:eastAsia="lt-LT"/>
        </w:rPr>
        <w:t>(toliau – RT1 sistema)</w:t>
      </w:r>
      <w:r w:rsidRPr="0009665F">
        <w:rPr>
          <w:color w:val="000000" w:themeColor="text1"/>
          <w:sz w:val="24"/>
          <w:szCs w:val="24"/>
          <w:lang w:eastAsia="lt-LT"/>
        </w:rPr>
        <w:t xml:space="preserve"> yra </w:t>
      </w:r>
      <w:r>
        <w:rPr>
          <w:color w:val="000000" w:themeColor="text1"/>
          <w:sz w:val="24"/>
          <w:szCs w:val="24"/>
          <w:lang w:eastAsia="lt-LT"/>
        </w:rPr>
        <w:t xml:space="preserve">sistema, galinti užtikrinti Perkančiosios organizacijos poreikius. Prašyme nurodoma, kad Tiekėjo valdomi STEP2 kliringo namai yra vienintelė </w:t>
      </w:r>
      <w:r w:rsidRPr="0009665F">
        <w:rPr>
          <w:color w:val="000000" w:themeColor="text1"/>
          <w:sz w:val="24"/>
          <w:szCs w:val="24"/>
          <w:lang w:eastAsia="lt-LT"/>
        </w:rPr>
        <w:t>pan-Europinė mokėjimo infrastruktūra, kuri</w:t>
      </w:r>
      <w:r>
        <w:rPr>
          <w:color w:val="000000" w:themeColor="text1"/>
          <w:sz w:val="24"/>
          <w:szCs w:val="24"/>
          <w:lang w:eastAsia="lt-LT"/>
        </w:rPr>
        <w:t xml:space="preserve"> buvo įkurta siekiant</w:t>
      </w:r>
      <w:r w:rsidRPr="0009665F">
        <w:rPr>
          <w:color w:val="000000" w:themeColor="text1"/>
          <w:sz w:val="24"/>
          <w:szCs w:val="24"/>
          <w:lang w:eastAsia="lt-LT"/>
        </w:rPr>
        <w:t xml:space="preserve"> užtikrinti visišką </w:t>
      </w:r>
      <w:r>
        <w:rPr>
          <w:color w:val="000000" w:themeColor="text1"/>
          <w:sz w:val="24"/>
          <w:szCs w:val="24"/>
          <w:lang w:eastAsia="lt-LT"/>
        </w:rPr>
        <w:t xml:space="preserve">bendros mokėjimų eurais erdvės </w:t>
      </w:r>
      <w:r w:rsidRPr="0009665F">
        <w:rPr>
          <w:color w:val="000000" w:themeColor="text1"/>
          <w:sz w:val="24"/>
          <w:szCs w:val="24"/>
          <w:lang w:eastAsia="lt-LT"/>
        </w:rPr>
        <w:t>SEPA pasiekiamumą</w:t>
      </w:r>
      <w:r>
        <w:rPr>
          <w:rStyle w:val="Puslapioinaosnuoroda"/>
          <w:color w:val="000000" w:themeColor="text1"/>
          <w:sz w:val="24"/>
          <w:szCs w:val="24"/>
          <w:lang w:eastAsia="lt-LT"/>
        </w:rPr>
        <w:footnoteReference w:id="3"/>
      </w:r>
      <w:r w:rsidRPr="0009665F">
        <w:rPr>
          <w:color w:val="000000" w:themeColor="text1"/>
          <w:sz w:val="24"/>
          <w:szCs w:val="24"/>
          <w:lang w:eastAsia="lt-LT"/>
        </w:rPr>
        <w:t>,</w:t>
      </w:r>
      <w:r>
        <w:rPr>
          <w:color w:val="000000" w:themeColor="text1"/>
          <w:sz w:val="24"/>
          <w:szCs w:val="24"/>
          <w:lang w:eastAsia="lt-LT"/>
        </w:rPr>
        <w:t xml:space="preserve"> </w:t>
      </w:r>
      <w:r w:rsidRPr="0009665F">
        <w:rPr>
          <w:color w:val="000000" w:themeColor="text1"/>
          <w:sz w:val="24"/>
          <w:szCs w:val="24"/>
          <w:lang w:eastAsia="lt-LT"/>
        </w:rPr>
        <w:t>reiškia</w:t>
      </w:r>
      <w:r>
        <w:rPr>
          <w:color w:val="000000" w:themeColor="text1"/>
          <w:sz w:val="24"/>
          <w:szCs w:val="24"/>
          <w:lang w:eastAsia="lt-LT"/>
        </w:rPr>
        <w:t>ntį</w:t>
      </w:r>
      <w:r w:rsidRPr="0009665F">
        <w:rPr>
          <w:color w:val="000000" w:themeColor="text1"/>
          <w:sz w:val="24"/>
          <w:szCs w:val="24"/>
          <w:lang w:eastAsia="lt-LT"/>
        </w:rPr>
        <w:t>,</w:t>
      </w:r>
      <w:r>
        <w:rPr>
          <w:color w:val="000000" w:themeColor="text1"/>
          <w:sz w:val="24"/>
          <w:szCs w:val="24"/>
          <w:lang w:eastAsia="lt-LT"/>
        </w:rPr>
        <w:t xml:space="preserve"> jog</w:t>
      </w:r>
      <w:r w:rsidRPr="0009665F">
        <w:rPr>
          <w:color w:val="000000" w:themeColor="text1"/>
          <w:sz w:val="24"/>
          <w:szCs w:val="24"/>
          <w:lang w:eastAsia="lt-LT"/>
        </w:rPr>
        <w:t xml:space="preserve"> bankui ar kitam mokėjimo paslaugų teikėjui reikia prisijungti prie vienos mokėjimo sistemos ar kliringo namų, kad jo inicijuoti mokėjimo nurodymai pasiektų bet kurį SEPA erdvėje veikiantį kitą mokėjimo paslaugų teikėją.</w:t>
      </w:r>
      <w:r>
        <w:rPr>
          <w:color w:val="000000" w:themeColor="text1"/>
          <w:sz w:val="24"/>
          <w:szCs w:val="24"/>
          <w:lang w:eastAsia="lt-LT"/>
        </w:rPr>
        <w:t xml:space="preserve"> </w:t>
      </w:r>
      <w:r w:rsidR="008C6444">
        <w:rPr>
          <w:color w:val="000000" w:themeColor="text1"/>
          <w:sz w:val="24"/>
          <w:szCs w:val="24"/>
          <w:lang w:eastAsia="lt-LT"/>
        </w:rPr>
        <w:t>D</w:t>
      </w:r>
      <w:r w:rsidR="008C6444" w:rsidRPr="0009665F">
        <w:rPr>
          <w:color w:val="000000" w:themeColor="text1"/>
          <w:sz w:val="24"/>
          <w:szCs w:val="24"/>
          <w:lang w:eastAsia="lt-LT"/>
        </w:rPr>
        <w:t>videšimt dvi (22) Europos nacionalinės finansų rinkos infrastruktūros</w:t>
      </w:r>
      <w:r w:rsidR="008C6444">
        <w:rPr>
          <w:color w:val="000000" w:themeColor="text1"/>
          <w:sz w:val="24"/>
          <w:szCs w:val="24"/>
          <w:lang w:eastAsia="lt-LT"/>
        </w:rPr>
        <w:t xml:space="preserve"> </w:t>
      </w:r>
      <w:r w:rsidR="00DC5197">
        <w:rPr>
          <w:color w:val="000000" w:themeColor="text1"/>
          <w:sz w:val="24"/>
          <w:szCs w:val="24"/>
          <w:lang w:eastAsia="lt-LT"/>
        </w:rPr>
        <w:t>u</w:t>
      </w:r>
      <w:r w:rsidR="008C6444" w:rsidRPr="0009665F">
        <w:rPr>
          <w:color w:val="000000" w:themeColor="text1"/>
          <w:sz w:val="24"/>
          <w:szCs w:val="24"/>
          <w:lang w:eastAsia="lt-LT"/>
        </w:rPr>
        <w:t>žtikrino</w:t>
      </w:r>
      <w:r w:rsidR="008C6444">
        <w:rPr>
          <w:color w:val="000000" w:themeColor="text1"/>
          <w:sz w:val="24"/>
          <w:szCs w:val="24"/>
          <w:lang w:eastAsia="lt-LT"/>
        </w:rPr>
        <w:t xml:space="preserve"> </w:t>
      </w:r>
      <w:r w:rsidR="008C6444" w:rsidRPr="0009665F">
        <w:rPr>
          <w:color w:val="000000" w:themeColor="text1"/>
          <w:sz w:val="24"/>
          <w:szCs w:val="24"/>
          <w:lang w:eastAsia="lt-LT"/>
        </w:rPr>
        <w:t>pasiekiamumą</w:t>
      </w:r>
      <w:r w:rsidR="008C6444">
        <w:rPr>
          <w:color w:val="000000" w:themeColor="text1"/>
          <w:sz w:val="24"/>
          <w:szCs w:val="24"/>
          <w:lang w:eastAsia="lt-LT"/>
        </w:rPr>
        <w:t xml:space="preserve"> tik</w:t>
      </w:r>
      <w:r w:rsidR="008C6444" w:rsidRPr="0009665F">
        <w:rPr>
          <w:color w:val="000000" w:themeColor="text1"/>
          <w:sz w:val="24"/>
          <w:szCs w:val="24"/>
          <w:lang w:eastAsia="lt-LT"/>
        </w:rPr>
        <w:t xml:space="preserve"> </w:t>
      </w:r>
      <w:r w:rsidR="00106743">
        <w:rPr>
          <w:color w:val="000000" w:themeColor="text1"/>
          <w:sz w:val="24"/>
          <w:szCs w:val="24"/>
          <w:lang w:eastAsia="lt-LT"/>
        </w:rPr>
        <w:t xml:space="preserve">savo </w:t>
      </w:r>
      <w:r w:rsidR="008C6444" w:rsidRPr="0009665F">
        <w:rPr>
          <w:color w:val="000000" w:themeColor="text1"/>
          <w:sz w:val="24"/>
          <w:szCs w:val="24"/>
          <w:lang w:eastAsia="lt-LT"/>
        </w:rPr>
        <w:t>šalies mastu, todėl mokėjimų rinkoje atsirado poreikis centrinei finansų rinkos infrastruktūrai, kurios vietą</w:t>
      </w:r>
      <w:r w:rsidR="008C6444">
        <w:rPr>
          <w:color w:val="000000" w:themeColor="text1"/>
          <w:sz w:val="24"/>
          <w:szCs w:val="24"/>
          <w:lang w:eastAsia="lt-LT"/>
        </w:rPr>
        <w:t xml:space="preserve"> ir </w:t>
      </w:r>
      <w:r w:rsidR="008C6444" w:rsidRPr="0009665F">
        <w:rPr>
          <w:color w:val="000000" w:themeColor="text1"/>
          <w:sz w:val="24"/>
          <w:szCs w:val="24"/>
          <w:lang w:eastAsia="lt-LT"/>
        </w:rPr>
        <w:t>užėmė Tiekėjo valdomi STEP2 kliringo namai</w:t>
      </w:r>
      <w:r w:rsidR="008C6444">
        <w:rPr>
          <w:color w:val="000000" w:themeColor="text1"/>
          <w:sz w:val="24"/>
          <w:szCs w:val="24"/>
          <w:lang w:eastAsia="lt-LT"/>
        </w:rPr>
        <w:t>. T</w:t>
      </w:r>
      <w:r w:rsidR="008C6444" w:rsidRPr="0009665F">
        <w:rPr>
          <w:color w:val="000000" w:themeColor="text1"/>
          <w:sz w:val="24"/>
          <w:szCs w:val="24"/>
          <w:lang w:eastAsia="lt-LT"/>
        </w:rPr>
        <w:t xml:space="preserve">iekėjas momentinių </w:t>
      </w:r>
      <w:r w:rsidR="008C6444" w:rsidRPr="0009665F">
        <w:rPr>
          <w:color w:val="000000" w:themeColor="text1"/>
          <w:sz w:val="24"/>
          <w:szCs w:val="24"/>
          <w:lang w:eastAsia="lt-LT"/>
        </w:rPr>
        <w:lastRenderedPageBreak/>
        <w:t xml:space="preserve">mokėjimų paslaugos teikimui </w:t>
      </w:r>
      <w:r w:rsidR="00DC5197" w:rsidRPr="0009665F">
        <w:rPr>
          <w:color w:val="000000" w:themeColor="text1"/>
          <w:sz w:val="24"/>
          <w:szCs w:val="24"/>
          <w:lang w:eastAsia="lt-LT"/>
        </w:rPr>
        <w:t>sukūr</w:t>
      </w:r>
      <w:r w:rsidR="00DC5197">
        <w:rPr>
          <w:color w:val="000000" w:themeColor="text1"/>
          <w:sz w:val="24"/>
          <w:szCs w:val="24"/>
          <w:lang w:eastAsia="lt-LT"/>
        </w:rPr>
        <w:t>ė</w:t>
      </w:r>
      <w:r w:rsidR="008C6444" w:rsidRPr="0009665F">
        <w:rPr>
          <w:color w:val="000000" w:themeColor="text1"/>
          <w:sz w:val="24"/>
          <w:szCs w:val="24"/>
          <w:lang w:eastAsia="lt-LT"/>
        </w:rPr>
        <w:t xml:space="preserve"> atskirą PE-ACH RT1 mokėjimų platformą, </w:t>
      </w:r>
      <w:r w:rsidR="00DE2722">
        <w:rPr>
          <w:color w:val="000000" w:themeColor="text1"/>
          <w:sz w:val="24"/>
          <w:szCs w:val="24"/>
          <w:lang w:eastAsia="lt-LT"/>
        </w:rPr>
        <w:t>kuri</w:t>
      </w:r>
      <w:r>
        <w:rPr>
          <w:color w:val="000000" w:themeColor="text1"/>
          <w:sz w:val="24"/>
          <w:szCs w:val="24"/>
          <w:lang w:eastAsia="lt-LT"/>
        </w:rPr>
        <w:t xml:space="preserve"> </w:t>
      </w:r>
      <w:r w:rsidRPr="0009665F">
        <w:rPr>
          <w:color w:val="000000" w:themeColor="text1"/>
          <w:sz w:val="24"/>
          <w:szCs w:val="24"/>
          <w:lang w:eastAsia="lt-LT"/>
        </w:rPr>
        <w:t>pradėjo veikti nuo 2017 m. lapkričio 21 d.</w:t>
      </w:r>
      <w:r>
        <w:rPr>
          <w:color w:val="000000" w:themeColor="text1"/>
          <w:sz w:val="24"/>
          <w:szCs w:val="24"/>
          <w:lang w:eastAsia="lt-LT"/>
        </w:rPr>
        <w:t xml:space="preserve"> </w:t>
      </w:r>
      <w:r w:rsidR="00DE2722">
        <w:rPr>
          <w:color w:val="000000" w:themeColor="text1"/>
          <w:sz w:val="24"/>
          <w:szCs w:val="24"/>
          <w:lang w:eastAsia="lt-LT"/>
        </w:rPr>
        <w:t>N</w:t>
      </w:r>
      <w:r>
        <w:rPr>
          <w:color w:val="000000" w:themeColor="text1"/>
          <w:sz w:val="24"/>
          <w:szCs w:val="24"/>
          <w:lang w:eastAsia="lt-LT"/>
        </w:rPr>
        <w:t>uo t</w:t>
      </w:r>
      <w:r w:rsidR="00DE2722">
        <w:rPr>
          <w:color w:val="000000" w:themeColor="text1"/>
          <w:sz w:val="24"/>
          <w:szCs w:val="24"/>
          <w:lang w:eastAsia="lt-LT"/>
        </w:rPr>
        <w:t>ada</w:t>
      </w:r>
      <w:r>
        <w:rPr>
          <w:color w:val="000000" w:themeColor="text1"/>
          <w:sz w:val="24"/>
          <w:szCs w:val="24"/>
          <w:lang w:eastAsia="lt-LT"/>
        </w:rPr>
        <w:t xml:space="preserve">, Perkančiosios organizacijos turima </w:t>
      </w:r>
      <w:r w:rsidRPr="00CC36FB">
        <w:rPr>
          <w:color w:val="000000" w:themeColor="text1"/>
          <w:sz w:val="24"/>
          <w:szCs w:val="24"/>
          <w:lang w:eastAsia="lt-LT"/>
        </w:rPr>
        <w:t xml:space="preserve">mokėjimų </w:t>
      </w:r>
      <w:r>
        <w:rPr>
          <w:color w:val="000000" w:themeColor="text1"/>
          <w:sz w:val="24"/>
          <w:szCs w:val="24"/>
          <w:lang w:eastAsia="lt-LT"/>
        </w:rPr>
        <w:t>S</w:t>
      </w:r>
      <w:r w:rsidRPr="00CC36FB">
        <w:rPr>
          <w:color w:val="000000" w:themeColor="text1"/>
          <w:sz w:val="24"/>
          <w:szCs w:val="24"/>
          <w:lang w:eastAsia="lt-LT"/>
        </w:rPr>
        <w:t xml:space="preserve">istema </w:t>
      </w:r>
      <w:r>
        <w:rPr>
          <w:color w:val="000000" w:themeColor="text1"/>
          <w:sz w:val="24"/>
          <w:szCs w:val="24"/>
          <w:lang w:eastAsia="lt-LT"/>
        </w:rPr>
        <w:t>(</w:t>
      </w:r>
      <w:r w:rsidRPr="00CC36FB">
        <w:rPr>
          <w:color w:val="000000" w:themeColor="text1"/>
          <w:sz w:val="24"/>
          <w:szCs w:val="24"/>
          <w:lang w:eastAsia="lt-LT"/>
        </w:rPr>
        <w:t>CENTROLINK</w:t>
      </w:r>
      <w:r>
        <w:rPr>
          <w:color w:val="000000" w:themeColor="text1"/>
          <w:sz w:val="24"/>
          <w:szCs w:val="24"/>
          <w:lang w:eastAsia="lt-LT"/>
        </w:rPr>
        <w:t>)</w:t>
      </w:r>
      <w:r w:rsidRPr="00CC36FB">
        <w:rPr>
          <w:color w:val="000000" w:themeColor="text1"/>
          <w:sz w:val="24"/>
          <w:szCs w:val="24"/>
          <w:lang w:eastAsia="lt-LT"/>
        </w:rPr>
        <w:t xml:space="preserve"> buvo parengta vykdyti momentinius mokėjimus</w:t>
      </w:r>
      <w:r w:rsidR="000C341A">
        <w:rPr>
          <w:color w:val="000000" w:themeColor="text1"/>
          <w:sz w:val="24"/>
          <w:szCs w:val="24"/>
          <w:lang w:eastAsia="lt-LT"/>
        </w:rPr>
        <w:t xml:space="preserve"> ir </w:t>
      </w:r>
      <w:r w:rsidRPr="00CC36FB">
        <w:rPr>
          <w:color w:val="000000" w:themeColor="text1"/>
          <w:sz w:val="24"/>
          <w:szCs w:val="24"/>
          <w:lang w:eastAsia="lt-LT"/>
        </w:rPr>
        <w:t xml:space="preserve">turi tiesioginę sąsają su </w:t>
      </w:r>
      <w:r>
        <w:rPr>
          <w:color w:val="000000" w:themeColor="text1"/>
          <w:sz w:val="24"/>
          <w:szCs w:val="24"/>
          <w:lang w:eastAsia="lt-LT"/>
        </w:rPr>
        <w:t xml:space="preserve">Tiekėjo </w:t>
      </w:r>
      <w:r w:rsidRPr="00CC36FB">
        <w:rPr>
          <w:color w:val="000000" w:themeColor="text1"/>
          <w:sz w:val="24"/>
          <w:szCs w:val="24"/>
          <w:lang w:eastAsia="lt-LT"/>
        </w:rPr>
        <w:t>valdoma momentinių mokėjimų sistema RT1</w:t>
      </w:r>
      <w:r>
        <w:rPr>
          <w:rStyle w:val="Puslapioinaosnuoroda"/>
          <w:color w:val="000000" w:themeColor="text1"/>
          <w:sz w:val="24"/>
          <w:szCs w:val="24"/>
          <w:lang w:eastAsia="lt-LT"/>
        </w:rPr>
        <w:footnoteReference w:id="4"/>
      </w:r>
      <w:r w:rsidRPr="00CC36FB">
        <w:rPr>
          <w:color w:val="000000" w:themeColor="text1"/>
          <w:sz w:val="24"/>
          <w:szCs w:val="24"/>
          <w:lang w:eastAsia="lt-LT"/>
        </w:rPr>
        <w:t xml:space="preserve">. </w:t>
      </w:r>
      <w:r w:rsidRPr="003C63C7">
        <w:rPr>
          <w:color w:val="000000" w:themeColor="text1"/>
          <w:sz w:val="24"/>
          <w:szCs w:val="24"/>
          <w:lang w:eastAsia="lt-LT"/>
        </w:rPr>
        <w:t xml:space="preserve">Šios tiesioginės sąsajos turėjimas užtikrina, kad </w:t>
      </w:r>
      <w:r>
        <w:rPr>
          <w:color w:val="000000" w:themeColor="text1"/>
          <w:sz w:val="24"/>
          <w:szCs w:val="24"/>
          <w:lang w:eastAsia="lt-LT"/>
        </w:rPr>
        <w:t xml:space="preserve">Perkančioji organizacija </w:t>
      </w:r>
      <w:r w:rsidRPr="003C63C7">
        <w:rPr>
          <w:color w:val="000000" w:themeColor="text1"/>
          <w:sz w:val="24"/>
          <w:szCs w:val="24"/>
          <w:lang w:eastAsia="lt-LT"/>
        </w:rPr>
        <w:t xml:space="preserve">gali naudotis </w:t>
      </w:r>
      <w:r>
        <w:rPr>
          <w:color w:val="000000" w:themeColor="text1"/>
          <w:sz w:val="24"/>
          <w:szCs w:val="24"/>
          <w:lang w:eastAsia="lt-LT"/>
        </w:rPr>
        <w:t>RT1</w:t>
      </w:r>
      <w:r w:rsidRPr="003C63C7">
        <w:rPr>
          <w:color w:val="000000" w:themeColor="text1"/>
          <w:sz w:val="24"/>
          <w:szCs w:val="24"/>
          <w:lang w:eastAsia="lt-LT"/>
        </w:rPr>
        <w:t xml:space="preserve"> sistema</w:t>
      </w:r>
      <w:r>
        <w:rPr>
          <w:color w:val="000000" w:themeColor="text1"/>
          <w:sz w:val="24"/>
          <w:szCs w:val="24"/>
          <w:lang w:eastAsia="lt-LT"/>
        </w:rPr>
        <w:t xml:space="preserve"> ir </w:t>
      </w:r>
      <w:r w:rsidRPr="003C63C7">
        <w:rPr>
          <w:color w:val="000000" w:themeColor="text1"/>
          <w:sz w:val="24"/>
          <w:szCs w:val="24"/>
          <w:lang w:eastAsia="lt-LT"/>
        </w:rPr>
        <w:t>tinkamai vykdyti savo funkcijas, susijusias su momentiniais mokėjimais</w:t>
      </w:r>
      <w:r>
        <w:rPr>
          <w:color w:val="000000" w:themeColor="text1"/>
          <w:sz w:val="24"/>
          <w:szCs w:val="24"/>
          <w:lang w:eastAsia="lt-LT"/>
        </w:rPr>
        <w:t xml:space="preserve"> bei </w:t>
      </w:r>
      <w:r w:rsidRPr="003C63C7">
        <w:rPr>
          <w:color w:val="000000" w:themeColor="text1"/>
          <w:sz w:val="24"/>
          <w:szCs w:val="24"/>
          <w:lang w:eastAsia="lt-LT"/>
        </w:rPr>
        <w:t>užtikrinti momentinių mokėjimų pasiekiamumą visoje SEPA erdvėje.</w:t>
      </w:r>
    </w:p>
    <w:p w:rsidR="007C3C61" w:rsidRPr="000C341A" w:rsidRDefault="007C3C61" w:rsidP="007C3C61">
      <w:pPr>
        <w:ind w:firstLine="851"/>
        <w:jc w:val="both"/>
        <w:rPr>
          <w:rFonts w:eastAsia="Calibri"/>
          <w:color w:val="000000" w:themeColor="text1"/>
          <w:sz w:val="24"/>
          <w:szCs w:val="24"/>
        </w:rPr>
      </w:pPr>
      <w:r w:rsidRPr="0009665F">
        <w:rPr>
          <w:bCs/>
          <w:color w:val="000000" w:themeColor="text1"/>
          <w:sz w:val="24"/>
          <w:szCs w:val="24"/>
          <w:lang w:eastAsia="lt-LT"/>
        </w:rPr>
        <w:t xml:space="preserve">Perkančioji organizacija nurodo, kad </w:t>
      </w:r>
      <w:r>
        <w:rPr>
          <w:bCs/>
          <w:color w:val="000000" w:themeColor="text1"/>
          <w:sz w:val="24"/>
          <w:szCs w:val="24"/>
          <w:lang w:eastAsia="lt-LT"/>
        </w:rPr>
        <w:t>šiuo metu</w:t>
      </w:r>
      <w:r w:rsidR="000C341A">
        <w:rPr>
          <w:bCs/>
          <w:color w:val="000000" w:themeColor="text1"/>
          <w:sz w:val="24"/>
          <w:szCs w:val="24"/>
          <w:lang w:eastAsia="lt-LT"/>
        </w:rPr>
        <w:t xml:space="preserve"> </w:t>
      </w:r>
      <w:r w:rsidRPr="0009665F">
        <w:rPr>
          <w:bCs/>
          <w:color w:val="000000" w:themeColor="text1"/>
          <w:sz w:val="24"/>
          <w:szCs w:val="24"/>
          <w:lang w:eastAsia="lt-LT"/>
        </w:rPr>
        <w:t>RT1 s</w:t>
      </w:r>
      <w:r>
        <w:rPr>
          <w:bCs/>
          <w:color w:val="000000" w:themeColor="text1"/>
          <w:sz w:val="24"/>
          <w:szCs w:val="24"/>
          <w:lang w:eastAsia="lt-LT"/>
        </w:rPr>
        <w:t xml:space="preserve">istemoje dalyvauja </w:t>
      </w:r>
      <w:r w:rsidRPr="0009665F">
        <w:rPr>
          <w:bCs/>
          <w:color w:val="000000" w:themeColor="text1"/>
          <w:sz w:val="24"/>
          <w:szCs w:val="24"/>
          <w:lang w:eastAsia="lt-LT"/>
        </w:rPr>
        <w:t xml:space="preserve">90% momentinių paslaugų teikėjų, </w:t>
      </w:r>
      <w:r>
        <w:rPr>
          <w:bCs/>
          <w:color w:val="000000" w:themeColor="text1"/>
          <w:sz w:val="24"/>
          <w:szCs w:val="24"/>
          <w:lang w:eastAsia="lt-LT"/>
        </w:rPr>
        <w:t xml:space="preserve">kurie yra </w:t>
      </w:r>
      <w:r w:rsidRPr="0009665F">
        <w:rPr>
          <w:bCs/>
          <w:color w:val="000000" w:themeColor="text1"/>
          <w:sz w:val="24"/>
          <w:szCs w:val="24"/>
          <w:lang w:eastAsia="lt-LT"/>
        </w:rPr>
        <w:t>prisijun</w:t>
      </w:r>
      <w:r>
        <w:rPr>
          <w:bCs/>
          <w:color w:val="000000" w:themeColor="text1"/>
          <w:sz w:val="24"/>
          <w:szCs w:val="24"/>
          <w:lang w:eastAsia="lt-LT"/>
        </w:rPr>
        <w:t>gę</w:t>
      </w:r>
      <w:r w:rsidRPr="0009665F">
        <w:rPr>
          <w:bCs/>
          <w:color w:val="000000" w:themeColor="text1"/>
          <w:sz w:val="24"/>
          <w:szCs w:val="24"/>
          <w:lang w:eastAsia="lt-LT"/>
        </w:rPr>
        <w:t xml:space="preserve"> prie Europos Mokėjimų Tarybos</w:t>
      </w:r>
      <w:r>
        <w:rPr>
          <w:rStyle w:val="Puslapioinaosnuoroda"/>
          <w:bCs/>
          <w:color w:val="000000" w:themeColor="text1"/>
          <w:sz w:val="24"/>
          <w:szCs w:val="24"/>
          <w:lang w:eastAsia="lt-LT"/>
        </w:rPr>
        <w:footnoteReference w:id="5"/>
      </w:r>
      <w:r>
        <w:rPr>
          <w:bCs/>
          <w:color w:val="000000" w:themeColor="text1"/>
          <w:sz w:val="24"/>
          <w:szCs w:val="24"/>
          <w:lang w:eastAsia="lt-LT"/>
        </w:rPr>
        <w:t xml:space="preserve"> </w:t>
      </w:r>
      <w:r w:rsidRPr="0009665F">
        <w:rPr>
          <w:bCs/>
          <w:color w:val="000000" w:themeColor="text1"/>
          <w:sz w:val="24"/>
          <w:szCs w:val="24"/>
          <w:lang w:eastAsia="lt-LT"/>
        </w:rPr>
        <w:t>momentinių paslaugų schemos</w:t>
      </w:r>
      <w:r w:rsidR="000C4AE0">
        <w:rPr>
          <w:rStyle w:val="Puslapioinaosnuoroda"/>
          <w:bCs/>
          <w:color w:val="000000" w:themeColor="text1"/>
          <w:sz w:val="24"/>
          <w:szCs w:val="24"/>
          <w:lang w:eastAsia="lt-LT"/>
        </w:rPr>
        <w:footnoteReference w:id="6"/>
      </w:r>
      <w:r w:rsidRPr="0009665F">
        <w:rPr>
          <w:bCs/>
          <w:color w:val="000000" w:themeColor="text1"/>
          <w:sz w:val="24"/>
          <w:szCs w:val="24"/>
          <w:lang w:eastAsia="lt-LT"/>
        </w:rPr>
        <w:t xml:space="preserve">. </w:t>
      </w:r>
      <w:r>
        <w:rPr>
          <w:bCs/>
          <w:color w:val="000000" w:themeColor="text1"/>
          <w:sz w:val="24"/>
          <w:szCs w:val="24"/>
          <w:lang w:eastAsia="lt-LT"/>
        </w:rPr>
        <w:t>D</w:t>
      </w:r>
      <w:r w:rsidRPr="0009665F">
        <w:rPr>
          <w:bCs/>
          <w:color w:val="000000" w:themeColor="text1"/>
          <w:sz w:val="24"/>
          <w:szCs w:val="24"/>
          <w:lang w:eastAsia="lt-LT"/>
        </w:rPr>
        <w:t>idžiausi Lietuvo</w:t>
      </w:r>
      <w:r>
        <w:rPr>
          <w:bCs/>
          <w:color w:val="000000" w:themeColor="text1"/>
          <w:sz w:val="24"/>
          <w:szCs w:val="24"/>
          <w:lang w:eastAsia="lt-LT"/>
        </w:rPr>
        <w:t xml:space="preserve">je veikiantys komerciniai bankai taip pat prisijungę prie šios sistemos, todėl </w:t>
      </w:r>
      <w:r w:rsidR="00DC5197">
        <w:rPr>
          <w:bCs/>
          <w:color w:val="000000" w:themeColor="text1"/>
          <w:sz w:val="24"/>
          <w:szCs w:val="24"/>
          <w:lang w:eastAsia="lt-LT"/>
        </w:rPr>
        <w:t xml:space="preserve">šiuo </w:t>
      </w:r>
      <w:r w:rsidR="000C341A">
        <w:rPr>
          <w:bCs/>
          <w:color w:val="000000" w:themeColor="text1"/>
          <w:sz w:val="24"/>
          <w:szCs w:val="24"/>
          <w:lang w:eastAsia="lt-LT"/>
        </w:rPr>
        <w:t>atveju</w:t>
      </w:r>
      <w:r>
        <w:rPr>
          <w:bCs/>
          <w:color w:val="000000" w:themeColor="text1"/>
          <w:sz w:val="24"/>
          <w:szCs w:val="24"/>
          <w:lang w:eastAsia="lt-LT"/>
        </w:rPr>
        <w:t xml:space="preserve"> tai yra</w:t>
      </w:r>
      <w:r w:rsidRPr="0009665F">
        <w:rPr>
          <w:bCs/>
          <w:color w:val="000000" w:themeColor="text1"/>
          <w:sz w:val="24"/>
          <w:szCs w:val="24"/>
          <w:lang w:eastAsia="lt-LT"/>
        </w:rPr>
        <w:t xml:space="preserve"> vienintelė galimybė užtikrinti momentinių mokėjimų pasiekiamumą</w:t>
      </w:r>
      <w:r>
        <w:rPr>
          <w:bCs/>
          <w:color w:val="000000" w:themeColor="text1"/>
          <w:sz w:val="24"/>
          <w:szCs w:val="24"/>
          <w:lang w:eastAsia="lt-LT"/>
        </w:rPr>
        <w:t xml:space="preserve"> </w:t>
      </w:r>
      <w:r w:rsidRPr="0009665F">
        <w:rPr>
          <w:bCs/>
          <w:color w:val="000000" w:themeColor="text1"/>
          <w:sz w:val="24"/>
          <w:szCs w:val="24"/>
          <w:lang w:eastAsia="lt-LT"/>
        </w:rPr>
        <w:t>mokėjimų rinkos paslaugų vartotojams</w:t>
      </w:r>
      <w:r>
        <w:rPr>
          <w:bCs/>
          <w:color w:val="000000" w:themeColor="text1"/>
          <w:sz w:val="24"/>
          <w:szCs w:val="24"/>
          <w:lang w:eastAsia="lt-LT"/>
        </w:rPr>
        <w:t xml:space="preserve"> Lietuvoje: m</w:t>
      </w:r>
      <w:r w:rsidRPr="0009665F">
        <w:rPr>
          <w:bCs/>
          <w:color w:val="000000" w:themeColor="text1"/>
          <w:sz w:val="24"/>
          <w:szCs w:val="24"/>
          <w:lang w:eastAsia="lt-LT"/>
        </w:rPr>
        <w:t>okėjimų rinkoje</w:t>
      </w:r>
      <w:r>
        <w:rPr>
          <w:bCs/>
          <w:color w:val="000000" w:themeColor="text1"/>
          <w:sz w:val="24"/>
          <w:szCs w:val="24"/>
          <w:lang w:eastAsia="lt-LT"/>
        </w:rPr>
        <w:t xml:space="preserve"> </w:t>
      </w:r>
      <w:r w:rsidRPr="0009665F">
        <w:rPr>
          <w:bCs/>
          <w:color w:val="000000" w:themeColor="text1"/>
          <w:sz w:val="24"/>
          <w:szCs w:val="24"/>
          <w:lang w:eastAsia="lt-LT"/>
        </w:rPr>
        <w:t xml:space="preserve">labai svarbu, kad visi siuntėjai </w:t>
      </w:r>
      <w:r>
        <w:rPr>
          <w:bCs/>
          <w:color w:val="000000" w:themeColor="text1"/>
          <w:sz w:val="24"/>
          <w:szCs w:val="24"/>
          <w:lang w:eastAsia="lt-LT"/>
        </w:rPr>
        <w:t>bei</w:t>
      </w:r>
      <w:r w:rsidRPr="0009665F">
        <w:rPr>
          <w:bCs/>
          <w:color w:val="000000" w:themeColor="text1"/>
          <w:sz w:val="24"/>
          <w:szCs w:val="24"/>
          <w:lang w:eastAsia="lt-LT"/>
        </w:rPr>
        <w:t xml:space="preserve"> gavėjai būtų kiek įmanoma arčiau vienas kito</w:t>
      </w:r>
      <w:r>
        <w:rPr>
          <w:bCs/>
          <w:color w:val="000000" w:themeColor="text1"/>
          <w:sz w:val="24"/>
          <w:szCs w:val="24"/>
          <w:lang w:eastAsia="lt-LT"/>
        </w:rPr>
        <w:t>, t. y., kad</w:t>
      </w:r>
      <w:r w:rsidRPr="0009665F">
        <w:rPr>
          <w:bCs/>
          <w:color w:val="000000" w:themeColor="text1"/>
          <w:sz w:val="24"/>
          <w:szCs w:val="24"/>
          <w:lang w:eastAsia="lt-LT"/>
        </w:rPr>
        <w:t xml:space="preserve"> mokėjimai keliautų per kiek galima mažesnį tarpinių mokėjimo paslaugų teikėjų ir mokėjimo sistemų skaičių</w:t>
      </w:r>
      <w:r>
        <w:rPr>
          <w:bCs/>
          <w:color w:val="000000" w:themeColor="text1"/>
          <w:sz w:val="24"/>
          <w:szCs w:val="24"/>
          <w:lang w:eastAsia="lt-LT"/>
        </w:rPr>
        <w:t xml:space="preserve">. </w:t>
      </w:r>
      <w:r w:rsidR="00DC5197">
        <w:rPr>
          <w:bCs/>
          <w:color w:val="000000" w:themeColor="text1"/>
          <w:sz w:val="24"/>
          <w:szCs w:val="24"/>
          <w:lang w:eastAsia="lt-LT"/>
        </w:rPr>
        <w:t>Pažymėtina, k</w:t>
      </w:r>
      <w:r>
        <w:rPr>
          <w:bCs/>
          <w:color w:val="000000" w:themeColor="text1"/>
          <w:sz w:val="24"/>
          <w:szCs w:val="24"/>
          <w:lang w:eastAsia="lt-LT"/>
        </w:rPr>
        <w:t xml:space="preserve">ad </w:t>
      </w:r>
      <w:r w:rsidRPr="00565F19">
        <w:rPr>
          <w:sz w:val="24"/>
          <w:szCs w:val="24"/>
        </w:rPr>
        <w:t>Perkančiosios organizacijos valdoma Sistema skatin</w:t>
      </w:r>
      <w:r w:rsidR="000C341A">
        <w:rPr>
          <w:sz w:val="24"/>
          <w:szCs w:val="24"/>
        </w:rPr>
        <w:t>a</w:t>
      </w:r>
      <w:r w:rsidRPr="00565F19">
        <w:rPr>
          <w:sz w:val="24"/>
          <w:szCs w:val="24"/>
        </w:rPr>
        <w:t xml:space="preserve"> konkurenciją tarp Lietuvos mokėjimų rinkos dalyvių, suteikdama techninę galimybę mažesniesiems mokėjimų rinkos dalyviams (kredito unijoms, mokėjimo paslaugų įmonėms, elektroninių paslaugų įmonėms bei pačiai Perkančiajai organizacijai) vykdyti momentinius mokėjimus visoje SEPA erdvėje</w:t>
      </w:r>
      <w:r>
        <w:rPr>
          <w:sz w:val="24"/>
          <w:szCs w:val="24"/>
        </w:rPr>
        <w:t>.</w:t>
      </w:r>
      <w:r w:rsidRPr="00565F19">
        <w:rPr>
          <w:sz w:val="24"/>
          <w:szCs w:val="24"/>
        </w:rPr>
        <w:t xml:space="preserve"> Mažesni rinkos dalyviai nėra pajėgūs tiesiogiai jungtis prie RT1 sistemos, todėl Perkančioji organizacija</w:t>
      </w:r>
      <w:r>
        <w:rPr>
          <w:sz w:val="24"/>
          <w:szCs w:val="24"/>
        </w:rPr>
        <w:t xml:space="preserve">, siekdama </w:t>
      </w:r>
      <w:r w:rsidRPr="00565F19">
        <w:rPr>
          <w:sz w:val="24"/>
          <w:szCs w:val="24"/>
        </w:rPr>
        <w:t>išlaikyti momentinių paslaugų tęstinumą ir toliau teikti momentinių mokėjimų paslaugas savo Sistemos dalyviams, turi turėti nenutrūkstamą paslaugų teikimą ir tiesioginę sąsają su RT1 sistema.</w:t>
      </w:r>
      <w:r>
        <w:rPr>
          <w:sz w:val="24"/>
          <w:szCs w:val="24"/>
        </w:rPr>
        <w:t xml:space="preserve"> </w:t>
      </w:r>
      <w:r>
        <w:rPr>
          <w:bCs/>
          <w:color w:val="000000" w:themeColor="text1"/>
          <w:sz w:val="24"/>
          <w:szCs w:val="24"/>
          <w:lang w:eastAsia="lt-LT"/>
        </w:rPr>
        <w:t xml:space="preserve">Vertinant </w:t>
      </w:r>
      <w:r w:rsidRPr="0009665F">
        <w:rPr>
          <w:bCs/>
          <w:color w:val="000000" w:themeColor="text1"/>
          <w:sz w:val="24"/>
          <w:szCs w:val="24"/>
          <w:lang w:eastAsia="lt-LT"/>
        </w:rPr>
        <w:t>mokėjimo rinkos efektyvumo perspektyv</w:t>
      </w:r>
      <w:r>
        <w:rPr>
          <w:bCs/>
          <w:color w:val="000000" w:themeColor="text1"/>
          <w:sz w:val="24"/>
          <w:szCs w:val="24"/>
          <w:lang w:eastAsia="lt-LT"/>
        </w:rPr>
        <w:t xml:space="preserve">as šalyje, Perkančioji organizacija neturi kito būdo, kaip tik dalyvauti </w:t>
      </w:r>
      <w:r w:rsidRPr="0009665F">
        <w:rPr>
          <w:bCs/>
          <w:color w:val="000000" w:themeColor="text1"/>
          <w:sz w:val="24"/>
          <w:szCs w:val="24"/>
          <w:lang w:eastAsia="lt-LT"/>
        </w:rPr>
        <w:t>tiesiogiai Tiekėjo valdomo</w:t>
      </w:r>
      <w:r>
        <w:rPr>
          <w:bCs/>
          <w:color w:val="000000" w:themeColor="text1"/>
          <w:sz w:val="24"/>
          <w:szCs w:val="24"/>
          <w:lang w:eastAsia="lt-LT"/>
        </w:rPr>
        <w:t xml:space="preserve">je RT1 (PE-Ach) </w:t>
      </w:r>
      <w:r w:rsidRPr="0009665F">
        <w:rPr>
          <w:bCs/>
          <w:color w:val="000000" w:themeColor="text1"/>
          <w:sz w:val="24"/>
          <w:szCs w:val="24"/>
          <w:lang w:eastAsia="lt-LT"/>
        </w:rPr>
        <w:t>tipo sistemo</w:t>
      </w:r>
      <w:r>
        <w:rPr>
          <w:bCs/>
          <w:color w:val="000000" w:themeColor="text1"/>
          <w:sz w:val="24"/>
          <w:szCs w:val="24"/>
          <w:lang w:eastAsia="lt-LT"/>
        </w:rPr>
        <w:t>je</w:t>
      </w:r>
      <w:r>
        <w:rPr>
          <w:sz w:val="24"/>
          <w:szCs w:val="24"/>
        </w:rPr>
        <w:t xml:space="preserve"> </w:t>
      </w:r>
      <w:r w:rsidRPr="000C341A">
        <w:rPr>
          <w:sz w:val="24"/>
          <w:szCs w:val="24"/>
        </w:rPr>
        <w:t>Atsižvelgdama į aukščiau nurodytas aplinkybes</w:t>
      </w:r>
      <w:r w:rsidR="00106743">
        <w:rPr>
          <w:sz w:val="24"/>
          <w:szCs w:val="24"/>
        </w:rPr>
        <w:t xml:space="preserve"> bei įvertinusi, kad šiuo atveju dėl techninių priežasčių </w:t>
      </w:r>
      <w:r w:rsidR="00106743" w:rsidRPr="00F6447A">
        <w:rPr>
          <w:i/>
          <w:iCs/>
          <w:sz w:val="24"/>
          <w:szCs w:val="24"/>
        </w:rPr>
        <w:t>Pirkimu</w:t>
      </w:r>
      <w:r w:rsidR="00106743">
        <w:rPr>
          <w:sz w:val="24"/>
          <w:szCs w:val="24"/>
        </w:rPr>
        <w:t xml:space="preserve"> siekiamas įsigyti paslaugas suteikti gali tik konkretus tiekėjas, </w:t>
      </w:r>
      <w:r w:rsidRPr="000C341A">
        <w:rPr>
          <w:sz w:val="24"/>
          <w:szCs w:val="24"/>
        </w:rPr>
        <w:t xml:space="preserve">Perkančioji organizacijos viešojo pirkimo komisija (toliau – Komisija) </w:t>
      </w:r>
      <w:r w:rsidR="00720416">
        <w:rPr>
          <w:sz w:val="24"/>
          <w:szCs w:val="24"/>
        </w:rPr>
        <w:t>nusprendė</w:t>
      </w:r>
      <w:r w:rsidRPr="000C341A">
        <w:rPr>
          <w:sz w:val="24"/>
          <w:szCs w:val="24"/>
        </w:rPr>
        <w:t xml:space="preserve"> </w:t>
      </w:r>
      <w:r w:rsidRPr="00F6447A">
        <w:rPr>
          <w:i/>
          <w:iCs/>
          <w:sz w:val="24"/>
          <w:szCs w:val="24"/>
        </w:rPr>
        <w:t>Pirkimą</w:t>
      </w:r>
      <w:r w:rsidRPr="000C341A">
        <w:rPr>
          <w:sz w:val="24"/>
          <w:szCs w:val="24"/>
        </w:rPr>
        <w:t xml:space="preserve"> vykdyti neskelbiamų derybų būdu</w:t>
      </w:r>
      <w:r w:rsidRPr="000C341A">
        <w:rPr>
          <w:sz w:val="24"/>
          <w:szCs w:val="24"/>
          <w:lang w:eastAsia="lt-LT"/>
        </w:rPr>
        <w:t xml:space="preserve"> kreipiantis į konkretų tiekėją – </w:t>
      </w:r>
      <w:r w:rsidRPr="000C341A">
        <w:rPr>
          <w:sz w:val="24"/>
          <w:szCs w:val="24"/>
          <w:lang w:val="en-GB"/>
        </w:rPr>
        <w:t xml:space="preserve">ABE CLEARING S.A.S. à capital variable (EBA CLEARING) </w:t>
      </w:r>
      <w:r w:rsidR="000C4AE0">
        <w:rPr>
          <w:rFonts w:eastAsia="Calibri"/>
          <w:sz w:val="24"/>
          <w:szCs w:val="24"/>
        </w:rPr>
        <w:t xml:space="preserve">ir kreiptis į Tarnybą </w:t>
      </w:r>
      <w:r w:rsidR="000C4AE0" w:rsidRPr="0059709E">
        <w:rPr>
          <w:rFonts w:eastAsia="Calibri"/>
          <w:sz w:val="24"/>
          <w:szCs w:val="24"/>
        </w:rPr>
        <w:t>sutikimo</w:t>
      </w:r>
      <w:r w:rsidR="000C4AE0">
        <w:rPr>
          <w:rFonts w:eastAsia="Calibri"/>
          <w:sz w:val="24"/>
          <w:szCs w:val="24"/>
        </w:rPr>
        <w:t xml:space="preserve"> dėl tokio pirkimo būdo pasirinkimo</w:t>
      </w:r>
      <w:r w:rsidRPr="000C341A">
        <w:rPr>
          <w:rStyle w:val="Puslapioinaosnuoroda"/>
          <w:sz w:val="24"/>
          <w:szCs w:val="24"/>
        </w:rPr>
        <w:footnoteReference w:id="7"/>
      </w:r>
      <w:r w:rsidRPr="000C341A">
        <w:rPr>
          <w:sz w:val="24"/>
          <w:szCs w:val="24"/>
        </w:rPr>
        <w:t xml:space="preserve">. </w:t>
      </w:r>
      <w:r w:rsidRPr="000C341A">
        <w:rPr>
          <w:rFonts w:eastAsia="Calibri"/>
          <w:sz w:val="24"/>
          <w:szCs w:val="24"/>
        </w:rPr>
        <w:t>2020 metų viešųjų pirkimų suvestinėje</w:t>
      </w:r>
      <w:r w:rsidRPr="000C341A">
        <w:rPr>
          <w:rStyle w:val="Puslapioinaosnuoroda"/>
          <w:rFonts w:eastAsia="Calibri"/>
          <w:sz w:val="24"/>
          <w:szCs w:val="24"/>
        </w:rPr>
        <w:footnoteReference w:id="8"/>
      </w:r>
      <w:r w:rsidRPr="000C341A">
        <w:rPr>
          <w:rFonts w:eastAsia="Calibri"/>
          <w:sz w:val="24"/>
          <w:szCs w:val="24"/>
        </w:rPr>
        <w:t xml:space="preserve"> </w:t>
      </w:r>
      <w:r w:rsidRPr="000C341A">
        <w:rPr>
          <w:sz w:val="24"/>
          <w:szCs w:val="24"/>
        </w:rPr>
        <w:t>yra numa</w:t>
      </w:r>
      <w:r w:rsidR="00720416">
        <w:rPr>
          <w:sz w:val="24"/>
          <w:szCs w:val="24"/>
        </w:rPr>
        <w:t>tyta</w:t>
      </w:r>
      <w:r w:rsidRPr="000C341A">
        <w:rPr>
          <w:sz w:val="24"/>
          <w:szCs w:val="24"/>
        </w:rPr>
        <w:t xml:space="preserve"> </w:t>
      </w:r>
      <w:r w:rsidRPr="00F6447A">
        <w:rPr>
          <w:i/>
          <w:iCs/>
          <w:color w:val="000000" w:themeColor="text1"/>
          <w:sz w:val="24"/>
          <w:szCs w:val="24"/>
        </w:rPr>
        <w:t>Pirkimui</w:t>
      </w:r>
      <w:r w:rsidRPr="000C341A">
        <w:rPr>
          <w:color w:val="000000" w:themeColor="text1"/>
          <w:sz w:val="24"/>
          <w:szCs w:val="24"/>
        </w:rPr>
        <w:t xml:space="preserve"> </w:t>
      </w:r>
      <w:r w:rsidRPr="000C341A">
        <w:rPr>
          <w:rFonts w:eastAsia="Calibri"/>
          <w:color w:val="000000" w:themeColor="text1"/>
          <w:sz w:val="24"/>
          <w:szCs w:val="24"/>
        </w:rPr>
        <w:t xml:space="preserve">skirti </w:t>
      </w:r>
      <w:r w:rsidR="00106743">
        <w:rPr>
          <w:rFonts w:eastAsia="Calibri"/>
          <w:color w:val="000000" w:themeColor="text1"/>
          <w:sz w:val="24"/>
          <w:szCs w:val="24"/>
        </w:rPr>
        <w:t xml:space="preserve">    </w:t>
      </w:r>
      <w:r w:rsidRPr="000C341A">
        <w:rPr>
          <w:rFonts w:eastAsia="Calibri"/>
          <w:color w:val="000000" w:themeColor="text1"/>
          <w:sz w:val="24"/>
          <w:szCs w:val="24"/>
        </w:rPr>
        <w:t>500 000 Eur be PVM, numatoma paslaugų teikimo trukmė yra 36 mėnesiai.</w:t>
      </w:r>
    </w:p>
    <w:p w:rsidR="007C3C61" w:rsidRPr="0009665F" w:rsidRDefault="007C3C61" w:rsidP="007C3C61">
      <w:pPr>
        <w:ind w:firstLine="680"/>
        <w:jc w:val="both"/>
        <w:rPr>
          <w:bCs/>
          <w:color w:val="000000" w:themeColor="text1"/>
          <w:sz w:val="24"/>
          <w:szCs w:val="24"/>
          <w:lang w:eastAsia="lt-LT"/>
        </w:rPr>
      </w:pPr>
      <w:r w:rsidRPr="0009665F">
        <w:rPr>
          <w:bCs/>
          <w:color w:val="000000" w:themeColor="text1"/>
          <w:sz w:val="24"/>
          <w:szCs w:val="24"/>
          <w:lang w:eastAsia="lt-LT"/>
        </w:rPr>
        <w:t xml:space="preserve">Įstatymo 71 straipsnio 1 dalies 2 punkto b papunkčio nuostatose įtvirtinta, kad prekės, paslaugos ar darbai neskelbiamų derybų būdu gali būti perkamos: </w:t>
      </w:r>
      <w:r w:rsidRPr="0009665F">
        <w:rPr>
          <w:bCs/>
          <w:i/>
          <w:iCs/>
          <w:color w:val="000000" w:themeColor="text1"/>
          <w:sz w:val="24"/>
          <w:szCs w:val="24"/>
          <w:lang w:eastAsia="lt-LT"/>
        </w:rPr>
        <w:t>„jeigu prekes pateikti, paslaugas teikti ar darbus atlikti gali tik konkretus tiekėjas dėl vienos iš šių priežasčių: &lt;...&gt; b) konkurencijos nėra dėl techninių priežasčių;  &lt;...&gt;“</w:t>
      </w:r>
      <w:r w:rsidRPr="0009665F">
        <w:rPr>
          <w:bCs/>
          <w:color w:val="000000" w:themeColor="text1"/>
          <w:sz w:val="24"/>
          <w:szCs w:val="24"/>
          <w:lang w:eastAsia="lt-LT"/>
        </w:rPr>
        <w:t xml:space="preserve">. </w:t>
      </w:r>
    </w:p>
    <w:p w:rsidR="007C3C61" w:rsidRPr="0009665F" w:rsidRDefault="007C3C61" w:rsidP="007C3C61">
      <w:pPr>
        <w:ind w:firstLine="680"/>
        <w:jc w:val="both"/>
        <w:rPr>
          <w:bCs/>
          <w:color w:val="000000" w:themeColor="text1"/>
          <w:sz w:val="24"/>
          <w:szCs w:val="24"/>
          <w:lang w:eastAsia="lt-LT"/>
        </w:rPr>
      </w:pPr>
      <w:r w:rsidRPr="0009665F">
        <w:rPr>
          <w:bCs/>
          <w:color w:val="000000" w:themeColor="text1"/>
          <w:sz w:val="24"/>
          <w:szCs w:val="24"/>
          <w:lang w:eastAsia="lt-LT"/>
        </w:rPr>
        <w:t>Perkančiosios organizacijos prašyme nurodytos aplinkybės, pateikti dokumentai bei papildoma</w:t>
      </w:r>
      <w:r w:rsidR="00720416">
        <w:rPr>
          <w:bCs/>
          <w:color w:val="000000" w:themeColor="text1"/>
          <w:sz w:val="24"/>
          <w:szCs w:val="24"/>
          <w:lang w:eastAsia="lt-LT"/>
        </w:rPr>
        <w:t>i pateikta</w:t>
      </w:r>
      <w:r w:rsidRPr="0009665F">
        <w:rPr>
          <w:bCs/>
          <w:color w:val="000000" w:themeColor="text1"/>
          <w:sz w:val="24"/>
          <w:szCs w:val="24"/>
          <w:lang w:eastAsia="lt-LT"/>
        </w:rPr>
        <w:t xml:space="preserve"> informacija patvirtina, jog </w:t>
      </w:r>
      <w:r>
        <w:rPr>
          <w:bCs/>
          <w:color w:val="000000" w:themeColor="text1"/>
          <w:sz w:val="24"/>
          <w:szCs w:val="24"/>
          <w:lang w:eastAsia="lt-LT"/>
        </w:rPr>
        <w:t xml:space="preserve">šiuo metu </w:t>
      </w:r>
      <w:r w:rsidRPr="001121E2">
        <w:rPr>
          <w:bCs/>
          <w:i/>
          <w:iCs/>
          <w:color w:val="000000" w:themeColor="text1"/>
          <w:sz w:val="24"/>
          <w:szCs w:val="24"/>
          <w:lang w:eastAsia="lt-LT"/>
        </w:rPr>
        <w:t>Pirkimu</w:t>
      </w:r>
      <w:r w:rsidRPr="0009665F">
        <w:rPr>
          <w:bCs/>
          <w:color w:val="000000" w:themeColor="text1"/>
          <w:sz w:val="24"/>
          <w:szCs w:val="24"/>
          <w:lang w:eastAsia="lt-LT"/>
        </w:rPr>
        <w:t xml:space="preserve"> siekiamas įsigyti paslaugas</w:t>
      </w:r>
      <w:r>
        <w:rPr>
          <w:bCs/>
          <w:color w:val="000000" w:themeColor="text1"/>
          <w:sz w:val="24"/>
          <w:szCs w:val="24"/>
          <w:lang w:eastAsia="lt-LT"/>
        </w:rPr>
        <w:t xml:space="preserve"> –</w:t>
      </w:r>
      <w:r w:rsidRPr="0009665F">
        <w:rPr>
          <w:bCs/>
          <w:color w:val="000000" w:themeColor="text1"/>
          <w:sz w:val="24"/>
          <w:szCs w:val="24"/>
          <w:lang w:eastAsia="lt-LT"/>
        </w:rPr>
        <w:t xml:space="preserve"> </w:t>
      </w:r>
      <w:r w:rsidR="00720416" w:rsidRPr="00F6447A">
        <w:rPr>
          <w:bCs/>
          <w:color w:val="000000" w:themeColor="text1"/>
          <w:sz w:val="24"/>
          <w:szCs w:val="24"/>
          <w:lang w:eastAsia="lt-LT"/>
        </w:rPr>
        <w:t>momentinių mokėjimų apdorojimo ir vykdymo paslaug</w:t>
      </w:r>
      <w:r w:rsidR="001121E2">
        <w:rPr>
          <w:bCs/>
          <w:color w:val="000000" w:themeColor="text1"/>
          <w:sz w:val="24"/>
          <w:szCs w:val="24"/>
          <w:lang w:eastAsia="lt-LT"/>
        </w:rPr>
        <w:t>a</w:t>
      </w:r>
      <w:r w:rsidR="00C478DA" w:rsidRPr="00F6447A">
        <w:rPr>
          <w:bCs/>
          <w:color w:val="000000" w:themeColor="text1"/>
          <w:sz w:val="24"/>
          <w:szCs w:val="24"/>
          <w:lang w:eastAsia="lt-LT"/>
        </w:rPr>
        <w:t>s</w:t>
      </w:r>
      <w:r w:rsidR="001121E2">
        <w:rPr>
          <w:bCs/>
          <w:color w:val="000000" w:themeColor="text1"/>
          <w:sz w:val="24"/>
          <w:szCs w:val="24"/>
          <w:lang w:eastAsia="lt-LT"/>
        </w:rPr>
        <w:t xml:space="preserve"> </w:t>
      </w:r>
      <w:r w:rsidR="00106743" w:rsidRPr="00F6447A">
        <w:rPr>
          <w:bCs/>
          <w:color w:val="000000" w:themeColor="text1"/>
          <w:sz w:val="24"/>
          <w:szCs w:val="24"/>
          <w:lang w:eastAsia="lt-LT"/>
        </w:rPr>
        <w:t>(ryšio paslaugas prisijungimui prie RT1)</w:t>
      </w:r>
      <w:r w:rsidR="00720416">
        <w:rPr>
          <w:color w:val="000000" w:themeColor="text1"/>
          <w:sz w:val="24"/>
          <w:szCs w:val="24"/>
          <w:lang w:eastAsia="lt-LT"/>
        </w:rPr>
        <w:t>,</w:t>
      </w:r>
      <w:r w:rsidRPr="006118BE">
        <w:rPr>
          <w:sz w:val="24"/>
          <w:szCs w:val="24"/>
        </w:rPr>
        <w:t xml:space="preserve"> dėl techninių priežasčių gali suteikti tik konkretus tiekėjas</w:t>
      </w:r>
      <w:r>
        <w:rPr>
          <w:sz w:val="24"/>
          <w:szCs w:val="24"/>
        </w:rPr>
        <w:t xml:space="preserve">, t. y. </w:t>
      </w:r>
      <w:r w:rsidRPr="0009665F">
        <w:rPr>
          <w:bCs/>
          <w:color w:val="000000" w:themeColor="text1"/>
          <w:sz w:val="24"/>
          <w:szCs w:val="24"/>
          <w:lang w:eastAsia="lt-LT"/>
        </w:rPr>
        <w:t xml:space="preserve">nagrinėjamu atveju yra tenkinamos neskelbiamų derybų sąlygos, nurodytos Įstatymo 71 straipsnio 1 dalies 2 punkto (b) papunktyje. </w:t>
      </w:r>
      <w:r w:rsidRPr="0009665F">
        <w:rPr>
          <w:bCs/>
          <w:color w:val="000000" w:themeColor="text1"/>
          <w:sz w:val="24"/>
          <w:szCs w:val="24"/>
          <w:lang w:eastAsia="lt-LT"/>
        </w:rPr>
        <w:lastRenderedPageBreak/>
        <w:t xml:space="preserve">Įvertinusi aukščiau nurodytą bei vadovaudamasi Įstatymo 95 straipsnio 2 dalies 6 punkto nuostatomis, </w:t>
      </w:r>
      <w:r w:rsidRPr="0009665F">
        <w:rPr>
          <w:b/>
          <w:color w:val="000000" w:themeColor="text1"/>
          <w:sz w:val="24"/>
          <w:szCs w:val="24"/>
          <w:lang w:eastAsia="lt-LT"/>
        </w:rPr>
        <w:t>Tarnyba sutinka</w:t>
      </w:r>
      <w:r w:rsidRPr="0009665F">
        <w:rPr>
          <w:bCs/>
          <w:color w:val="000000" w:themeColor="text1"/>
          <w:sz w:val="24"/>
          <w:szCs w:val="24"/>
          <w:lang w:eastAsia="lt-LT"/>
        </w:rPr>
        <w:t xml:space="preserve">, kad Perkančioji organizacija </w:t>
      </w:r>
      <w:r w:rsidRPr="00C478DA">
        <w:rPr>
          <w:bCs/>
          <w:i/>
          <w:iCs/>
          <w:color w:val="000000" w:themeColor="text1"/>
          <w:sz w:val="24"/>
          <w:szCs w:val="24"/>
          <w:lang w:eastAsia="lt-LT"/>
        </w:rPr>
        <w:t>Pirkimą</w:t>
      </w:r>
      <w:r w:rsidRPr="0009665F">
        <w:rPr>
          <w:bCs/>
          <w:color w:val="000000" w:themeColor="text1"/>
          <w:sz w:val="24"/>
          <w:szCs w:val="24"/>
          <w:lang w:eastAsia="lt-LT"/>
        </w:rPr>
        <w:t xml:space="preserve"> vykdytų neskelbiamų derybų būdu, vadovaujantis Įstatymo 71 straipsnio 1 dalies 2 punkto (b) papunkčio nuostatomis, į derybas kviečiant konkretų tiekėją – ABE CLEARING S.A.S. à capital variable (EBA CLEARING).</w:t>
      </w:r>
    </w:p>
    <w:p w:rsidR="007C3C61" w:rsidRDefault="007C3C61" w:rsidP="007C3C61">
      <w:pPr>
        <w:ind w:firstLine="680"/>
        <w:jc w:val="both"/>
        <w:rPr>
          <w:bCs/>
          <w:color w:val="000000" w:themeColor="text1"/>
          <w:sz w:val="24"/>
          <w:szCs w:val="24"/>
          <w:lang w:eastAsia="lt-LT"/>
        </w:rPr>
      </w:pPr>
    </w:p>
    <w:p w:rsidR="00F6447A" w:rsidRDefault="00F6447A" w:rsidP="007C3C61">
      <w:pPr>
        <w:ind w:firstLine="680"/>
        <w:jc w:val="both"/>
        <w:rPr>
          <w:bCs/>
          <w:color w:val="000000" w:themeColor="text1"/>
          <w:sz w:val="24"/>
          <w:szCs w:val="24"/>
          <w:lang w:eastAsia="lt-LT"/>
        </w:rPr>
      </w:pPr>
    </w:p>
    <w:p w:rsidR="00F6447A" w:rsidRPr="0009665F" w:rsidRDefault="00F6447A" w:rsidP="007C3C61">
      <w:pPr>
        <w:ind w:firstLine="680"/>
        <w:jc w:val="both"/>
        <w:rPr>
          <w:bCs/>
          <w:color w:val="000000" w:themeColor="text1"/>
          <w:sz w:val="24"/>
          <w:szCs w:val="24"/>
          <w:lang w:eastAsia="lt-LT"/>
        </w:rPr>
      </w:pPr>
    </w:p>
    <w:p w:rsidR="007C3C61" w:rsidRPr="0009665F" w:rsidRDefault="007C3C61" w:rsidP="007C3C61">
      <w:pPr>
        <w:jc w:val="both"/>
        <w:rPr>
          <w:bCs/>
          <w:color w:val="000000" w:themeColor="text1"/>
          <w:sz w:val="24"/>
          <w:szCs w:val="24"/>
          <w:lang w:eastAsia="lt-LT"/>
        </w:rPr>
      </w:pPr>
      <w:r w:rsidRPr="0009665F">
        <w:rPr>
          <w:rFonts w:eastAsia="Calibri"/>
          <w:sz w:val="24"/>
          <w:szCs w:val="24"/>
        </w:rPr>
        <w:t xml:space="preserve">Direktoriaus pavaduotoja, </w:t>
      </w:r>
    </w:p>
    <w:p w:rsidR="007C3C61" w:rsidRPr="0009665F" w:rsidRDefault="007C3C61" w:rsidP="007C3C61">
      <w:pPr>
        <w:tabs>
          <w:tab w:val="left" w:pos="1134"/>
        </w:tabs>
        <w:jc w:val="both"/>
        <w:rPr>
          <w:sz w:val="24"/>
          <w:szCs w:val="24"/>
        </w:rPr>
      </w:pPr>
      <w:r w:rsidRPr="0009665F">
        <w:rPr>
          <w:rFonts w:eastAsia="Calibri"/>
          <w:sz w:val="24"/>
          <w:szCs w:val="24"/>
        </w:rPr>
        <w:t>laikinai atliekanti direktoriaus funkcijas</w:t>
      </w:r>
      <w:r w:rsidRPr="0009665F">
        <w:rPr>
          <w:sz w:val="24"/>
          <w:szCs w:val="24"/>
        </w:rPr>
        <w:tab/>
      </w:r>
      <w:r w:rsidRPr="0009665F">
        <w:rPr>
          <w:sz w:val="24"/>
          <w:szCs w:val="24"/>
        </w:rPr>
        <w:tab/>
      </w:r>
      <w:r w:rsidRPr="0009665F">
        <w:rPr>
          <w:sz w:val="24"/>
          <w:szCs w:val="24"/>
        </w:rPr>
        <w:tab/>
      </w:r>
      <w:r w:rsidRPr="0009665F">
        <w:rPr>
          <w:sz w:val="24"/>
          <w:szCs w:val="24"/>
        </w:rPr>
        <w:tab/>
        <w:t xml:space="preserve">  Jovita Petkuvienė </w:t>
      </w:r>
    </w:p>
    <w:p w:rsidR="007C3C61" w:rsidRPr="0009665F" w:rsidRDefault="007C3C61" w:rsidP="007C3C61">
      <w:pPr>
        <w:rPr>
          <w:sz w:val="24"/>
          <w:szCs w:val="24"/>
        </w:rPr>
      </w:pPr>
    </w:p>
    <w:p w:rsidR="007C3C61" w:rsidRDefault="007C3C61"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F6447A" w:rsidRDefault="00F6447A" w:rsidP="007C3C61">
      <w:pPr>
        <w:rPr>
          <w:sz w:val="24"/>
          <w:szCs w:val="24"/>
        </w:rPr>
      </w:pPr>
    </w:p>
    <w:p w:rsidR="007C3C61" w:rsidRDefault="007C3C61" w:rsidP="007C3C61">
      <w:pPr>
        <w:rPr>
          <w:sz w:val="24"/>
          <w:szCs w:val="24"/>
        </w:rPr>
      </w:pPr>
    </w:p>
    <w:p w:rsidR="007C3C61" w:rsidRPr="0009665F" w:rsidRDefault="007C3C61" w:rsidP="000C4AE0">
      <w:pPr>
        <w:spacing w:after="200" w:line="276" w:lineRule="auto"/>
        <w:rPr>
          <w:sz w:val="24"/>
          <w:szCs w:val="24"/>
        </w:rPr>
      </w:pPr>
      <w:r w:rsidRPr="005C4D52">
        <w:t>Lina Nariūnienė, tel. (8 5) 205 2966, faks. (8 5) 213 6213, el. p. Lina.Nariuniene</w:t>
      </w:r>
      <w:r w:rsidRPr="005C4D52">
        <w:rPr>
          <w:lang w:val="en-US"/>
        </w:rPr>
        <w:t>@</w:t>
      </w:r>
      <w:r w:rsidRPr="005C4D52">
        <w:t xml:space="preserve">vpt.lt </w:t>
      </w:r>
    </w:p>
    <w:sectPr w:rsidR="007C3C61" w:rsidRPr="0009665F" w:rsidSect="00F6447A">
      <w:headerReference w:type="even" r:id="rId9"/>
      <w:headerReference w:type="default" r:id="rId10"/>
      <w:footerReference w:type="default" r:id="rId11"/>
      <w:footerReference w:type="first" r:id="rId12"/>
      <w:pgSz w:w="11907" w:h="16840" w:code="9"/>
      <w:pgMar w:top="170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3213" w:rsidRDefault="00F73213" w:rsidP="007C3C61">
      <w:r>
        <w:separator/>
      </w:r>
    </w:p>
  </w:endnote>
  <w:endnote w:type="continuationSeparator" w:id="0">
    <w:p w:rsidR="00F73213" w:rsidRDefault="00F73213" w:rsidP="007C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000" w:rsidRDefault="00F73213">
    <w:pPr>
      <w:pStyle w:val="Porat"/>
    </w:pPr>
  </w:p>
  <w:p w:rsidR="00EF7000" w:rsidRDefault="00F73213">
    <w:pPr>
      <w:pStyle w:val="Porat"/>
    </w:pPr>
  </w:p>
  <w:p w:rsidR="00EF7000" w:rsidRDefault="00F732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000" w:rsidRPr="00C96169" w:rsidRDefault="00666E65" w:rsidP="00345795">
    <w:pPr>
      <w:pBdr>
        <w:top w:val="single" w:sz="4" w:space="1" w:color="auto"/>
      </w:pBdr>
    </w:pPr>
    <w:r>
      <w:rPr>
        <w:noProof/>
        <w:lang w:eastAsia="lt-LT"/>
      </w:rPr>
      <w:drawing>
        <wp:anchor distT="0" distB="0" distL="114300" distR="114300" simplePos="0" relativeHeight="251659264" behindDoc="0" locked="0" layoutInCell="1" allowOverlap="1" wp14:anchorId="1E5FBBD6" wp14:editId="59B5B80A">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rsidR="00EF7000" w:rsidRPr="00C96169" w:rsidRDefault="00666E65" w:rsidP="00345795">
    <w:pPr>
      <w:pBdr>
        <w:top w:val="single" w:sz="4" w:space="1"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rsidR="00EF7000" w:rsidRPr="00C96169" w:rsidRDefault="00F73213" w:rsidP="00345795">
    <w:pPr>
      <w:pBdr>
        <w:top w:val="single" w:sz="4" w:space="1" w:color="auto"/>
      </w:pBdr>
      <w:jc w:val="both"/>
    </w:pPr>
    <w:hyperlink r:id="rId3" w:history="1">
      <w:r w:rsidR="00666E65" w:rsidRPr="00C96169">
        <w:rPr>
          <w:rStyle w:val="Hipersaitas"/>
        </w:rPr>
        <w:t>http://www.vpt.lrv.lt</w:t>
      </w:r>
    </w:hyperlink>
    <w:r w:rsidR="00666E65" w:rsidRPr="00C96169">
      <w:tab/>
    </w:r>
    <w:r w:rsidR="00666E65">
      <w:t xml:space="preserve">         </w:t>
    </w:r>
    <w:r w:rsidR="00666E65" w:rsidRPr="00C96169">
      <w:t xml:space="preserve">El. p. </w:t>
    </w:r>
    <w:hyperlink r:id="rId4" w:history="1">
      <w:r w:rsidR="00666E65" w:rsidRPr="00C96169">
        <w:rPr>
          <w:rStyle w:val="Hipersaitas"/>
        </w:rPr>
        <w:t>info@vpt.lt</w:t>
      </w:r>
    </w:hyperlink>
    <w:r w:rsidR="00666E65">
      <w:t xml:space="preserve">                   </w:t>
    </w:r>
    <w:r w:rsidR="00666E65" w:rsidRPr="00C96169">
      <w:t>Kodas 188656261</w:t>
    </w:r>
    <w:r w:rsidR="00666E65">
      <w:t xml:space="preserve">                                   </w:t>
    </w:r>
  </w:p>
  <w:p w:rsidR="00EF7000" w:rsidRPr="004D1BAD" w:rsidRDefault="00666E65" w:rsidP="00345795">
    <w:pPr>
      <w:pStyle w:val="Porat"/>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3213" w:rsidRDefault="00F73213" w:rsidP="007C3C61">
      <w:r>
        <w:separator/>
      </w:r>
    </w:p>
  </w:footnote>
  <w:footnote w:type="continuationSeparator" w:id="0">
    <w:p w:rsidR="00F73213" w:rsidRDefault="00F73213" w:rsidP="007C3C61">
      <w:r>
        <w:continuationSeparator/>
      </w:r>
    </w:p>
  </w:footnote>
  <w:footnote w:id="1">
    <w:p w:rsidR="00106743" w:rsidRDefault="00106743" w:rsidP="00F6447A">
      <w:pPr>
        <w:pStyle w:val="Puslapioinaostekstas"/>
        <w:jc w:val="both"/>
      </w:pPr>
      <w:r>
        <w:rPr>
          <w:rStyle w:val="Puslapioinaosnuoroda"/>
        </w:rPr>
        <w:footnoteRef/>
      </w:r>
      <w:r>
        <w:t xml:space="preserve"> </w:t>
      </w:r>
      <w:r w:rsidR="00F6447A" w:rsidRPr="00F418F5">
        <w:rPr>
          <w:rFonts w:eastAsia="Calibri"/>
        </w:rPr>
        <w:t>2016 m. gruodžio 23 d. įsakymu Nr. 2016/(1.7-260603)-02-224 patvirtinto Lietuvos banko viešojo pirkim</w:t>
      </w:r>
      <w:r w:rsidR="00F6447A" w:rsidRPr="00F418F5">
        <w:t>o</w:t>
      </w:r>
      <w:r w:rsidR="00F6447A" w:rsidRPr="00F418F5">
        <w:rPr>
          <w:rFonts w:eastAsia="Calibri"/>
        </w:rPr>
        <w:t xml:space="preserve"> (projekto konkurso vertinimo) komisijos darbo reglamento nuostatos suteikia teisę Lietuvos banko viešojo pirkimo komisijos pirmininkui pasirašyti raštus, kuriais komisija kreipiasi į </w:t>
      </w:r>
      <w:r w:rsidR="00F6447A">
        <w:rPr>
          <w:rFonts w:eastAsia="Calibri"/>
        </w:rPr>
        <w:t>T</w:t>
      </w:r>
      <w:r w:rsidR="00F6447A" w:rsidRPr="00F418F5">
        <w:t>arnybą ir kitas institucijas, siekdama teisės aktuose nurodytais atvejais gauti sutikimus, paaiškinimus, patvirtinimus ir pan.</w:t>
      </w:r>
      <w:r w:rsidR="00F6447A">
        <w:t>;</w:t>
      </w:r>
    </w:p>
  </w:footnote>
  <w:footnote w:id="2">
    <w:p w:rsidR="007C3C61" w:rsidRPr="007C3C61" w:rsidRDefault="007C3C61" w:rsidP="007C3C61">
      <w:pPr>
        <w:pStyle w:val="Puslapioinaostekstas"/>
        <w:jc w:val="both"/>
      </w:pPr>
      <w:r w:rsidRPr="00B363EA">
        <w:rPr>
          <w:rStyle w:val="Puslapioinaosnuoroda"/>
          <w:color w:val="000000" w:themeColor="text1"/>
        </w:rPr>
        <w:footnoteRef/>
      </w:r>
      <w:r w:rsidRPr="00B363EA">
        <w:rPr>
          <w:color w:val="000000" w:themeColor="text1"/>
        </w:rPr>
        <w:t xml:space="preserve"> </w:t>
      </w:r>
      <w:r w:rsidRPr="007C3C61">
        <w:rPr>
          <w:color w:val="000000" w:themeColor="text1"/>
          <w:lang w:eastAsia="lt-LT"/>
        </w:rPr>
        <w:t>SEPA (angl. Single Euro Payments Area);</w:t>
      </w:r>
    </w:p>
  </w:footnote>
  <w:footnote w:id="3">
    <w:p w:rsidR="007C3C61" w:rsidRPr="007C3C61" w:rsidRDefault="007C3C61" w:rsidP="007C3C61">
      <w:pPr>
        <w:pStyle w:val="Puslapioinaostekstas"/>
        <w:jc w:val="both"/>
      </w:pPr>
      <w:r w:rsidRPr="007C3C61">
        <w:rPr>
          <w:rStyle w:val="Puslapioinaosnuoroda"/>
        </w:rPr>
        <w:footnoteRef/>
      </w:r>
      <w:bookmarkStart w:id="3" w:name="_Hlk42503919"/>
      <w:r w:rsidRPr="007C3C61">
        <w:t>https://www.instapay.today/wp-content/uploads/2017/06/EBACL_20170614_White_Paper_on_Euro_Instant_Payment_Take-off_v1.0_printer-friendly.pdf</w:t>
      </w:r>
      <w:r>
        <w:t>;</w:t>
      </w:r>
    </w:p>
    <w:bookmarkEnd w:id="3"/>
  </w:footnote>
  <w:footnote w:id="4">
    <w:p w:rsidR="007C3C61" w:rsidRPr="007C3C61" w:rsidRDefault="007C3C61" w:rsidP="007C3C61">
      <w:pPr>
        <w:pStyle w:val="Puslapioinaostekstas"/>
        <w:jc w:val="both"/>
      </w:pPr>
      <w:r w:rsidRPr="007C3C61">
        <w:rPr>
          <w:rStyle w:val="Puslapioinaosnuoroda"/>
        </w:rPr>
        <w:footnoteRef/>
      </w:r>
      <w:r w:rsidRPr="007C3C61">
        <w:t xml:space="preserve"> 2017 m. lapkričio 16 d. pasirašyta Sutartis Nr. 41.16-95 su tiekėju </w:t>
      </w:r>
      <w:r w:rsidRPr="007C3C61">
        <w:rPr>
          <w:bCs/>
          <w:color w:val="000000" w:themeColor="text1"/>
          <w:lang w:eastAsia="lt-LT"/>
        </w:rPr>
        <w:t xml:space="preserve">ABE CLEARING S.A.S. à capital variable (EBA CLEARING), kurios objektas – </w:t>
      </w:r>
      <w:r w:rsidRPr="007C3C61">
        <w:t xml:space="preserve">ryšio paslaugos, reikalingas prisijungti prie </w:t>
      </w:r>
      <w:bookmarkStart w:id="4" w:name="_Hlk42507930"/>
      <w:r w:rsidRPr="007C3C61">
        <w:rPr>
          <w:color w:val="000000" w:themeColor="text1"/>
          <w:lang w:eastAsia="lt-LT"/>
        </w:rPr>
        <w:t>tiekėjo valdomos momentinių mokėjimų apdorojimo ir vykdymo sistemos</w:t>
      </w:r>
      <w:r w:rsidR="00106743">
        <w:rPr>
          <w:color w:val="000000" w:themeColor="text1"/>
          <w:lang w:eastAsia="lt-LT"/>
        </w:rPr>
        <w:t xml:space="preserve"> RT1</w:t>
      </w:r>
      <w:r w:rsidRPr="007C3C61">
        <w:rPr>
          <w:color w:val="000000" w:themeColor="text1"/>
          <w:lang w:eastAsia="lt-LT"/>
        </w:rPr>
        <w:t xml:space="preserve">. </w:t>
      </w:r>
      <w:bookmarkEnd w:id="4"/>
      <w:r w:rsidRPr="007C3C61">
        <w:rPr>
          <w:color w:val="000000" w:themeColor="text1"/>
          <w:lang w:eastAsia="lt-LT"/>
        </w:rPr>
        <w:t>Sutartis pasirašyta atlikus pirkimą neskelbiamų derybų būdu</w:t>
      </w:r>
      <w:r>
        <w:rPr>
          <w:color w:val="000000" w:themeColor="text1"/>
          <w:lang w:eastAsia="lt-LT"/>
        </w:rPr>
        <w:t xml:space="preserve">, pagrindas – </w:t>
      </w:r>
      <w:r w:rsidRPr="007C3C61">
        <w:rPr>
          <w:color w:val="000000" w:themeColor="text1"/>
          <w:lang w:eastAsia="lt-LT"/>
        </w:rPr>
        <w:t xml:space="preserve">2017 m. kovo 20 d. </w:t>
      </w:r>
      <w:r>
        <w:rPr>
          <w:color w:val="000000" w:themeColor="text1"/>
          <w:lang w:eastAsia="lt-LT"/>
        </w:rPr>
        <w:t xml:space="preserve">Tarnybos </w:t>
      </w:r>
      <w:r w:rsidRPr="007C3C61">
        <w:rPr>
          <w:color w:val="000000" w:themeColor="text1"/>
          <w:lang w:eastAsia="lt-LT"/>
        </w:rPr>
        <w:t>Sprendimas dėl sutiko atlikti pirkimą neskelbiamų derybų būdu Nr. 4S-871;</w:t>
      </w:r>
    </w:p>
  </w:footnote>
  <w:footnote w:id="5">
    <w:p w:rsidR="007C3C61" w:rsidRDefault="007C3C61" w:rsidP="000C4AE0">
      <w:pPr>
        <w:pStyle w:val="Puslapioinaostekstas"/>
      </w:pPr>
      <w:r>
        <w:rPr>
          <w:rStyle w:val="Puslapioinaosnuoroda"/>
        </w:rPr>
        <w:footnoteRef/>
      </w:r>
      <w:r>
        <w:t xml:space="preserve"> angl. EPC;</w:t>
      </w:r>
    </w:p>
  </w:footnote>
  <w:footnote w:id="6">
    <w:p w:rsidR="000C4AE0" w:rsidRDefault="000C4AE0" w:rsidP="00DC5197">
      <w:pPr>
        <w:pStyle w:val="Puslapioinaostekstas"/>
        <w:jc w:val="both"/>
      </w:pPr>
      <w:r>
        <w:rPr>
          <w:rStyle w:val="Puslapioinaosnuoroda"/>
        </w:rPr>
        <w:footnoteRef/>
      </w:r>
      <w:hyperlink r:id="rId1" w:history="1">
        <w:r w:rsidRPr="00106743">
          <w:rPr>
            <w:rStyle w:val="Hipersaitas"/>
          </w:rPr>
          <w:t>https://www.lb.lt/uploads/documents/files/musu-veikla/mokejimai/Apie-mokejimu-rinka/Mokejimu-taryba/Momentiniai%20mokejimai%20Lietuvoje.pdf</w:t>
        </w:r>
      </w:hyperlink>
      <w:r w:rsidRPr="00106743">
        <w:t xml:space="preserve"> </w:t>
      </w:r>
      <w:r w:rsidR="00DC5197" w:rsidRPr="00106743">
        <w:rPr>
          <w:i/>
          <w:iCs/>
        </w:rPr>
        <w:t>„&lt;...&gt; momentiniais mokėjimais laikomi kredito pervedimai, populiariai dar vadinami pavedimais, kurie vykdomi pagal EPC valdomą SEPA SCT Inst (angl. SEPA Instant Credit Transfer) schemą. &lt;...&gt; Momentinių mokėjimų pradžia sietina su ERPB nustatytu poreikiu turėti bendrą europinį sprendimą momentiniams mokėjimams eurais. Tuo tikslu EPC parengė SEPA momentinių kredito pervedimų taisyklių rinkinį, vadinamą schema, kuri įsigaliojo 2017 m. lapkričio 21 d.&lt;...&gt;“;</w:t>
      </w:r>
    </w:p>
  </w:footnote>
  <w:footnote w:id="7">
    <w:p w:rsidR="007C3C61" w:rsidRDefault="007C3C61" w:rsidP="000C4AE0">
      <w:pPr>
        <w:pStyle w:val="Puslapioinaostekstas"/>
      </w:pPr>
      <w:r>
        <w:rPr>
          <w:rStyle w:val="Puslapioinaosnuoroda"/>
        </w:rPr>
        <w:footnoteRef/>
      </w:r>
      <w:r>
        <w:t xml:space="preserve"> 2020 m. gegužės 26 d. Komisijos posėdžio protokolas Nr. 1;</w:t>
      </w:r>
    </w:p>
  </w:footnote>
  <w:footnote w:id="8">
    <w:p w:rsidR="007C3C61" w:rsidRDefault="007C3C61" w:rsidP="000C4AE0">
      <w:pPr>
        <w:pStyle w:val="Puslapioinaostekstas"/>
      </w:pPr>
      <w:r>
        <w:rPr>
          <w:rStyle w:val="Puslapioinaosnuoroda"/>
        </w:rPr>
        <w:footnoteRef/>
      </w:r>
      <w:r>
        <w:t xml:space="preserve"> </w:t>
      </w:r>
      <w:r w:rsidRPr="00D14660">
        <w:rPr>
          <w:rFonts w:eastAsia="Calibri"/>
        </w:rPr>
        <w:t xml:space="preserve">Lietuvos banko valdybos pirmininko pavaduotojo 2020 m. balandžio 15 d. įsakymo Nr. V 2020(1.137.E-260603)-306-11 „Dėl Lietuvos banko valdybos pirmininko pavaduotojo 2020 m. sausio 13 d. įsakymo Nr. </w:t>
      </w:r>
      <w:r w:rsidRPr="00D14660">
        <w:t>V 2020/(1.137.E-260603)-306-1</w:t>
      </w:r>
      <w:r w:rsidRPr="00D14660" w:rsidDel="004D0F10">
        <w:rPr>
          <w:b/>
        </w:rPr>
        <w:t xml:space="preserve"> </w:t>
      </w:r>
      <w:r w:rsidRPr="00D14660">
        <w:rPr>
          <w:rFonts w:eastAsia="Calibri"/>
        </w:rPr>
        <w:t>„Dėl Lietuvos banko 2020  m. viešųjų pirkimų plano patvirtinimo“ pakeitimo“ kopija</w:t>
      </w:r>
      <w:r>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000" w:rsidRDefault="00666E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7000" w:rsidRDefault="00F732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000" w:rsidRDefault="00666E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EF7000" w:rsidRDefault="00F7321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61"/>
    <w:rsid w:val="000C341A"/>
    <w:rsid w:val="000C4AE0"/>
    <w:rsid w:val="00106743"/>
    <w:rsid w:val="001121E2"/>
    <w:rsid w:val="001E6191"/>
    <w:rsid w:val="00362198"/>
    <w:rsid w:val="0039504A"/>
    <w:rsid w:val="004A1236"/>
    <w:rsid w:val="005320C3"/>
    <w:rsid w:val="00666E65"/>
    <w:rsid w:val="00720416"/>
    <w:rsid w:val="007C3C61"/>
    <w:rsid w:val="008C6444"/>
    <w:rsid w:val="00BB74D4"/>
    <w:rsid w:val="00BC350E"/>
    <w:rsid w:val="00C478DA"/>
    <w:rsid w:val="00D3608D"/>
    <w:rsid w:val="00D4297B"/>
    <w:rsid w:val="00DC5197"/>
    <w:rsid w:val="00DE2722"/>
    <w:rsid w:val="00E52DFB"/>
    <w:rsid w:val="00F6447A"/>
    <w:rsid w:val="00F73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54B9"/>
  <w15:chartTrackingRefBased/>
  <w15:docId w15:val="{713FD2ED-9F8F-4C38-B62D-F65D3180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C61"/>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7C3C61"/>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C3C61"/>
    <w:rPr>
      <w:rFonts w:ascii="Times New Roman" w:eastAsia="Times New Roman" w:hAnsi="Times New Roman" w:cs="Times New Roman"/>
      <w:b/>
      <w:bCs/>
      <w:sz w:val="32"/>
      <w:szCs w:val="32"/>
    </w:rPr>
  </w:style>
  <w:style w:type="paragraph" w:styleId="Antrats">
    <w:name w:val="header"/>
    <w:basedOn w:val="prastasis"/>
    <w:link w:val="AntratsDiagrama"/>
    <w:rsid w:val="007C3C61"/>
    <w:pPr>
      <w:tabs>
        <w:tab w:val="center" w:pos="4320"/>
        <w:tab w:val="right" w:pos="8640"/>
      </w:tabs>
    </w:pPr>
  </w:style>
  <w:style w:type="character" w:customStyle="1" w:styleId="AntratsDiagrama">
    <w:name w:val="Antraštės Diagrama"/>
    <w:basedOn w:val="Numatytasispastraiposriftas"/>
    <w:link w:val="Antrats"/>
    <w:rsid w:val="007C3C61"/>
    <w:rPr>
      <w:rFonts w:ascii="Times New Roman" w:eastAsia="Times New Roman" w:hAnsi="Times New Roman" w:cs="Times New Roman"/>
      <w:sz w:val="20"/>
      <w:szCs w:val="20"/>
    </w:rPr>
  </w:style>
  <w:style w:type="paragraph" w:styleId="Porat">
    <w:name w:val="footer"/>
    <w:basedOn w:val="prastasis"/>
    <w:link w:val="PoratDiagrama"/>
    <w:uiPriority w:val="99"/>
    <w:rsid w:val="007C3C61"/>
    <w:pPr>
      <w:tabs>
        <w:tab w:val="center" w:pos="4320"/>
        <w:tab w:val="right" w:pos="8640"/>
      </w:tabs>
    </w:pPr>
  </w:style>
  <w:style w:type="character" w:customStyle="1" w:styleId="PoratDiagrama">
    <w:name w:val="Poraštė Diagrama"/>
    <w:basedOn w:val="Numatytasispastraiposriftas"/>
    <w:link w:val="Porat"/>
    <w:uiPriority w:val="99"/>
    <w:rsid w:val="007C3C61"/>
    <w:rPr>
      <w:rFonts w:ascii="Times New Roman" w:eastAsia="Times New Roman" w:hAnsi="Times New Roman" w:cs="Times New Roman"/>
      <w:sz w:val="20"/>
      <w:szCs w:val="20"/>
    </w:rPr>
  </w:style>
  <w:style w:type="character" w:styleId="Puslapionumeris">
    <w:name w:val="page number"/>
    <w:basedOn w:val="Numatytasispastraiposriftas"/>
    <w:rsid w:val="007C3C61"/>
  </w:style>
  <w:style w:type="character" w:styleId="Hipersaitas">
    <w:name w:val="Hyperlink"/>
    <w:uiPriority w:val="99"/>
    <w:unhideWhenUsed/>
    <w:rsid w:val="007C3C61"/>
    <w:rPr>
      <w:strike w:val="0"/>
      <w:dstrike w:val="0"/>
      <w:color w:val="6E717F"/>
      <w:u w:val="none"/>
      <w:effect w:val="none"/>
      <w:shd w:val="clear" w:color="auto" w:fill="auto"/>
    </w:rPr>
  </w:style>
  <w:style w:type="paragraph" w:styleId="Puslapioinaostekstas">
    <w:name w:val="footnote text"/>
    <w:basedOn w:val="prastasis"/>
    <w:link w:val="PuslapioinaostekstasDiagrama"/>
    <w:rsid w:val="007C3C61"/>
  </w:style>
  <w:style w:type="character" w:customStyle="1" w:styleId="PuslapioinaostekstasDiagrama">
    <w:name w:val="Puslapio išnašos tekstas Diagrama"/>
    <w:basedOn w:val="Numatytasispastraiposriftas"/>
    <w:link w:val="Puslapioinaostekstas"/>
    <w:rsid w:val="007C3C61"/>
    <w:rPr>
      <w:rFonts w:ascii="Times New Roman" w:eastAsia="Times New Roman" w:hAnsi="Times New Roman" w:cs="Times New Roman"/>
      <w:sz w:val="20"/>
      <w:szCs w:val="20"/>
    </w:rPr>
  </w:style>
  <w:style w:type="character" w:styleId="Puslapioinaosnuoroda">
    <w:name w:val="footnote reference"/>
    <w:basedOn w:val="Numatytasispastraiposriftas"/>
    <w:rsid w:val="007C3C61"/>
    <w:rPr>
      <w:vertAlign w:val="superscript"/>
    </w:rPr>
  </w:style>
  <w:style w:type="paragraph" w:styleId="Debesliotekstas">
    <w:name w:val="Balloon Text"/>
    <w:basedOn w:val="prastasis"/>
    <w:link w:val="DebesliotekstasDiagrama"/>
    <w:uiPriority w:val="99"/>
    <w:semiHidden/>
    <w:unhideWhenUsed/>
    <w:rsid w:val="007C3C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C61"/>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0C4AE0"/>
    <w:rPr>
      <w:color w:val="605E5C"/>
      <w:shd w:val="clear" w:color="auto" w:fill="E1DFDD"/>
    </w:rPr>
  </w:style>
  <w:style w:type="character" w:styleId="Perirtashipersaitas">
    <w:name w:val="FollowedHyperlink"/>
    <w:basedOn w:val="Numatytasispastraiposriftas"/>
    <w:uiPriority w:val="99"/>
    <w:semiHidden/>
    <w:unhideWhenUsed/>
    <w:rsid w:val="000C4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b.lt/uploads/documents/files/musu-veikla/mokejimai/Apie-mokejimu-rinka/Mokejimu-taryba/Momentiniai%20mokejimai%20Lietuvo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A339-159D-4112-B746-FD5F6864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3950</Words>
  <Characters>2253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5</cp:revision>
  <dcterms:created xsi:type="dcterms:W3CDTF">2020-06-08T08:35:00Z</dcterms:created>
  <dcterms:modified xsi:type="dcterms:W3CDTF">2020-06-08T11:41:00Z</dcterms:modified>
</cp:coreProperties>
</file>