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86FF2" w14:textId="77777777" w:rsidR="00805FB6" w:rsidRPr="00BA48C1" w:rsidRDefault="00805FB6" w:rsidP="00805FB6">
      <w:pPr>
        <w:pStyle w:val="Heading1"/>
        <w:tabs>
          <w:tab w:val="left" w:pos="900"/>
        </w:tabs>
        <w:jc w:val="right"/>
        <w:rPr>
          <w:sz w:val="24"/>
          <w:szCs w:val="24"/>
        </w:rPr>
      </w:pPr>
    </w:p>
    <w:bookmarkStart w:id="0" w:name="_MON_1301915618"/>
    <w:bookmarkEnd w:id="0"/>
    <w:bookmarkStart w:id="1" w:name="_MON_1051956295"/>
    <w:bookmarkEnd w:id="1"/>
    <w:p w14:paraId="57BB844F" w14:textId="77777777" w:rsidR="00805FB6" w:rsidRPr="00BA48C1" w:rsidRDefault="00805FB6" w:rsidP="00805FB6">
      <w:pPr>
        <w:jc w:val="center"/>
        <w:rPr>
          <w:sz w:val="24"/>
          <w:szCs w:val="24"/>
        </w:rPr>
      </w:pPr>
      <w:r w:rsidRPr="00BA48C1">
        <w:rPr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648375188" r:id="rId9"/>
        </w:object>
      </w:r>
    </w:p>
    <w:p w14:paraId="4FCFAC08" w14:textId="77777777" w:rsidR="00805FB6" w:rsidRPr="00BA48C1" w:rsidRDefault="00805FB6" w:rsidP="00805FB6">
      <w:pPr>
        <w:jc w:val="center"/>
        <w:rPr>
          <w:sz w:val="24"/>
          <w:szCs w:val="24"/>
        </w:rPr>
      </w:pPr>
    </w:p>
    <w:p w14:paraId="6D0786DF" w14:textId="77777777" w:rsidR="00AA13F0" w:rsidRPr="00BA48C1" w:rsidRDefault="00AA13F0" w:rsidP="00AA13F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BA48C1">
        <w:rPr>
          <w:sz w:val="24"/>
          <w:szCs w:val="24"/>
        </w:rPr>
        <w:t>VIEŠŲJŲ PIRKIMŲ TARNYBA</w:t>
      </w:r>
    </w:p>
    <w:p w14:paraId="54CDFC4A" w14:textId="77777777" w:rsidR="00805FB6" w:rsidRPr="00BA48C1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7D5496A5" w14:textId="77777777" w:rsidR="00805FB6" w:rsidRPr="00BA48C1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31242A22" w14:textId="77777777" w:rsidR="00441571" w:rsidRPr="00BA48C1" w:rsidRDefault="00441571" w:rsidP="00805FB6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16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85"/>
        <w:gridCol w:w="567"/>
        <w:gridCol w:w="1418"/>
        <w:gridCol w:w="534"/>
        <w:gridCol w:w="1558"/>
      </w:tblGrid>
      <w:tr w:rsidR="000D0EA9" w:rsidRPr="00BA48C1" w14:paraId="3A48E2D2" w14:textId="77777777" w:rsidTr="00C02D4E">
        <w:trPr>
          <w:cantSplit/>
          <w:trHeight w:val="80"/>
        </w:trPr>
        <w:tc>
          <w:tcPr>
            <w:tcW w:w="5085" w:type="dxa"/>
            <w:vMerge w:val="restart"/>
          </w:tcPr>
          <w:p w14:paraId="039D1A75" w14:textId="4CF336DE" w:rsidR="000D0EA9" w:rsidRPr="00BA48C1" w:rsidRDefault="00F23BD3" w:rsidP="00F23BD3">
            <w:pPr>
              <w:tabs>
                <w:tab w:val="left" w:pos="900"/>
              </w:tabs>
              <w:ind w:left="-108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V</w:t>
            </w:r>
            <w:r w:rsidR="00EE1B48" w:rsidRPr="00BA48C1">
              <w:rPr>
                <w:sz w:val="24"/>
                <w:szCs w:val="24"/>
              </w:rPr>
              <w:t>šĮ</w:t>
            </w:r>
            <w:r w:rsidRPr="00BA48C1">
              <w:rPr>
                <w:sz w:val="24"/>
                <w:szCs w:val="24"/>
              </w:rPr>
              <w:t xml:space="preserve"> „</w:t>
            </w:r>
            <w:r w:rsidR="00EE1B48" w:rsidRPr="00BA48C1">
              <w:rPr>
                <w:sz w:val="24"/>
                <w:szCs w:val="24"/>
              </w:rPr>
              <w:t>Lietuvos nacionalinis radijas ir televizija</w:t>
            </w:r>
            <w:r w:rsidRPr="00BA48C1">
              <w:rPr>
                <w:sz w:val="24"/>
                <w:szCs w:val="24"/>
              </w:rPr>
              <w:t>“</w:t>
            </w:r>
          </w:p>
          <w:p w14:paraId="5D751745" w14:textId="77777777" w:rsidR="00F23BD3" w:rsidRPr="00BA48C1" w:rsidRDefault="00F23BD3" w:rsidP="00F23BD3">
            <w:pPr>
              <w:tabs>
                <w:tab w:val="left" w:pos="900"/>
              </w:tabs>
              <w:ind w:left="-108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S. Konarskio g. 49</w:t>
            </w:r>
          </w:p>
          <w:p w14:paraId="37E3995F" w14:textId="4478214F" w:rsidR="00F23BD3" w:rsidRPr="00BA48C1" w:rsidRDefault="00F23BD3" w:rsidP="00F23BD3">
            <w:pPr>
              <w:tabs>
                <w:tab w:val="left" w:pos="900"/>
              </w:tabs>
              <w:ind w:left="-108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03123 Vilnius</w:t>
            </w:r>
          </w:p>
        </w:tc>
        <w:tc>
          <w:tcPr>
            <w:tcW w:w="567" w:type="dxa"/>
          </w:tcPr>
          <w:p w14:paraId="317FA668" w14:textId="77777777" w:rsidR="000D0EA9" w:rsidRPr="00BA48C1" w:rsidRDefault="000D0EA9" w:rsidP="00722A5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1FB5E8" w14:textId="29C8FCFE" w:rsidR="000D0EA9" w:rsidRPr="00BA48C1" w:rsidRDefault="006A2821" w:rsidP="006A2821">
            <w:pPr>
              <w:ind w:left="-214" w:firstLine="109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 xml:space="preserve">   </w:t>
            </w:r>
            <w:r w:rsidR="000D0EA9" w:rsidRPr="00BA48C1">
              <w:rPr>
                <w:sz w:val="24"/>
                <w:szCs w:val="24"/>
              </w:rPr>
              <w:t>20</w:t>
            </w:r>
            <w:r w:rsidR="006F0DD9" w:rsidRPr="00BA48C1">
              <w:rPr>
                <w:sz w:val="24"/>
                <w:szCs w:val="24"/>
              </w:rPr>
              <w:t>20</w:t>
            </w:r>
            <w:r w:rsidR="000D0EA9" w:rsidRPr="00BA48C1">
              <w:rPr>
                <w:sz w:val="24"/>
                <w:szCs w:val="24"/>
              </w:rPr>
              <w:t>-</w:t>
            </w:r>
            <w:r w:rsidR="00F23BD3" w:rsidRPr="00BA48C1">
              <w:rPr>
                <w:sz w:val="24"/>
                <w:szCs w:val="24"/>
              </w:rPr>
              <w:t>04</w:t>
            </w:r>
            <w:r w:rsidR="000D0EA9" w:rsidRPr="00BA48C1">
              <w:rPr>
                <w:sz w:val="24"/>
                <w:szCs w:val="24"/>
              </w:rPr>
              <w:t>-</w:t>
            </w:r>
            <w:r w:rsidR="009847BD" w:rsidRPr="00BA48C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34" w:type="dxa"/>
          </w:tcPr>
          <w:p w14:paraId="20923BC2" w14:textId="77777777" w:rsidR="000D0EA9" w:rsidRPr="00BA48C1" w:rsidRDefault="000D0EA9" w:rsidP="0034579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Nr</w:t>
            </w:r>
            <w:r w:rsidR="008E2B0B" w:rsidRPr="00BA48C1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250B36FA" w14:textId="0CA72D97" w:rsidR="000D0EA9" w:rsidRPr="00BA48C1" w:rsidRDefault="0013783E" w:rsidP="00C02D4E">
            <w:pPr>
              <w:tabs>
                <w:tab w:val="left" w:pos="900"/>
              </w:tabs>
              <w:ind w:left="-73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 xml:space="preserve">4S-       </w:t>
            </w:r>
            <w:r w:rsidR="00CE5815" w:rsidRPr="00BA48C1">
              <w:rPr>
                <w:sz w:val="24"/>
                <w:szCs w:val="24"/>
              </w:rPr>
              <w:t>(</w:t>
            </w:r>
            <w:r w:rsidR="00F23BD3" w:rsidRPr="00BA48C1">
              <w:rPr>
                <w:sz w:val="24"/>
                <w:szCs w:val="24"/>
              </w:rPr>
              <w:t>8</w:t>
            </w:r>
            <w:r w:rsidR="00CE5815" w:rsidRPr="00BA48C1">
              <w:rPr>
                <w:sz w:val="24"/>
                <w:szCs w:val="24"/>
              </w:rPr>
              <w:t>.</w:t>
            </w:r>
            <w:r w:rsidR="00F23BD3" w:rsidRPr="00BA48C1">
              <w:rPr>
                <w:sz w:val="24"/>
                <w:szCs w:val="24"/>
              </w:rPr>
              <w:t>15</w:t>
            </w:r>
            <w:r w:rsidR="00CE5815" w:rsidRPr="00BA48C1">
              <w:rPr>
                <w:sz w:val="24"/>
                <w:szCs w:val="24"/>
              </w:rPr>
              <w:t>)</w:t>
            </w:r>
            <w:r w:rsidRPr="00BA48C1">
              <w:rPr>
                <w:sz w:val="24"/>
                <w:szCs w:val="24"/>
              </w:rPr>
              <w:t xml:space="preserve"> </w:t>
            </w:r>
          </w:p>
        </w:tc>
      </w:tr>
      <w:tr w:rsidR="000D0EA9" w:rsidRPr="00BA48C1" w14:paraId="51DA0E58" w14:textId="77777777" w:rsidTr="00C02D4E">
        <w:trPr>
          <w:cantSplit/>
          <w:trHeight w:val="380"/>
        </w:trPr>
        <w:tc>
          <w:tcPr>
            <w:tcW w:w="5085" w:type="dxa"/>
            <w:vMerge/>
          </w:tcPr>
          <w:p w14:paraId="19326F81" w14:textId="77777777" w:rsidR="000D0EA9" w:rsidRPr="00BA48C1" w:rsidRDefault="000D0EA9" w:rsidP="00693D5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EC59D7" w14:textId="374D7265" w:rsidR="000D0EA9" w:rsidRPr="00BA48C1" w:rsidRDefault="000D0EA9" w:rsidP="003830E2">
            <w:pPr>
              <w:tabs>
                <w:tab w:val="left" w:pos="900"/>
              </w:tabs>
              <w:ind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2F70CF" w14:textId="77777777" w:rsidR="000D0EA9" w:rsidRPr="00BA48C1" w:rsidRDefault="007407B5" w:rsidP="007407B5">
            <w:pPr>
              <w:tabs>
                <w:tab w:val="left" w:pos="900"/>
              </w:tabs>
              <w:ind w:left="-78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Į</w:t>
            </w:r>
            <w:r w:rsidR="006A2821" w:rsidRPr="00BA48C1">
              <w:rPr>
                <w:sz w:val="24"/>
                <w:szCs w:val="24"/>
              </w:rPr>
              <w:t xml:space="preserve"> 2020-04-06</w:t>
            </w:r>
          </w:p>
          <w:p w14:paraId="0C3F6CDE" w14:textId="14C44BD3" w:rsidR="006A2821" w:rsidRPr="00BA48C1" w:rsidRDefault="006A2821" w:rsidP="006A2821">
            <w:pPr>
              <w:jc w:val="center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2020-04-07</w:t>
            </w:r>
          </w:p>
        </w:tc>
        <w:tc>
          <w:tcPr>
            <w:tcW w:w="534" w:type="dxa"/>
          </w:tcPr>
          <w:p w14:paraId="40F18154" w14:textId="77777777" w:rsidR="000D0EA9" w:rsidRPr="00BA48C1" w:rsidRDefault="00AD6768" w:rsidP="0034579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Nr.</w:t>
            </w:r>
          </w:p>
          <w:p w14:paraId="7840395E" w14:textId="65EFFAB1" w:rsidR="006A2821" w:rsidRPr="00BA48C1" w:rsidRDefault="006A2821" w:rsidP="006A2821">
            <w:pPr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Nr.</w:t>
            </w:r>
          </w:p>
        </w:tc>
        <w:tc>
          <w:tcPr>
            <w:tcW w:w="1558" w:type="dxa"/>
          </w:tcPr>
          <w:p w14:paraId="50C92B8C" w14:textId="77777777" w:rsidR="0004686E" w:rsidRPr="00BA48C1" w:rsidRDefault="0004686E" w:rsidP="00C02D4E">
            <w:pPr>
              <w:tabs>
                <w:tab w:val="left" w:pos="900"/>
              </w:tabs>
              <w:ind w:left="-73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SR-313</w:t>
            </w:r>
          </w:p>
          <w:p w14:paraId="3CA250B0" w14:textId="1BF2E85E" w:rsidR="006A2821" w:rsidRPr="00BA48C1" w:rsidRDefault="006A2821" w:rsidP="00C02D4E">
            <w:pPr>
              <w:tabs>
                <w:tab w:val="left" w:pos="900"/>
              </w:tabs>
              <w:ind w:left="-73"/>
              <w:rPr>
                <w:sz w:val="24"/>
                <w:szCs w:val="24"/>
              </w:rPr>
            </w:pPr>
            <w:r w:rsidRPr="00BA48C1">
              <w:rPr>
                <w:sz w:val="24"/>
                <w:szCs w:val="24"/>
              </w:rPr>
              <w:t>3S-1024</w:t>
            </w:r>
          </w:p>
          <w:p w14:paraId="52E5B83E" w14:textId="501B430E" w:rsidR="006A2821" w:rsidRPr="00BA48C1" w:rsidRDefault="006A2821" w:rsidP="00C02D4E">
            <w:pPr>
              <w:tabs>
                <w:tab w:val="left" w:pos="900"/>
              </w:tabs>
              <w:ind w:left="-73"/>
              <w:rPr>
                <w:sz w:val="24"/>
                <w:szCs w:val="24"/>
              </w:rPr>
            </w:pPr>
          </w:p>
        </w:tc>
      </w:tr>
    </w:tbl>
    <w:p w14:paraId="35652E6B" w14:textId="7BE3F9E1" w:rsidR="00805FB6" w:rsidRPr="00BA48C1" w:rsidRDefault="00805FB6" w:rsidP="00805FB6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14:paraId="73F627FE" w14:textId="27C9B32F" w:rsidR="0004686E" w:rsidRPr="00BA48C1" w:rsidRDefault="0004686E" w:rsidP="00805FB6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  <w:r w:rsidRPr="00BA48C1">
        <w:rPr>
          <w:bCs/>
          <w:color w:val="000000"/>
          <w:sz w:val="24"/>
          <w:szCs w:val="24"/>
          <w:lang w:eastAsia="lt-LT"/>
        </w:rPr>
        <w:t>El. p.: lrt@lrt.lt</w:t>
      </w:r>
    </w:p>
    <w:p w14:paraId="05B2A0A8" w14:textId="77777777" w:rsidR="00DF23C2" w:rsidRPr="00BA48C1" w:rsidRDefault="00DF23C2" w:rsidP="00441571">
      <w:pPr>
        <w:spacing w:line="360" w:lineRule="auto"/>
        <w:jc w:val="both"/>
        <w:rPr>
          <w:color w:val="000000"/>
          <w:sz w:val="24"/>
          <w:szCs w:val="24"/>
          <w:lang w:eastAsia="lt-LT"/>
        </w:rPr>
      </w:pPr>
    </w:p>
    <w:p w14:paraId="77A0C545" w14:textId="77777777" w:rsidR="00470CCE" w:rsidRPr="00BA48C1" w:rsidRDefault="0004686E" w:rsidP="00441571">
      <w:pPr>
        <w:spacing w:line="360" w:lineRule="auto"/>
        <w:jc w:val="both"/>
        <w:rPr>
          <w:b/>
          <w:color w:val="000000"/>
          <w:sz w:val="24"/>
          <w:szCs w:val="24"/>
          <w:lang w:eastAsia="lt-LT"/>
        </w:rPr>
      </w:pPr>
      <w:r w:rsidRPr="00BA48C1">
        <w:rPr>
          <w:b/>
          <w:color w:val="000000"/>
          <w:sz w:val="24"/>
          <w:szCs w:val="24"/>
          <w:lang w:eastAsia="lt-LT"/>
        </w:rPr>
        <w:t>SPRENDIMAS DĖL SUTIKIMO VYKDYTI PIRKIMĄ NESKELBIAMŲ DERYBŲ BŪDU</w:t>
      </w:r>
    </w:p>
    <w:p w14:paraId="7691BA92" w14:textId="77777777" w:rsidR="00470CCE" w:rsidRPr="00BA48C1" w:rsidRDefault="00470CCE" w:rsidP="00470CCE">
      <w:pPr>
        <w:spacing w:line="360" w:lineRule="auto"/>
        <w:jc w:val="both"/>
        <w:rPr>
          <w:bCs/>
          <w:color w:val="FF0000"/>
          <w:sz w:val="24"/>
          <w:szCs w:val="24"/>
          <w:lang w:eastAsia="lt-LT"/>
        </w:rPr>
      </w:pPr>
    </w:p>
    <w:p w14:paraId="46F4EB1C" w14:textId="3735E5DA" w:rsidR="00470CCE" w:rsidRPr="00BA48C1" w:rsidRDefault="00470CCE" w:rsidP="00D003C1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  <w:r w:rsidRPr="00BA48C1">
        <w:rPr>
          <w:bCs/>
          <w:color w:val="000000" w:themeColor="text1"/>
          <w:sz w:val="24"/>
          <w:szCs w:val="24"/>
          <w:lang w:eastAsia="lt-LT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F25BF6" w:rsidRPr="00BA48C1">
        <w:rPr>
          <w:bCs/>
          <w:color w:val="000000" w:themeColor="text1"/>
          <w:sz w:val="24"/>
          <w:szCs w:val="24"/>
          <w:lang w:eastAsia="lt-LT"/>
        </w:rPr>
        <w:t>VšĮ Lietuvos nacionalinio radijo ir televizijos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 (toliau – Perkančioji organizacija) prašymą sutikti </w:t>
      </w:r>
      <w:r w:rsidR="00F25BF6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dokumentų valdymo sistemos „Doclogix“ vystymo</w:t>
      </w:r>
      <w:r w:rsidR="00EE1B48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, priežiūros</w:t>
      </w:r>
      <w:r w:rsidR="00EF1B39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C644A6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paslaugų</w:t>
      </w:r>
      <w:r w:rsidR="00F668E2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E1B48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 xml:space="preserve">bei licencijų nuomos ir naujinimo </w:t>
      </w:r>
      <w:r w:rsidR="00F668E2" w:rsidRPr="00BA48C1">
        <w:rPr>
          <w:i/>
          <w:iCs/>
          <w:sz w:val="24"/>
          <w:szCs w:val="24"/>
        </w:rPr>
        <w:t>(pirkimo objekto kodas pagal BVPŽ 72260000-5 „Su programine įranga susijusios paslaugos“)</w:t>
      </w:r>
      <w:r w:rsidR="00EF1B39" w:rsidRPr="00BA48C1">
        <w:rPr>
          <w:sz w:val="24"/>
          <w:szCs w:val="24"/>
        </w:rPr>
        <w:t xml:space="preserve"> </w:t>
      </w:r>
      <w:r w:rsidR="00F25BF6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viešąjį pirkimą</w:t>
      </w:r>
      <w:r w:rsidR="00F25BF6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BA48C1">
        <w:rPr>
          <w:bCs/>
          <w:color w:val="000000" w:themeColor="text1"/>
          <w:sz w:val="24"/>
          <w:szCs w:val="24"/>
          <w:lang w:eastAsia="lt-LT"/>
        </w:rPr>
        <w:t>(toliau – Pirkimas) vykdyti neskelbiamų derybų būdu, vadovaujantis Įstatymo 71 straipsnio 1 dalies 2 punkto (c) papunkčio nuostatomis.</w:t>
      </w:r>
    </w:p>
    <w:p w14:paraId="74B7A03C" w14:textId="0C2FF321" w:rsidR="00734312" w:rsidRPr="00BA48C1" w:rsidRDefault="00D36EA3" w:rsidP="00BC2368">
      <w:pPr>
        <w:ind w:firstLine="720"/>
        <w:jc w:val="both"/>
        <w:rPr>
          <w:bCs/>
          <w:color w:val="000000" w:themeColor="text1"/>
          <w:sz w:val="24"/>
          <w:szCs w:val="24"/>
          <w:lang w:eastAsia="lt-LT"/>
        </w:rPr>
      </w:pPr>
      <w:r w:rsidRPr="00BA48C1">
        <w:rPr>
          <w:bCs/>
          <w:color w:val="000000" w:themeColor="text1"/>
          <w:sz w:val="24"/>
          <w:szCs w:val="24"/>
          <w:lang w:eastAsia="lt-LT"/>
        </w:rPr>
        <w:t>Iš pateiktų dokumentų nustatyta, kad Perkančioji organizacija naudojasi dokumentų valdymo sistema „Doclogix“ (toliau – Sistema) su</w:t>
      </w:r>
      <w:r w:rsidR="00BC2368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darbo vietų licencijomis. Atsižvelgiant į tai, kad Sistema daugiau kaip 8 metus nebuvo naujinta,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Perkančioji organizacija 2017 m. balandžio 27 d. sutarties pagrindu iš tiekėjo UAB „DocLogix“ 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 xml:space="preserve">(toliau – Tiekėjas)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įsigijo </w:t>
      </w:r>
      <w:r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Sistemos</w:t>
      </w:r>
      <w:r w:rsidR="00EE1B48" w:rsidRPr="00BA48C1">
        <w:rPr>
          <w:bCs/>
          <w:i/>
          <w:iCs/>
          <w:color w:val="000000" w:themeColor="text1"/>
          <w:sz w:val="24"/>
          <w:szCs w:val="24"/>
          <w:lang w:eastAsia="lt-LT"/>
        </w:rPr>
        <w:t xml:space="preserve"> atnaujinimo ir palaikymo paslaugas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,</w:t>
      </w:r>
      <w:r w:rsid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kuri</w:t>
      </w:r>
      <w:r w:rsidRPr="00BA48C1">
        <w:rPr>
          <w:bCs/>
          <w:color w:val="000000" w:themeColor="text1"/>
          <w:sz w:val="24"/>
          <w:szCs w:val="24"/>
          <w:lang w:eastAsia="lt-LT"/>
        </w:rPr>
        <w:t>os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ap</w:t>
      </w:r>
      <w:r w:rsidRPr="00BA48C1">
        <w:rPr>
          <w:bCs/>
          <w:color w:val="000000" w:themeColor="text1"/>
          <w:sz w:val="24"/>
          <w:szCs w:val="24"/>
          <w:lang w:eastAsia="lt-LT"/>
        </w:rPr>
        <w:t>ėmė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:</w:t>
      </w:r>
      <w:r w:rsid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BA48C1">
        <w:rPr>
          <w:bCs/>
          <w:color w:val="000000" w:themeColor="text1"/>
          <w:sz w:val="24"/>
          <w:szCs w:val="24"/>
          <w:lang w:eastAsia="lt-LT"/>
        </w:rPr>
        <w:t>Sistemos</w:t>
      </w:r>
      <w:r w:rsidR="00307F3C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licencijų naujinim</w:t>
      </w:r>
      <w:r w:rsidRPr="00BA48C1">
        <w:rPr>
          <w:bCs/>
          <w:color w:val="000000" w:themeColor="text1"/>
          <w:sz w:val="24"/>
          <w:szCs w:val="24"/>
          <w:lang w:eastAsia="lt-LT"/>
        </w:rPr>
        <w:t>ą,</w:t>
      </w:r>
      <w:r w:rsidR="00307F3C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licencijų praplėtim</w:t>
      </w:r>
      <w:r w:rsidRPr="00BA48C1">
        <w:rPr>
          <w:bCs/>
          <w:color w:val="000000" w:themeColor="text1"/>
          <w:sz w:val="24"/>
          <w:szCs w:val="24"/>
          <w:lang w:eastAsia="lt-LT"/>
        </w:rPr>
        <w:t>ą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, S</w:t>
      </w:r>
      <w:r w:rsidRPr="00BA48C1">
        <w:rPr>
          <w:bCs/>
          <w:color w:val="000000" w:themeColor="text1"/>
          <w:sz w:val="24"/>
          <w:szCs w:val="24"/>
          <w:lang w:eastAsia="lt-LT"/>
        </w:rPr>
        <w:t>istemos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funkcionalumo praplėtim</w:t>
      </w:r>
      <w:r w:rsidRPr="00BA48C1">
        <w:rPr>
          <w:bCs/>
          <w:color w:val="000000" w:themeColor="text1"/>
          <w:sz w:val="24"/>
          <w:szCs w:val="24"/>
          <w:lang w:eastAsia="lt-LT"/>
        </w:rPr>
        <w:t>ą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ir palaikym</w:t>
      </w:r>
      <w:r w:rsidRPr="00BA48C1">
        <w:rPr>
          <w:bCs/>
          <w:color w:val="000000" w:themeColor="text1"/>
          <w:sz w:val="24"/>
          <w:szCs w:val="24"/>
          <w:lang w:eastAsia="lt-LT"/>
        </w:rPr>
        <w:t>ą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BA48C1">
        <w:rPr>
          <w:bCs/>
          <w:color w:val="000000" w:themeColor="text1"/>
          <w:sz w:val="24"/>
          <w:szCs w:val="24"/>
          <w:lang w:eastAsia="lt-LT"/>
        </w:rPr>
        <w:t>bei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garantij</w:t>
      </w:r>
      <w:r w:rsidRPr="00BA48C1">
        <w:rPr>
          <w:bCs/>
          <w:color w:val="000000" w:themeColor="text1"/>
          <w:sz w:val="24"/>
          <w:szCs w:val="24"/>
          <w:lang w:eastAsia="lt-LT"/>
        </w:rPr>
        <w:t>ą</w:t>
      </w:r>
      <w:r w:rsidR="00EE1B48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1"/>
      </w:r>
      <w:r w:rsidRPr="00BA48C1">
        <w:rPr>
          <w:bCs/>
          <w:color w:val="000000" w:themeColor="text1"/>
          <w:sz w:val="24"/>
          <w:szCs w:val="24"/>
          <w:lang w:eastAsia="lt-LT"/>
        </w:rPr>
        <w:t>.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 Perkančioji organizacija nurodo, kad 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 xml:space="preserve">tik šis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Tiekėjas 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>gali suteikti S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istemos </w:t>
      </w:r>
      <w:r w:rsidR="0013470D">
        <w:rPr>
          <w:bCs/>
          <w:color w:val="000000" w:themeColor="text1"/>
          <w:sz w:val="24"/>
          <w:szCs w:val="24"/>
          <w:lang w:eastAsia="lt-LT"/>
        </w:rPr>
        <w:t xml:space="preserve">vystymo, </w:t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>priežiūr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>os ir palaikymo paslaugas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>, kadangi Tiekėjas yra šios programinės įrangos autorius, taip pat yra ir programinės įrangos „DocLogix“ platformos pagrindu sukurtų specializuotų įrankių autorius</w:t>
      </w:r>
      <w:r w:rsidR="00AE6DE8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2"/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. Tiekėjui </w:t>
      </w:r>
      <w:bookmarkStart w:id="2" w:name="_Hlk37755426"/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priklauso visos </w:t>
      </w:r>
      <w:r w:rsidR="00AE6DE8" w:rsidRPr="00BA48C1">
        <w:rPr>
          <w:bCs/>
          <w:color w:val="000000" w:themeColor="text1"/>
          <w:sz w:val="24"/>
          <w:szCs w:val="24"/>
          <w:lang w:eastAsia="lt-LT"/>
        </w:rPr>
        <w:t xml:space="preserve">išimtinės neturtinės ir 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>turtinės teisės į originalią jo sukurtą DocLogix sistemą,</w:t>
      </w:r>
      <w:bookmarkEnd w:id="2"/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 todėl niekas kitas tarptautinėje rinkoje negali, nesinaudojant jo sistema, licencijų atnaujinimo platforma, be Tiekėjo leidimo vystyti </w:t>
      </w:r>
      <w:r w:rsidR="00A50D11" w:rsidRPr="00BA48C1">
        <w:rPr>
          <w:bCs/>
          <w:color w:val="000000" w:themeColor="text1"/>
          <w:sz w:val="24"/>
          <w:szCs w:val="24"/>
          <w:lang w:eastAsia="lt-LT"/>
        </w:rPr>
        <w:t>S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istemos, įskaitant ir </w:t>
      </w:r>
      <w:r w:rsidR="00A50D11" w:rsidRPr="00BA48C1">
        <w:rPr>
          <w:bCs/>
          <w:color w:val="000000" w:themeColor="text1"/>
          <w:sz w:val="24"/>
          <w:szCs w:val="24"/>
          <w:lang w:eastAsia="lt-LT"/>
        </w:rPr>
        <w:t xml:space="preserve">Tiekėjo 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>partnerius,</w:t>
      </w:r>
      <w:r w:rsidR="00E44EE3" w:rsidRPr="00BA48C1">
        <w:rPr>
          <w:sz w:val="24"/>
          <w:szCs w:val="24"/>
          <w:lang w:eastAsia="lt-LT"/>
        </w:rPr>
        <w:t xml:space="preserve"> kuriems yra suteikta teisė 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tik pardavinėti standartines licencijas priskirtoje teritorijoje (valstybėje, kurioje registruota partnerio buveinė) su gamykliniu </w:t>
      </w:r>
      <w:r w:rsidR="00A50D11" w:rsidRPr="00BA48C1">
        <w:rPr>
          <w:bCs/>
          <w:color w:val="000000" w:themeColor="text1"/>
          <w:sz w:val="24"/>
          <w:szCs w:val="24"/>
          <w:lang w:eastAsia="lt-LT"/>
        </w:rPr>
        <w:t>Tiekėjo</w:t>
      </w:r>
      <w:r w:rsidR="00E44EE3" w:rsidRPr="00BA48C1">
        <w:rPr>
          <w:bCs/>
          <w:color w:val="000000" w:themeColor="text1"/>
          <w:sz w:val="24"/>
          <w:szCs w:val="24"/>
          <w:lang w:eastAsia="lt-LT"/>
        </w:rPr>
        <w:t xml:space="preserve"> palaikymu, t. y. partneriams nesuteikta teisės vystyti, modifikuoti programinės įrangos</w:t>
      </w:r>
      <w:r w:rsidR="00EE1B48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3"/>
      </w:r>
      <w:r w:rsidR="00EE1B48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4"/>
      </w:r>
      <w:r w:rsidR="00EE1B48" w:rsidRPr="00BA48C1">
        <w:rPr>
          <w:bCs/>
          <w:color w:val="000000" w:themeColor="text1"/>
          <w:sz w:val="24"/>
          <w:szCs w:val="24"/>
          <w:lang w:eastAsia="lt-LT"/>
        </w:rPr>
        <w:t xml:space="preserve">. </w:t>
      </w:r>
      <w:r w:rsidR="00470CCE" w:rsidRPr="00BA48C1">
        <w:rPr>
          <w:bCs/>
          <w:color w:val="000000" w:themeColor="text1"/>
          <w:sz w:val="24"/>
          <w:szCs w:val="24"/>
          <w:lang w:eastAsia="lt-LT"/>
        </w:rPr>
        <w:t>Perkančio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>ji</w:t>
      </w:r>
      <w:r w:rsidR="00470CCE" w:rsidRPr="00BA48C1">
        <w:rPr>
          <w:bCs/>
          <w:color w:val="000000" w:themeColor="text1"/>
          <w:sz w:val="24"/>
          <w:szCs w:val="24"/>
          <w:lang w:eastAsia="lt-LT"/>
        </w:rPr>
        <w:t xml:space="preserve"> organizaci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>ja, įvertinusi 2020 m. pirkimų plane esančius duomenis apie to paties tipo paslaugų bendrą vertę</w:t>
      </w:r>
      <w:r w:rsidR="00575985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5"/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 xml:space="preserve">, taip pat atsižvelgdama į tai, kad </w:t>
      </w:r>
      <w:r w:rsidR="00F668E2" w:rsidRPr="00BA48C1">
        <w:rPr>
          <w:bCs/>
          <w:color w:val="000000" w:themeColor="text1"/>
          <w:sz w:val="24"/>
          <w:szCs w:val="24"/>
          <w:lang w:eastAsia="lt-LT"/>
        </w:rPr>
        <w:t xml:space="preserve">Tiekėjas 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 xml:space="preserve">yra vienintelė įmonė, galinti suteikti </w:t>
      </w:r>
      <w:r w:rsidR="0013470D">
        <w:rPr>
          <w:bCs/>
          <w:color w:val="000000" w:themeColor="text1"/>
          <w:sz w:val="24"/>
          <w:szCs w:val="24"/>
          <w:lang w:eastAsia="lt-LT"/>
        </w:rPr>
        <w:t>P</w:t>
      </w:r>
      <w:r w:rsidR="00AE6DE8" w:rsidRPr="00BA48C1">
        <w:rPr>
          <w:bCs/>
          <w:color w:val="000000" w:themeColor="text1"/>
          <w:sz w:val="24"/>
          <w:szCs w:val="24"/>
          <w:lang w:eastAsia="lt-LT"/>
        </w:rPr>
        <w:t>irkimu siekiamas įsigyti paslaugas</w:t>
      </w:r>
      <w:r w:rsidR="0013470D">
        <w:rPr>
          <w:bCs/>
          <w:color w:val="000000" w:themeColor="text1"/>
          <w:sz w:val="24"/>
          <w:szCs w:val="24"/>
          <w:lang w:eastAsia="lt-LT"/>
        </w:rPr>
        <w:t>,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 xml:space="preserve"> priėmė sprendimą 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>P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>irkimą vykdyti neskelbiamų derybų būdu</w:t>
      </w:r>
      <w:r w:rsidR="00AE6DE8" w:rsidRPr="00BA48C1">
        <w:rPr>
          <w:bCs/>
          <w:color w:val="000000" w:themeColor="text1"/>
          <w:sz w:val="24"/>
          <w:szCs w:val="24"/>
          <w:lang w:eastAsia="lt-LT"/>
        </w:rPr>
        <w:t>,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37038F" w:rsidRPr="00BA48C1">
        <w:rPr>
          <w:bCs/>
          <w:color w:val="000000" w:themeColor="text1"/>
          <w:sz w:val="24"/>
          <w:szCs w:val="24"/>
          <w:lang w:eastAsia="lt-LT"/>
        </w:rPr>
        <w:t>vadovaujantis Į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>statymo</w:t>
      </w:r>
      <w:r w:rsid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t xml:space="preserve">71 straipsnio 1 dalies </w:t>
      </w:r>
      <w:r w:rsidR="00D3464D" w:rsidRPr="00BA48C1">
        <w:rPr>
          <w:bCs/>
          <w:color w:val="000000" w:themeColor="text1"/>
          <w:sz w:val="24"/>
          <w:szCs w:val="24"/>
          <w:lang w:eastAsia="lt-LT"/>
        </w:rPr>
        <w:lastRenderedPageBreak/>
        <w:t>2 punkto c papunktyje nurodytu pagrindu (kai paslaugas teikti gali tik konkretus tiekėjas dėl išimtinių teisių, įskaitant intelektinės nuosavybės teises, apsaugos), kreipiantis į</w:t>
      </w:r>
      <w:r w:rsidR="00F668E2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AE6DE8" w:rsidRPr="00BA48C1">
        <w:rPr>
          <w:bCs/>
          <w:color w:val="000000" w:themeColor="text1"/>
          <w:sz w:val="24"/>
          <w:szCs w:val="24"/>
          <w:lang w:eastAsia="lt-LT"/>
        </w:rPr>
        <w:t xml:space="preserve">konkretų tiekėją </w:t>
      </w:r>
      <w:r w:rsidR="00AE6DE8" w:rsidRPr="00BA48C1">
        <w:rPr>
          <w:bCs/>
          <w:sz w:val="24"/>
          <w:szCs w:val="24"/>
        </w:rPr>
        <w:t>ir prašo Tarnybos sutikimo dėl tokio pirkimo būdo pasirinkimo</w:t>
      </w:r>
      <w:r w:rsidR="00F668E2" w:rsidRPr="00BA48C1">
        <w:rPr>
          <w:rStyle w:val="FootnoteReference"/>
          <w:bCs/>
          <w:color w:val="000000" w:themeColor="text1"/>
          <w:sz w:val="24"/>
          <w:szCs w:val="24"/>
          <w:lang w:eastAsia="lt-LT"/>
        </w:rPr>
        <w:footnoteReference w:id="6"/>
      </w:r>
      <w:r w:rsidR="00E44EE3" w:rsidRPr="00BA48C1">
        <w:rPr>
          <w:bCs/>
          <w:sz w:val="24"/>
          <w:szCs w:val="24"/>
        </w:rPr>
        <w:t xml:space="preserve">. </w:t>
      </w:r>
      <w:r w:rsidR="00E84B1E">
        <w:rPr>
          <w:bCs/>
          <w:color w:val="000000" w:themeColor="text1"/>
          <w:sz w:val="24"/>
          <w:szCs w:val="24"/>
          <w:lang w:eastAsia="lt-LT"/>
        </w:rPr>
        <w:t>Prašyme nurodoma, kad n</w:t>
      </w:r>
      <w:r w:rsidR="00C53196" w:rsidRPr="00BA48C1">
        <w:rPr>
          <w:bCs/>
          <w:color w:val="000000" w:themeColor="text1"/>
          <w:sz w:val="24"/>
          <w:szCs w:val="24"/>
          <w:lang w:eastAsia="lt-LT"/>
        </w:rPr>
        <w:t>umatomos sudaryti Pirkimo sutarties vertė – 70 000,00 Eur be PVM,</w:t>
      </w:r>
      <w:r w:rsidR="00A859F6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="00C53196" w:rsidRPr="00BA48C1">
        <w:rPr>
          <w:bCs/>
          <w:color w:val="000000" w:themeColor="text1"/>
          <w:sz w:val="24"/>
          <w:szCs w:val="24"/>
          <w:lang w:eastAsia="lt-LT"/>
        </w:rPr>
        <w:t>Pirkim</w:t>
      </w:r>
      <w:r w:rsidR="00A859F6" w:rsidRPr="00BA48C1">
        <w:rPr>
          <w:bCs/>
          <w:color w:val="000000" w:themeColor="text1"/>
          <w:sz w:val="24"/>
          <w:szCs w:val="24"/>
          <w:lang w:eastAsia="lt-LT"/>
        </w:rPr>
        <w:t>as</w:t>
      </w:r>
      <w:r w:rsidR="00C53196" w:rsidRPr="00BA48C1">
        <w:rPr>
          <w:bCs/>
          <w:color w:val="000000" w:themeColor="text1"/>
          <w:sz w:val="24"/>
          <w:szCs w:val="24"/>
          <w:lang w:eastAsia="lt-LT"/>
        </w:rPr>
        <w:t xml:space="preserve"> finans</w:t>
      </w:r>
      <w:r w:rsidR="00A859F6" w:rsidRPr="00BA48C1">
        <w:rPr>
          <w:bCs/>
          <w:color w:val="000000" w:themeColor="text1"/>
          <w:sz w:val="24"/>
          <w:szCs w:val="24"/>
          <w:lang w:eastAsia="lt-LT"/>
        </w:rPr>
        <w:t xml:space="preserve">uojamas iš </w:t>
      </w:r>
      <w:r w:rsidR="00C53196" w:rsidRPr="00BA48C1">
        <w:rPr>
          <w:bCs/>
          <w:color w:val="000000" w:themeColor="text1"/>
          <w:sz w:val="24"/>
          <w:szCs w:val="24"/>
          <w:lang w:eastAsia="lt-LT"/>
        </w:rPr>
        <w:t>biudžeto lėš</w:t>
      </w:r>
      <w:r w:rsidR="00A859F6" w:rsidRPr="00BA48C1">
        <w:rPr>
          <w:bCs/>
          <w:color w:val="000000" w:themeColor="text1"/>
          <w:sz w:val="24"/>
          <w:szCs w:val="24"/>
          <w:lang w:eastAsia="lt-LT"/>
        </w:rPr>
        <w:t>ų</w:t>
      </w:r>
      <w:r w:rsidR="00C53196" w:rsidRPr="00BA48C1">
        <w:rPr>
          <w:bCs/>
          <w:color w:val="000000" w:themeColor="text1"/>
          <w:sz w:val="24"/>
          <w:szCs w:val="24"/>
          <w:lang w:eastAsia="lt-LT"/>
        </w:rPr>
        <w:t>.</w:t>
      </w:r>
    </w:p>
    <w:p w14:paraId="054DE694" w14:textId="7628317A" w:rsidR="00470CCE" w:rsidRPr="00BA48C1" w:rsidRDefault="00470CCE" w:rsidP="00D003C1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  <w:r w:rsidRPr="00BA48C1">
        <w:rPr>
          <w:bCs/>
          <w:color w:val="000000" w:themeColor="text1"/>
          <w:sz w:val="24"/>
          <w:szCs w:val="24"/>
          <w:lang w:eastAsia="lt-LT"/>
        </w:rPr>
        <w:t xml:space="preserve">Įstatymo 71 straipsnio 1 dalies 2 punkto (c) papunkčio nuostatose įtvirtinta, kad prekės, paslaugos ar darbai neskelbiamų derybų būdu gali būti perkamos: </w:t>
      </w:r>
      <w:r w:rsidRPr="00BA48C1">
        <w:rPr>
          <w:bCs/>
          <w:i/>
          <w:iCs/>
          <w:color w:val="000000" w:themeColor="text1"/>
          <w:sz w:val="24"/>
          <w:szCs w:val="24"/>
          <w:lang w:eastAsia="lt-LT"/>
        </w:rPr>
        <w:t>„jeigu prekes pateikti, paslaugas teikti ar darbus atlikti gali tik konkretus tiekėjas dėl vienos iš šių priežasčių: &lt;...&gt; c) dėl išimtinių teisių, įskaitant intelektinės nuosavybės teises, apsaugos &lt;...&gt;“</w:t>
      </w:r>
      <w:r w:rsidRPr="00BA48C1">
        <w:rPr>
          <w:bCs/>
          <w:color w:val="000000" w:themeColor="text1"/>
          <w:sz w:val="24"/>
          <w:szCs w:val="24"/>
          <w:lang w:eastAsia="lt-LT"/>
        </w:rPr>
        <w:t>.</w:t>
      </w:r>
    </w:p>
    <w:p w14:paraId="21B25242" w14:textId="1C037A75" w:rsidR="000E11A2" w:rsidRPr="00BA48C1" w:rsidRDefault="00D003C1" w:rsidP="000E11A2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  <w:r w:rsidRPr="00BA48C1">
        <w:rPr>
          <w:bCs/>
          <w:color w:val="000000" w:themeColor="text1"/>
          <w:sz w:val="24"/>
          <w:szCs w:val="24"/>
          <w:lang w:eastAsia="lt-LT"/>
        </w:rPr>
        <w:t xml:space="preserve">Perkančiosios organizacijos prašyme nurodytos aplinkybės ir pateikti dokumentai patvirtina, jog </w:t>
      </w:r>
      <w:r w:rsidR="00E84B1E">
        <w:rPr>
          <w:bCs/>
          <w:color w:val="000000" w:themeColor="text1"/>
          <w:sz w:val="24"/>
          <w:szCs w:val="24"/>
          <w:lang w:eastAsia="lt-LT"/>
        </w:rPr>
        <w:t>Pirkimu siekiamas įsigyti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 paslaugas gali suteikti tik konkretus tiekėjas, kuris yra </w:t>
      </w:r>
      <w:r w:rsidR="00AE6DE8" w:rsidRPr="00BA48C1">
        <w:rPr>
          <w:bCs/>
          <w:color w:val="000000" w:themeColor="text1"/>
          <w:sz w:val="24"/>
          <w:szCs w:val="24"/>
          <w:lang w:eastAsia="lt-LT"/>
        </w:rPr>
        <w:t>šios S</w:t>
      </w:r>
      <w:r w:rsidRPr="00BA48C1">
        <w:rPr>
          <w:bCs/>
          <w:color w:val="000000" w:themeColor="text1"/>
          <w:sz w:val="24"/>
          <w:szCs w:val="24"/>
          <w:lang w:eastAsia="lt-LT"/>
        </w:rPr>
        <w:t>istemos autorius, todėl tik jis gali prižiūrėti, palaikyti, plėsti Doclogix programinę įrangą bei vykdyti jos licencijų atnaujinimą</w:t>
      </w:r>
      <w:r w:rsidR="00FD722C" w:rsidRPr="00BA48C1">
        <w:rPr>
          <w:bCs/>
          <w:color w:val="000000" w:themeColor="text1"/>
          <w:sz w:val="24"/>
          <w:szCs w:val="24"/>
          <w:lang w:eastAsia="lt-LT"/>
        </w:rPr>
        <w:t xml:space="preserve">, </w:t>
      </w:r>
      <w:r w:rsidRPr="00BA48C1">
        <w:rPr>
          <w:bCs/>
          <w:color w:val="000000" w:themeColor="text1"/>
          <w:sz w:val="24"/>
          <w:szCs w:val="24"/>
          <w:lang w:eastAsia="lt-LT"/>
        </w:rPr>
        <w:t>k</w:t>
      </w:r>
      <w:r w:rsidR="0013470D">
        <w:rPr>
          <w:bCs/>
          <w:color w:val="000000" w:themeColor="text1"/>
          <w:sz w:val="24"/>
          <w:szCs w:val="24"/>
          <w:lang w:eastAsia="lt-LT"/>
        </w:rPr>
        <w:t xml:space="preserve">adangi tik jam </w:t>
      </w:r>
      <w:r w:rsidR="00FD722C" w:rsidRPr="00BA48C1">
        <w:rPr>
          <w:bCs/>
          <w:color w:val="000000" w:themeColor="text1"/>
          <w:sz w:val="24"/>
          <w:szCs w:val="24"/>
          <w:lang w:eastAsia="lt-LT"/>
        </w:rPr>
        <w:t>priklauso visos išimtinės neturtinės ir turtinės teisės į sukurtą Sistemą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, t. y. nagrinėjamu atveju yra tenkinamos neskelbiamų derybų sąlygos, nurodytos Įstatymo 71 straipsnio 1 dalies 2 punkto (c) papunktyje. Įvertinusi aukščiau </w:t>
      </w:r>
      <w:r w:rsidR="00E84B1E">
        <w:rPr>
          <w:bCs/>
          <w:color w:val="000000" w:themeColor="text1"/>
          <w:sz w:val="24"/>
          <w:szCs w:val="24"/>
          <w:lang w:eastAsia="lt-LT"/>
        </w:rPr>
        <w:t>nurodytą</w:t>
      </w:r>
      <w:r w:rsidR="00E84B1E" w:rsidRPr="00BA48C1">
        <w:rPr>
          <w:bCs/>
          <w:color w:val="000000" w:themeColor="text1"/>
          <w:sz w:val="24"/>
          <w:szCs w:val="24"/>
          <w:lang w:eastAsia="lt-LT"/>
        </w:rPr>
        <w:t xml:space="preserve"> 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bei vadovaudamasi Įstatymo 95 straipsnio 2 dalies 6 punkto nuostatomis, </w:t>
      </w:r>
      <w:r w:rsidRPr="00BA48C1">
        <w:rPr>
          <w:b/>
          <w:color w:val="000000" w:themeColor="text1"/>
          <w:sz w:val="24"/>
          <w:szCs w:val="24"/>
          <w:lang w:eastAsia="lt-LT"/>
        </w:rPr>
        <w:t>Tarnyba sutinka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, kad </w:t>
      </w:r>
      <w:r w:rsidR="00FD722C" w:rsidRPr="00BA48C1">
        <w:rPr>
          <w:bCs/>
          <w:color w:val="000000" w:themeColor="text1"/>
          <w:sz w:val="24"/>
          <w:szCs w:val="24"/>
          <w:lang w:eastAsia="lt-LT"/>
        </w:rPr>
        <w:t xml:space="preserve">Perkančioji </w:t>
      </w:r>
      <w:r w:rsidRPr="00BA48C1">
        <w:rPr>
          <w:bCs/>
          <w:color w:val="000000" w:themeColor="text1"/>
          <w:sz w:val="24"/>
          <w:szCs w:val="24"/>
          <w:lang w:eastAsia="lt-LT"/>
        </w:rPr>
        <w:t xml:space="preserve">organizacija Pirkimą vykdytų neskelbiamų derybų būdu, vadovaujantis Įstatymo 71 straipsnio 1 dalies 2 punkto (c) papunkčio nuostatomis, į derybas kviečiant </w:t>
      </w:r>
      <w:r w:rsidR="00FD722C" w:rsidRPr="00BA48C1">
        <w:rPr>
          <w:bCs/>
          <w:color w:val="000000" w:themeColor="text1"/>
          <w:sz w:val="24"/>
          <w:szCs w:val="24"/>
          <w:lang w:eastAsia="lt-LT"/>
        </w:rPr>
        <w:t xml:space="preserve">konkretų tiekėją – </w:t>
      </w:r>
      <w:r w:rsidRPr="00BA48C1">
        <w:rPr>
          <w:bCs/>
          <w:color w:val="000000" w:themeColor="text1"/>
          <w:sz w:val="24"/>
          <w:szCs w:val="24"/>
          <w:lang w:eastAsia="lt-LT"/>
        </w:rPr>
        <w:t>UAB „Doclogix“.</w:t>
      </w:r>
    </w:p>
    <w:p w14:paraId="1B1A9956" w14:textId="77777777" w:rsidR="000E11A2" w:rsidRPr="00BA48C1" w:rsidRDefault="000E11A2" w:rsidP="000E11A2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</w:p>
    <w:p w14:paraId="510229DA" w14:textId="77777777" w:rsidR="000E11A2" w:rsidRPr="00BA48C1" w:rsidRDefault="000E11A2" w:rsidP="000E11A2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</w:p>
    <w:p w14:paraId="07BF7C43" w14:textId="77777777" w:rsidR="000E11A2" w:rsidRPr="00BA48C1" w:rsidRDefault="000E11A2" w:rsidP="000E11A2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</w:p>
    <w:p w14:paraId="1C5E7245" w14:textId="77777777" w:rsidR="000E11A2" w:rsidRPr="00BA48C1" w:rsidRDefault="000E11A2" w:rsidP="000E11A2">
      <w:pPr>
        <w:ind w:firstLine="680"/>
        <w:jc w:val="both"/>
        <w:rPr>
          <w:bCs/>
          <w:color w:val="000000" w:themeColor="text1"/>
          <w:sz w:val="24"/>
          <w:szCs w:val="24"/>
          <w:lang w:eastAsia="lt-LT"/>
        </w:rPr>
      </w:pPr>
    </w:p>
    <w:p w14:paraId="56C72E65" w14:textId="68CD05A5" w:rsidR="00470CCE" w:rsidRPr="00BA48C1" w:rsidRDefault="00470CCE" w:rsidP="000E11A2">
      <w:pPr>
        <w:jc w:val="both"/>
        <w:rPr>
          <w:bCs/>
          <w:color w:val="000000" w:themeColor="text1"/>
          <w:sz w:val="24"/>
          <w:szCs w:val="24"/>
          <w:lang w:eastAsia="lt-LT"/>
        </w:rPr>
      </w:pPr>
      <w:r w:rsidRPr="00BA48C1">
        <w:rPr>
          <w:rFonts w:eastAsia="Calibri"/>
          <w:sz w:val="24"/>
          <w:szCs w:val="24"/>
        </w:rPr>
        <w:t xml:space="preserve">Direktoriaus pavaduotoja, </w:t>
      </w:r>
    </w:p>
    <w:p w14:paraId="324BB42E" w14:textId="77777777" w:rsidR="00470CCE" w:rsidRPr="00BA48C1" w:rsidRDefault="00470CCE" w:rsidP="00470CCE">
      <w:pPr>
        <w:tabs>
          <w:tab w:val="left" w:pos="1134"/>
        </w:tabs>
        <w:jc w:val="both"/>
        <w:rPr>
          <w:sz w:val="24"/>
          <w:szCs w:val="24"/>
        </w:rPr>
      </w:pPr>
      <w:r w:rsidRPr="00BA48C1">
        <w:rPr>
          <w:rFonts w:eastAsia="Calibri"/>
          <w:sz w:val="24"/>
          <w:szCs w:val="24"/>
        </w:rPr>
        <w:t>laikinai atliekanti direktoriaus funkcijas</w:t>
      </w:r>
      <w:r w:rsidRPr="00BA48C1">
        <w:rPr>
          <w:sz w:val="24"/>
          <w:szCs w:val="24"/>
        </w:rPr>
        <w:tab/>
      </w:r>
      <w:r w:rsidRPr="00BA48C1">
        <w:rPr>
          <w:sz w:val="24"/>
          <w:szCs w:val="24"/>
        </w:rPr>
        <w:tab/>
      </w:r>
      <w:r w:rsidRPr="00BA48C1">
        <w:rPr>
          <w:sz w:val="24"/>
          <w:szCs w:val="24"/>
        </w:rPr>
        <w:tab/>
      </w:r>
      <w:r w:rsidRPr="00BA48C1">
        <w:rPr>
          <w:sz w:val="24"/>
          <w:szCs w:val="24"/>
        </w:rPr>
        <w:tab/>
        <w:t xml:space="preserve">  Jovita Petkuvienė </w:t>
      </w:r>
    </w:p>
    <w:p w14:paraId="6BF38574" w14:textId="77777777" w:rsidR="00FD56A5" w:rsidRPr="00BA48C1" w:rsidRDefault="00FD56A5" w:rsidP="00FD56A5">
      <w:pPr>
        <w:rPr>
          <w:sz w:val="24"/>
          <w:szCs w:val="24"/>
        </w:rPr>
      </w:pPr>
    </w:p>
    <w:p w14:paraId="78539FEF" w14:textId="77777777" w:rsidR="00FD56A5" w:rsidRPr="00BA48C1" w:rsidRDefault="00FD56A5" w:rsidP="00FD56A5">
      <w:pPr>
        <w:rPr>
          <w:sz w:val="24"/>
          <w:szCs w:val="24"/>
        </w:rPr>
      </w:pPr>
    </w:p>
    <w:p w14:paraId="3B2B8A23" w14:textId="77777777" w:rsidR="00FD56A5" w:rsidRPr="00BA48C1" w:rsidRDefault="00FD56A5" w:rsidP="00FD56A5">
      <w:pPr>
        <w:rPr>
          <w:sz w:val="24"/>
          <w:szCs w:val="24"/>
        </w:rPr>
      </w:pPr>
    </w:p>
    <w:p w14:paraId="105F335D" w14:textId="77777777" w:rsidR="00FD56A5" w:rsidRPr="00BA48C1" w:rsidRDefault="00FD56A5" w:rsidP="00FD56A5">
      <w:pPr>
        <w:rPr>
          <w:sz w:val="24"/>
          <w:szCs w:val="24"/>
        </w:rPr>
      </w:pPr>
    </w:p>
    <w:p w14:paraId="2F4237AD" w14:textId="77777777" w:rsidR="00FD56A5" w:rsidRPr="00BA48C1" w:rsidRDefault="00FD56A5" w:rsidP="00FD56A5">
      <w:pPr>
        <w:rPr>
          <w:sz w:val="24"/>
          <w:szCs w:val="24"/>
        </w:rPr>
      </w:pPr>
    </w:p>
    <w:p w14:paraId="1A5EA6DD" w14:textId="77777777" w:rsidR="00FD56A5" w:rsidRPr="00BA48C1" w:rsidRDefault="00FD56A5" w:rsidP="00FD56A5">
      <w:pPr>
        <w:rPr>
          <w:sz w:val="24"/>
          <w:szCs w:val="24"/>
        </w:rPr>
      </w:pPr>
    </w:p>
    <w:p w14:paraId="3C343CE9" w14:textId="77777777" w:rsidR="00FD56A5" w:rsidRPr="00BA48C1" w:rsidRDefault="00FD56A5" w:rsidP="00FD56A5">
      <w:pPr>
        <w:rPr>
          <w:sz w:val="24"/>
          <w:szCs w:val="24"/>
        </w:rPr>
      </w:pPr>
    </w:p>
    <w:p w14:paraId="3B117B34" w14:textId="77777777" w:rsidR="00FD56A5" w:rsidRPr="00BA48C1" w:rsidRDefault="00FD56A5" w:rsidP="00FD56A5">
      <w:pPr>
        <w:rPr>
          <w:sz w:val="24"/>
          <w:szCs w:val="24"/>
        </w:rPr>
      </w:pPr>
    </w:p>
    <w:p w14:paraId="28B05B73" w14:textId="77777777" w:rsidR="00FD56A5" w:rsidRPr="00BA48C1" w:rsidRDefault="00FD56A5" w:rsidP="00FD56A5">
      <w:pPr>
        <w:rPr>
          <w:sz w:val="24"/>
          <w:szCs w:val="24"/>
        </w:rPr>
      </w:pPr>
    </w:p>
    <w:p w14:paraId="10B1114A" w14:textId="77777777" w:rsidR="00FD56A5" w:rsidRPr="00BA48C1" w:rsidRDefault="00FD56A5" w:rsidP="00FD56A5">
      <w:pPr>
        <w:rPr>
          <w:sz w:val="24"/>
          <w:szCs w:val="24"/>
        </w:rPr>
      </w:pPr>
    </w:p>
    <w:p w14:paraId="73F0F46F" w14:textId="77777777" w:rsidR="00FD56A5" w:rsidRPr="00BA48C1" w:rsidRDefault="00FD56A5" w:rsidP="00FD56A5">
      <w:pPr>
        <w:rPr>
          <w:sz w:val="24"/>
          <w:szCs w:val="24"/>
        </w:rPr>
      </w:pPr>
    </w:p>
    <w:p w14:paraId="7DDE3B22" w14:textId="77777777" w:rsidR="00FD56A5" w:rsidRPr="00BA48C1" w:rsidRDefault="00FD56A5" w:rsidP="00FD56A5">
      <w:pPr>
        <w:rPr>
          <w:sz w:val="24"/>
          <w:szCs w:val="24"/>
        </w:rPr>
      </w:pPr>
    </w:p>
    <w:p w14:paraId="518F8E72" w14:textId="7464D448" w:rsidR="00FD56A5" w:rsidRPr="00BA48C1" w:rsidRDefault="00B43C80" w:rsidP="00FD56A5">
      <w:pPr>
        <w:rPr>
          <w:sz w:val="24"/>
          <w:szCs w:val="24"/>
        </w:rPr>
      </w:pPr>
      <w:r w:rsidRPr="00BA48C1">
        <w:rPr>
          <w:sz w:val="24"/>
          <w:szCs w:val="24"/>
        </w:rPr>
        <w:t xml:space="preserve">         </w:t>
      </w:r>
    </w:p>
    <w:p w14:paraId="12738292" w14:textId="77777777" w:rsidR="00B43C80" w:rsidRPr="00BA48C1" w:rsidRDefault="00B43C80" w:rsidP="00FD56A5">
      <w:pPr>
        <w:rPr>
          <w:sz w:val="24"/>
          <w:szCs w:val="24"/>
        </w:rPr>
      </w:pPr>
    </w:p>
    <w:p w14:paraId="5B30C5AA" w14:textId="77777777" w:rsidR="00B43C80" w:rsidRPr="00BA48C1" w:rsidRDefault="00B43C80" w:rsidP="00FD56A5">
      <w:pPr>
        <w:rPr>
          <w:sz w:val="24"/>
          <w:szCs w:val="24"/>
        </w:rPr>
      </w:pPr>
    </w:p>
    <w:p w14:paraId="791C002B" w14:textId="77777777" w:rsidR="00B43C80" w:rsidRPr="00BA48C1" w:rsidRDefault="00B43C80" w:rsidP="00FD56A5">
      <w:pPr>
        <w:rPr>
          <w:sz w:val="24"/>
          <w:szCs w:val="24"/>
        </w:rPr>
      </w:pPr>
    </w:p>
    <w:p w14:paraId="423F63AA" w14:textId="77777777" w:rsidR="00B43C80" w:rsidRPr="00BA48C1" w:rsidRDefault="00B43C80" w:rsidP="00FD56A5">
      <w:pPr>
        <w:rPr>
          <w:sz w:val="24"/>
          <w:szCs w:val="24"/>
        </w:rPr>
      </w:pPr>
    </w:p>
    <w:p w14:paraId="14DF35EB" w14:textId="77777777" w:rsidR="00B43C80" w:rsidRPr="00BA48C1" w:rsidRDefault="00B43C80" w:rsidP="00FD56A5">
      <w:pPr>
        <w:rPr>
          <w:sz w:val="24"/>
          <w:szCs w:val="24"/>
        </w:rPr>
      </w:pPr>
    </w:p>
    <w:p w14:paraId="522444F2" w14:textId="77777777" w:rsidR="00B43C80" w:rsidRPr="00BA48C1" w:rsidRDefault="00B43C80" w:rsidP="00FD56A5">
      <w:pPr>
        <w:rPr>
          <w:sz w:val="24"/>
          <w:szCs w:val="24"/>
        </w:rPr>
      </w:pPr>
    </w:p>
    <w:p w14:paraId="5475EA2E" w14:textId="24097E30" w:rsidR="00B43C80" w:rsidRPr="00BA48C1" w:rsidRDefault="00B43C80" w:rsidP="00B43C80">
      <w:pPr>
        <w:jc w:val="right"/>
        <w:rPr>
          <w:sz w:val="24"/>
          <w:szCs w:val="24"/>
        </w:rPr>
      </w:pPr>
    </w:p>
    <w:p w14:paraId="4AA5C0A0" w14:textId="77777777" w:rsidR="00B43C80" w:rsidRPr="00BA48C1" w:rsidRDefault="00B43C80" w:rsidP="00FD56A5">
      <w:pPr>
        <w:rPr>
          <w:sz w:val="24"/>
          <w:szCs w:val="24"/>
        </w:rPr>
      </w:pPr>
    </w:p>
    <w:p w14:paraId="53DB92C4" w14:textId="77777777" w:rsidR="00B43C80" w:rsidRPr="00BA48C1" w:rsidRDefault="00B43C80" w:rsidP="00FD56A5">
      <w:pPr>
        <w:rPr>
          <w:sz w:val="24"/>
          <w:szCs w:val="24"/>
        </w:rPr>
      </w:pPr>
    </w:p>
    <w:p w14:paraId="58E0142E" w14:textId="0FDB76AA" w:rsidR="00B43C80" w:rsidRPr="00BA48C1" w:rsidRDefault="00470CCE" w:rsidP="00470CCE">
      <w:pPr>
        <w:rPr>
          <w:sz w:val="24"/>
          <w:szCs w:val="24"/>
        </w:rPr>
      </w:pPr>
      <w:r w:rsidRPr="00BA48C1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16423CF" wp14:editId="614F2150">
                <wp:simplePos x="0" y="0"/>
                <wp:positionH relativeFrom="margin">
                  <wp:posOffset>0</wp:posOffset>
                </wp:positionH>
                <wp:positionV relativeFrom="page">
                  <wp:posOffset>9185275</wp:posOffset>
                </wp:positionV>
                <wp:extent cx="4552950" cy="237490"/>
                <wp:effectExtent l="0" t="0" r="1905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DB5FC" w14:textId="77777777" w:rsidR="00470CCE" w:rsidRPr="00E87D91" w:rsidRDefault="00470CCE" w:rsidP="00470CCE">
                            <w:pPr>
                              <w:rPr>
                                <w:color w:val="000000"/>
                                <w:szCs w:val="22"/>
                              </w:rPr>
                            </w:pPr>
                            <w:r w:rsidRPr="00C52655">
                              <w:rPr>
                                <w:sz w:val="22"/>
                                <w:szCs w:val="24"/>
                                <w:lang w:val="en-US"/>
                              </w:rPr>
                              <w:t xml:space="preserve">Dovilė </w:t>
                            </w:r>
                            <w:r w:rsidRPr="00E87D91">
                              <w:rPr>
                                <w:sz w:val="22"/>
                                <w:szCs w:val="24"/>
                                <w:lang w:val="en-US"/>
                              </w:rPr>
                              <w:t xml:space="preserve">Gataukytė, tel. (8 5) 219 7017, </w:t>
                            </w:r>
                            <w:r w:rsidRPr="00C52655">
                              <w:rPr>
                                <w:sz w:val="22"/>
                                <w:szCs w:val="24"/>
                                <w:lang w:val="en-US"/>
                              </w:rPr>
                              <w:t>el. p. Dovile.Gataukyte@vpt.lt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423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23.25pt;width:358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" o:allowoverlap="f" stroked="f">
                <v:textbox style="mso-fit-shape-to-text:t">
                  <w:txbxContent>
                    <w:p w14:paraId="751DB5FC" w14:textId="77777777" w:rsidR="00470CCE" w:rsidRPr="00E87D91" w:rsidRDefault="00470CCE" w:rsidP="00470CCE">
                      <w:pPr>
                        <w:rPr>
                          <w:color w:val="000000"/>
                          <w:szCs w:val="22"/>
                        </w:rPr>
                      </w:pPr>
                      <w:r w:rsidRPr="00C52655">
                        <w:rPr>
                          <w:sz w:val="22"/>
                          <w:szCs w:val="24"/>
                          <w:lang w:val="en-US"/>
                        </w:rPr>
                        <w:t xml:space="preserve">Dovilė </w:t>
                      </w:r>
                      <w:r w:rsidRPr="00E87D91">
                        <w:rPr>
                          <w:sz w:val="22"/>
                          <w:szCs w:val="24"/>
                          <w:lang w:val="en-US"/>
                        </w:rPr>
                        <w:t xml:space="preserve">Gataukytė, tel. (8 5) 219 7017, </w:t>
                      </w:r>
                      <w:r w:rsidRPr="00C52655">
                        <w:rPr>
                          <w:sz w:val="22"/>
                          <w:szCs w:val="24"/>
                          <w:lang w:val="en-US"/>
                        </w:rPr>
                        <w:t>el. p. Dovile.Gataukyte@vpt.lt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B43C80" w:rsidRPr="00BA48C1" w:rsidSect="003830E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028E2" w16cex:dateUtc="2020-04-14T09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7297C" w14:textId="77777777" w:rsidR="00C055A8" w:rsidRDefault="00C055A8">
      <w:r>
        <w:separator/>
      </w:r>
    </w:p>
  </w:endnote>
  <w:endnote w:type="continuationSeparator" w:id="0">
    <w:p w14:paraId="0D0813E7" w14:textId="77777777" w:rsidR="00C055A8" w:rsidRDefault="00C0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F25B" w14:textId="56D9563D" w:rsidR="00EF7000" w:rsidRPr="00C96169" w:rsidRDefault="00541CEC" w:rsidP="00345795">
    <w:pPr>
      <w:pBdr>
        <w:top w:val="single" w:sz="4" w:space="1" w:color="auto"/>
      </w:pBd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11CC367F" wp14:editId="1AA2236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7000" w:rsidRPr="00C96169">
      <w:t>Biudžetinė įstaiga</w:t>
    </w:r>
    <w:r w:rsidR="0043489E">
      <w:tab/>
      <w:t xml:space="preserve">         </w:t>
    </w:r>
    <w:r w:rsidR="00EF7000" w:rsidRPr="00C96169">
      <w:t>Tel. (8 5) 219 7001</w:t>
    </w:r>
    <w:r w:rsidR="0043489E">
      <w:t xml:space="preserve">               </w:t>
    </w:r>
    <w:r w:rsidR="00EF7000" w:rsidRPr="00C96169">
      <w:t>Duomenys kaupiami ir saugomi </w:t>
    </w:r>
    <w:r w:rsidR="0043489E">
      <w:t xml:space="preserve">             </w:t>
    </w:r>
  </w:p>
  <w:p w14:paraId="28703B11" w14:textId="6B8B3767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43489E">
      <w:t xml:space="preserve">         </w:t>
    </w:r>
    <w:r w:rsidRPr="00C96169">
      <w:t>Faks. (8 5) 213 6213</w:t>
    </w:r>
    <w:r w:rsidR="0043489E">
      <w:t xml:space="preserve">             </w:t>
    </w:r>
    <w:r w:rsidRPr="00C96169">
      <w:t>Juridinių asmenų registre</w:t>
    </w:r>
    <w:r w:rsidR="0043489E">
      <w:t xml:space="preserve"> </w:t>
    </w:r>
  </w:p>
  <w:p w14:paraId="7496C2E1" w14:textId="1A4AC1D7" w:rsidR="00EF7000" w:rsidRPr="00C96169" w:rsidRDefault="00C055A8" w:rsidP="00345795">
    <w:pPr>
      <w:pBdr>
        <w:top w:val="single" w:sz="4" w:space="1" w:color="auto"/>
      </w:pBdr>
      <w:jc w:val="both"/>
    </w:pPr>
    <w:hyperlink r:id="rId3" w:history="1">
      <w:r w:rsidR="003631BF" w:rsidRPr="00C96169">
        <w:rPr>
          <w:rStyle w:val="Hyperlink"/>
        </w:rPr>
        <w:t>http://www.vpt.lrv.lt</w:t>
      </w:r>
    </w:hyperlink>
    <w:r w:rsidR="003631BF" w:rsidRPr="00C96169">
      <w:tab/>
    </w:r>
    <w:r w:rsidR="0043489E">
      <w:t xml:space="preserve">         </w:t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4" w:history="1">
      <w:r w:rsidR="003631BF" w:rsidRPr="00C96169">
        <w:rPr>
          <w:rStyle w:val="Hyperlink"/>
        </w:rPr>
        <w:t>info@vpt.lt</w:t>
      </w:r>
    </w:hyperlink>
    <w:r w:rsidR="0043489E">
      <w:t xml:space="preserve">                   </w:t>
    </w:r>
    <w:r w:rsidR="00EF7000" w:rsidRPr="00C96169">
      <w:t>Kodas 188656261</w:t>
    </w:r>
    <w:r w:rsidR="0043489E">
      <w:t xml:space="preserve">                                   </w:t>
    </w:r>
  </w:p>
  <w:p w14:paraId="56BF2B6C" w14:textId="1BC0B232" w:rsidR="00EF7000" w:rsidRPr="004D1BAD" w:rsidRDefault="0043489E" w:rsidP="00345795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65DB" w14:textId="77777777" w:rsidR="00C055A8" w:rsidRDefault="00C055A8">
      <w:r>
        <w:separator/>
      </w:r>
    </w:p>
  </w:footnote>
  <w:footnote w:type="continuationSeparator" w:id="0">
    <w:p w14:paraId="7C9BBCA3" w14:textId="77777777" w:rsidR="00C055A8" w:rsidRDefault="00C055A8">
      <w:r>
        <w:continuationSeparator/>
      </w:r>
    </w:p>
  </w:footnote>
  <w:footnote w:id="1">
    <w:p w14:paraId="01439286" w14:textId="5E48F50E" w:rsidR="00EE1B48" w:rsidRDefault="00EE1B48" w:rsidP="00AE6D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2017 m. balandžio 27 d. Dokumentų valdymo sistemos atnaujinimo ir palaikymo paslaugų pirkimo sutartis Nr. S-445</w:t>
      </w:r>
      <w:r w:rsidR="00BC2368">
        <w:t>;</w:t>
      </w:r>
    </w:p>
  </w:footnote>
  <w:footnote w:id="2">
    <w:p w14:paraId="4A94BA66" w14:textId="3143603F" w:rsidR="00AE6DE8" w:rsidRDefault="00AE6DE8" w:rsidP="00AE6D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 xml:space="preserve">Tiekėjas yra </w:t>
      </w:r>
      <w:r w:rsidRPr="00AE6DE8">
        <w:t xml:space="preserve">UAB „DocLogix“ programinės įrangos (dokumentų ir proceso valdymo sistemos) bei </w:t>
      </w:r>
      <w:r>
        <w:t>visų Sistemos s</w:t>
      </w:r>
      <w:r w:rsidRPr="00AE6DE8">
        <w:t>prendimų autorius nuo jų sukūrimo momento (2009 m. balandžio 23 d. Europos Parlamento ir</w:t>
      </w:r>
      <w:r>
        <w:t xml:space="preserve"> </w:t>
      </w:r>
      <w:r w:rsidRPr="00AE6DE8">
        <w:t>Tarybos direktyvos 2009/24/EB dėl kompiuterių programų teisinės apsaugos (kodifikuota redakcija) (OL</w:t>
      </w:r>
      <w:r>
        <w:t xml:space="preserve"> </w:t>
      </w:r>
      <w:r w:rsidRPr="00AE6DE8">
        <w:t>2009 L 111, p. 16) 1 str. 3 dalis, Lietuvos Respublikos autorių teisių ir gretutinių teisių įstatymo 13</w:t>
      </w:r>
      <w:r>
        <w:t xml:space="preserve"> </w:t>
      </w:r>
      <w:r w:rsidRPr="00AE6DE8">
        <w:t>straipsnis)</w:t>
      </w:r>
      <w:r>
        <w:t>;</w:t>
      </w:r>
    </w:p>
  </w:footnote>
  <w:footnote w:id="3">
    <w:p w14:paraId="1858E245" w14:textId="77777777" w:rsidR="00EE1B48" w:rsidRPr="00734312" w:rsidRDefault="00EE1B48" w:rsidP="00EE1B48">
      <w:pPr>
        <w:pStyle w:val="FootnoteText"/>
        <w:jc w:val="both"/>
      </w:pPr>
      <w:r w:rsidRPr="00734312">
        <w:rPr>
          <w:rStyle w:val="FootnoteReference"/>
        </w:rPr>
        <w:footnoteRef/>
      </w:r>
      <w:r w:rsidRPr="00734312">
        <w:t xml:space="preserve"> 2020 m. kovo 26 d. raštas </w:t>
      </w:r>
      <w:r w:rsidRPr="00734312">
        <w:rPr>
          <w:lang w:val="en-US" w:eastAsia="lt-LT"/>
        </w:rPr>
        <w:t>Nr. DLX-S-87</w:t>
      </w:r>
      <w:r w:rsidRPr="00734312">
        <w:t xml:space="preserve"> </w:t>
      </w:r>
      <w:r w:rsidRPr="00734312">
        <w:rPr>
          <w:i/>
          <w:iCs/>
        </w:rPr>
        <w:t>„Dėl autoriaus teisių į programinę įrangą „Doclogix“</w:t>
      </w:r>
      <w:r w:rsidRPr="00734312">
        <w:t>;</w:t>
      </w:r>
    </w:p>
  </w:footnote>
  <w:footnote w:id="4">
    <w:p w14:paraId="24ED1E67" w14:textId="77777777" w:rsidR="00EE1B48" w:rsidRDefault="00EE1B48" w:rsidP="00EE1B48">
      <w:pPr>
        <w:pStyle w:val="FootnoteText"/>
        <w:jc w:val="both"/>
      </w:pPr>
      <w:r w:rsidRPr="00734312">
        <w:rPr>
          <w:rStyle w:val="FootnoteReference"/>
        </w:rPr>
        <w:footnoteRef/>
      </w:r>
      <w:r w:rsidRPr="00734312">
        <w:t xml:space="preserve"> 2020 m. kovo 27 d. el. paštu pateikta papildoma informacija iš Tiekėjo (Priedas prie protokolo);</w:t>
      </w:r>
    </w:p>
  </w:footnote>
  <w:footnote w:id="5">
    <w:p w14:paraId="69093FE1" w14:textId="47D7870B" w:rsidR="00575985" w:rsidRDefault="00575985" w:rsidP="000E11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Perkančiosios organizacijos pateiktas I</w:t>
      </w:r>
      <w:r w:rsidRPr="00575985">
        <w:t xml:space="preserve">šrašas iš </w:t>
      </w:r>
      <w:r w:rsidR="00AE6DE8">
        <w:t>perkančiosios organizacijos</w:t>
      </w:r>
      <w:r w:rsidR="00AE6DE8" w:rsidRPr="00575985">
        <w:t xml:space="preserve"> </w:t>
      </w:r>
      <w:r w:rsidRPr="00575985">
        <w:t>2020 m. viešųjų pirkimų plano</w:t>
      </w:r>
      <w:r>
        <w:t>;</w:t>
      </w:r>
    </w:p>
  </w:footnote>
  <w:footnote w:id="6">
    <w:p w14:paraId="5FF8EE5F" w14:textId="4C7D8F7A" w:rsidR="00F668E2" w:rsidRPr="00734312" w:rsidRDefault="00F668E2" w:rsidP="000E11A2">
      <w:pPr>
        <w:pStyle w:val="FootnoteText"/>
        <w:jc w:val="both"/>
      </w:pPr>
      <w:r w:rsidRPr="00734312">
        <w:rPr>
          <w:rStyle w:val="FootnoteReference"/>
          <w:color w:val="000000" w:themeColor="text1"/>
        </w:rPr>
        <w:footnoteRef/>
      </w:r>
      <w:r w:rsidRPr="00734312">
        <w:rPr>
          <w:color w:val="000000" w:themeColor="text1"/>
        </w:rPr>
        <w:t xml:space="preserve"> 2020 m. kovo 31 d. Viešųjų pirkimų komisijos protokolas Nr. 1VP-58</w:t>
      </w:r>
      <w:r w:rsidR="0013470D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26397" w14:textId="4E5BDBA2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C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32E30"/>
    <w:rsid w:val="00041165"/>
    <w:rsid w:val="0004686E"/>
    <w:rsid w:val="0005793E"/>
    <w:rsid w:val="00060736"/>
    <w:rsid w:val="00065D63"/>
    <w:rsid w:val="00067E13"/>
    <w:rsid w:val="00091B12"/>
    <w:rsid w:val="00094D97"/>
    <w:rsid w:val="00096D17"/>
    <w:rsid w:val="000A5831"/>
    <w:rsid w:val="000A5DDD"/>
    <w:rsid w:val="000A5F05"/>
    <w:rsid w:val="000B3F13"/>
    <w:rsid w:val="000B476E"/>
    <w:rsid w:val="000C26A8"/>
    <w:rsid w:val="000C2DFC"/>
    <w:rsid w:val="000D0EA9"/>
    <w:rsid w:val="000D2CBD"/>
    <w:rsid w:val="000D695C"/>
    <w:rsid w:val="000E11A2"/>
    <w:rsid w:val="0010247F"/>
    <w:rsid w:val="0010506F"/>
    <w:rsid w:val="0010592B"/>
    <w:rsid w:val="00120487"/>
    <w:rsid w:val="00120B1E"/>
    <w:rsid w:val="0012239F"/>
    <w:rsid w:val="00126EDE"/>
    <w:rsid w:val="0013157D"/>
    <w:rsid w:val="0013470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7B63"/>
    <w:rsid w:val="00185600"/>
    <w:rsid w:val="0018705A"/>
    <w:rsid w:val="0019643A"/>
    <w:rsid w:val="001A0227"/>
    <w:rsid w:val="001A20D5"/>
    <w:rsid w:val="001C2ACF"/>
    <w:rsid w:val="001C3767"/>
    <w:rsid w:val="001D3A13"/>
    <w:rsid w:val="001E1299"/>
    <w:rsid w:val="001E32F5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520CF"/>
    <w:rsid w:val="002555C4"/>
    <w:rsid w:val="0025785A"/>
    <w:rsid w:val="00263C03"/>
    <w:rsid w:val="002672AB"/>
    <w:rsid w:val="00273073"/>
    <w:rsid w:val="00275667"/>
    <w:rsid w:val="002824E2"/>
    <w:rsid w:val="00285309"/>
    <w:rsid w:val="00285F4F"/>
    <w:rsid w:val="00295462"/>
    <w:rsid w:val="0029776E"/>
    <w:rsid w:val="002A37FA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07F3C"/>
    <w:rsid w:val="00310941"/>
    <w:rsid w:val="003126F6"/>
    <w:rsid w:val="00312B1A"/>
    <w:rsid w:val="00312F73"/>
    <w:rsid w:val="00313908"/>
    <w:rsid w:val="00323502"/>
    <w:rsid w:val="003263F2"/>
    <w:rsid w:val="00330F2D"/>
    <w:rsid w:val="00334F10"/>
    <w:rsid w:val="00335354"/>
    <w:rsid w:val="003410EB"/>
    <w:rsid w:val="0034260D"/>
    <w:rsid w:val="00344D5E"/>
    <w:rsid w:val="00345795"/>
    <w:rsid w:val="0034771D"/>
    <w:rsid w:val="0036093A"/>
    <w:rsid w:val="00360CC7"/>
    <w:rsid w:val="003631BF"/>
    <w:rsid w:val="0037038F"/>
    <w:rsid w:val="00371C99"/>
    <w:rsid w:val="003830E2"/>
    <w:rsid w:val="00386371"/>
    <w:rsid w:val="003871FF"/>
    <w:rsid w:val="00390281"/>
    <w:rsid w:val="003A4870"/>
    <w:rsid w:val="003A5B17"/>
    <w:rsid w:val="003A64B7"/>
    <w:rsid w:val="003B0261"/>
    <w:rsid w:val="003B71B4"/>
    <w:rsid w:val="003C11D2"/>
    <w:rsid w:val="003C5714"/>
    <w:rsid w:val="003C6B99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3489E"/>
    <w:rsid w:val="00441571"/>
    <w:rsid w:val="00454216"/>
    <w:rsid w:val="00457A4A"/>
    <w:rsid w:val="00470CCE"/>
    <w:rsid w:val="00471289"/>
    <w:rsid w:val="00474479"/>
    <w:rsid w:val="004763F4"/>
    <w:rsid w:val="004826A4"/>
    <w:rsid w:val="004828F7"/>
    <w:rsid w:val="00493AE6"/>
    <w:rsid w:val="00496D93"/>
    <w:rsid w:val="004A3586"/>
    <w:rsid w:val="004A4318"/>
    <w:rsid w:val="004B1D3A"/>
    <w:rsid w:val="004B41BA"/>
    <w:rsid w:val="004B4D76"/>
    <w:rsid w:val="004C2772"/>
    <w:rsid w:val="004D18E9"/>
    <w:rsid w:val="004D47C1"/>
    <w:rsid w:val="004F150F"/>
    <w:rsid w:val="004F787A"/>
    <w:rsid w:val="00505F34"/>
    <w:rsid w:val="0051338C"/>
    <w:rsid w:val="005162E2"/>
    <w:rsid w:val="00521032"/>
    <w:rsid w:val="00523B0B"/>
    <w:rsid w:val="00524684"/>
    <w:rsid w:val="0052505A"/>
    <w:rsid w:val="005277C1"/>
    <w:rsid w:val="00534E0D"/>
    <w:rsid w:val="00536BD1"/>
    <w:rsid w:val="0054095A"/>
    <w:rsid w:val="00541CEC"/>
    <w:rsid w:val="005541DF"/>
    <w:rsid w:val="00561AEF"/>
    <w:rsid w:val="005633F6"/>
    <w:rsid w:val="00575985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C6E9D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157DD"/>
    <w:rsid w:val="00616232"/>
    <w:rsid w:val="006203C3"/>
    <w:rsid w:val="0062617D"/>
    <w:rsid w:val="00627337"/>
    <w:rsid w:val="00631C67"/>
    <w:rsid w:val="00635C14"/>
    <w:rsid w:val="00635D84"/>
    <w:rsid w:val="00642E1E"/>
    <w:rsid w:val="00646FEC"/>
    <w:rsid w:val="00651C88"/>
    <w:rsid w:val="00651D27"/>
    <w:rsid w:val="00664415"/>
    <w:rsid w:val="006755D0"/>
    <w:rsid w:val="006772F3"/>
    <w:rsid w:val="00681657"/>
    <w:rsid w:val="006821F4"/>
    <w:rsid w:val="0068226E"/>
    <w:rsid w:val="00685AA6"/>
    <w:rsid w:val="00687076"/>
    <w:rsid w:val="00690800"/>
    <w:rsid w:val="00692318"/>
    <w:rsid w:val="00692D70"/>
    <w:rsid w:val="00693D5D"/>
    <w:rsid w:val="006A0434"/>
    <w:rsid w:val="006A2821"/>
    <w:rsid w:val="006C1805"/>
    <w:rsid w:val="006C3CE6"/>
    <w:rsid w:val="006C3DE0"/>
    <w:rsid w:val="006C4D48"/>
    <w:rsid w:val="006D2A79"/>
    <w:rsid w:val="006E1FB1"/>
    <w:rsid w:val="006E5BDF"/>
    <w:rsid w:val="006F0DD9"/>
    <w:rsid w:val="006F5A1F"/>
    <w:rsid w:val="006F6A2B"/>
    <w:rsid w:val="006F7E56"/>
    <w:rsid w:val="007229DE"/>
    <w:rsid w:val="00722A57"/>
    <w:rsid w:val="007302DD"/>
    <w:rsid w:val="007304BD"/>
    <w:rsid w:val="007336CA"/>
    <w:rsid w:val="00734312"/>
    <w:rsid w:val="00734403"/>
    <w:rsid w:val="00736125"/>
    <w:rsid w:val="007407B5"/>
    <w:rsid w:val="00740FCA"/>
    <w:rsid w:val="007476E6"/>
    <w:rsid w:val="00751AD9"/>
    <w:rsid w:val="00754E9D"/>
    <w:rsid w:val="007724B7"/>
    <w:rsid w:val="00775BE5"/>
    <w:rsid w:val="00781A8B"/>
    <w:rsid w:val="00785319"/>
    <w:rsid w:val="007A094A"/>
    <w:rsid w:val="007A7CC6"/>
    <w:rsid w:val="007B18D7"/>
    <w:rsid w:val="007B418D"/>
    <w:rsid w:val="007B5F54"/>
    <w:rsid w:val="007C7EC9"/>
    <w:rsid w:val="007D0BB6"/>
    <w:rsid w:val="007D2C04"/>
    <w:rsid w:val="007E5CFB"/>
    <w:rsid w:val="007E66F4"/>
    <w:rsid w:val="007F09D7"/>
    <w:rsid w:val="007F205E"/>
    <w:rsid w:val="007F4DB5"/>
    <w:rsid w:val="00805FB6"/>
    <w:rsid w:val="00806DC3"/>
    <w:rsid w:val="0081123D"/>
    <w:rsid w:val="0081258D"/>
    <w:rsid w:val="00822507"/>
    <w:rsid w:val="0082471C"/>
    <w:rsid w:val="0083611F"/>
    <w:rsid w:val="008403BB"/>
    <w:rsid w:val="0084263D"/>
    <w:rsid w:val="00862D96"/>
    <w:rsid w:val="0087178C"/>
    <w:rsid w:val="00876609"/>
    <w:rsid w:val="008842E8"/>
    <w:rsid w:val="00892C2E"/>
    <w:rsid w:val="008A6509"/>
    <w:rsid w:val="008A6E81"/>
    <w:rsid w:val="008B3261"/>
    <w:rsid w:val="008C218C"/>
    <w:rsid w:val="008C387D"/>
    <w:rsid w:val="008D20C6"/>
    <w:rsid w:val="008D4DFC"/>
    <w:rsid w:val="008D6832"/>
    <w:rsid w:val="008D74A5"/>
    <w:rsid w:val="008E2B0B"/>
    <w:rsid w:val="008F0B5C"/>
    <w:rsid w:val="008F0EB8"/>
    <w:rsid w:val="008F62AA"/>
    <w:rsid w:val="00905DF3"/>
    <w:rsid w:val="009103EC"/>
    <w:rsid w:val="009149F4"/>
    <w:rsid w:val="00922E31"/>
    <w:rsid w:val="00926DA2"/>
    <w:rsid w:val="009331BE"/>
    <w:rsid w:val="00935C07"/>
    <w:rsid w:val="00941518"/>
    <w:rsid w:val="00947CD5"/>
    <w:rsid w:val="00952E39"/>
    <w:rsid w:val="0095511C"/>
    <w:rsid w:val="00963D62"/>
    <w:rsid w:val="009640EC"/>
    <w:rsid w:val="009847BD"/>
    <w:rsid w:val="00986D62"/>
    <w:rsid w:val="009931AC"/>
    <w:rsid w:val="009A008C"/>
    <w:rsid w:val="009A19C0"/>
    <w:rsid w:val="009A2A2F"/>
    <w:rsid w:val="009A4719"/>
    <w:rsid w:val="009A5747"/>
    <w:rsid w:val="009B6EDA"/>
    <w:rsid w:val="009C2C98"/>
    <w:rsid w:val="009E18B8"/>
    <w:rsid w:val="009E56CC"/>
    <w:rsid w:val="009F1B90"/>
    <w:rsid w:val="009F5A01"/>
    <w:rsid w:val="00A0159E"/>
    <w:rsid w:val="00A0280B"/>
    <w:rsid w:val="00A11F4A"/>
    <w:rsid w:val="00A1308C"/>
    <w:rsid w:val="00A269F6"/>
    <w:rsid w:val="00A26BB4"/>
    <w:rsid w:val="00A27B6C"/>
    <w:rsid w:val="00A33F37"/>
    <w:rsid w:val="00A35DDE"/>
    <w:rsid w:val="00A36F16"/>
    <w:rsid w:val="00A50A25"/>
    <w:rsid w:val="00A50D11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9F6"/>
    <w:rsid w:val="00A85EC3"/>
    <w:rsid w:val="00A87DF7"/>
    <w:rsid w:val="00A9746D"/>
    <w:rsid w:val="00AA13F0"/>
    <w:rsid w:val="00AA66EC"/>
    <w:rsid w:val="00AB1B38"/>
    <w:rsid w:val="00AB346E"/>
    <w:rsid w:val="00AC16CB"/>
    <w:rsid w:val="00AC5C85"/>
    <w:rsid w:val="00AD6768"/>
    <w:rsid w:val="00AE1F4E"/>
    <w:rsid w:val="00AE3433"/>
    <w:rsid w:val="00AE357F"/>
    <w:rsid w:val="00AE5D6A"/>
    <w:rsid w:val="00AE6A81"/>
    <w:rsid w:val="00AE6DE8"/>
    <w:rsid w:val="00AF031A"/>
    <w:rsid w:val="00AF220F"/>
    <w:rsid w:val="00B00D21"/>
    <w:rsid w:val="00B0406C"/>
    <w:rsid w:val="00B043CA"/>
    <w:rsid w:val="00B23044"/>
    <w:rsid w:val="00B23944"/>
    <w:rsid w:val="00B33D0D"/>
    <w:rsid w:val="00B43C80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96F96"/>
    <w:rsid w:val="00B97313"/>
    <w:rsid w:val="00BA1022"/>
    <w:rsid w:val="00BA48C1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C2368"/>
    <w:rsid w:val="00BD26D0"/>
    <w:rsid w:val="00BD6C5E"/>
    <w:rsid w:val="00BE12CD"/>
    <w:rsid w:val="00BE16FC"/>
    <w:rsid w:val="00BF03E9"/>
    <w:rsid w:val="00BF2D89"/>
    <w:rsid w:val="00BF78AF"/>
    <w:rsid w:val="00C02D4E"/>
    <w:rsid w:val="00C055A8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53196"/>
    <w:rsid w:val="00C616C5"/>
    <w:rsid w:val="00C644A6"/>
    <w:rsid w:val="00C65220"/>
    <w:rsid w:val="00C70B46"/>
    <w:rsid w:val="00C874ED"/>
    <w:rsid w:val="00C901A1"/>
    <w:rsid w:val="00C918D3"/>
    <w:rsid w:val="00C932CA"/>
    <w:rsid w:val="00C96169"/>
    <w:rsid w:val="00C97613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CE5815"/>
    <w:rsid w:val="00D003C1"/>
    <w:rsid w:val="00D04A3A"/>
    <w:rsid w:val="00D07A2E"/>
    <w:rsid w:val="00D11DD3"/>
    <w:rsid w:val="00D143BD"/>
    <w:rsid w:val="00D14C8F"/>
    <w:rsid w:val="00D23138"/>
    <w:rsid w:val="00D25F45"/>
    <w:rsid w:val="00D3464D"/>
    <w:rsid w:val="00D351F9"/>
    <w:rsid w:val="00D36EA3"/>
    <w:rsid w:val="00D45563"/>
    <w:rsid w:val="00D469FE"/>
    <w:rsid w:val="00D475C2"/>
    <w:rsid w:val="00D52DAB"/>
    <w:rsid w:val="00D55AF8"/>
    <w:rsid w:val="00D57C46"/>
    <w:rsid w:val="00D619CB"/>
    <w:rsid w:val="00D670B0"/>
    <w:rsid w:val="00D74CD2"/>
    <w:rsid w:val="00D807D2"/>
    <w:rsid w:val="00D8632C"/>
    <w:rsid w:val="00D9426D"/>
    <w:rsid w:val="00D95558"/>
    <w:rsid w:val="00D95BC3"/>
    <w:rsid w:val="00D97020"/>
    <w:rsid w:val="00DA16B9"/>
    <w:rsid w:val="00DB28BF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E105D7"/>
    <w:rsid w:val="00E32469"/>
    <w:rsid w:val="00E375C0"/>
    <w:rsid w:val="00E424BD"/>
    <w:rsid w:val="00E44EE3"/>
    <w:rsid w:val="00E46269"/>
    <w:rsid w:val="00E47BA3"/>
    <w:rsid w:val="00E50D25"/>
    <w:rsid w:val="00E52C4E"/>
    <w:rsid w:val="00E56998"/>
    <w:rsid w:val="00E644BF"/>
    <w:rsid w:val="00E73883"/>
    <w:rsid w:val="00E75B4A"/>
    <w:rsid w:val="00E76B8E"/>
    <w:rsid w:val="00E84B1E"/>
    <w:rsid w:val="00E873DE"/>
    <w:rsid w:val="00E87A05"/>
    <w:rsid w:val="00E900D3"/>
    <w:rsid w:val="00EA4E2B"/>
    <w:rsid w:val="00EB6FA4"/>
    <w:rsid w:val="00EB79C5"/>
    <w:rsid w:val="00EC4F58"/>
    <w:rsid w:val="00EC5839"/>
    <w:rsid w:val="00ED19CF"/>
    <w:rsid w:val="00ED5F50"/>
    <w:rsid w:val="00ED6946"/>
    <w:rsid w:val="00ED7FBF"/>
    <w:rsid w:val="00EE1B48"/>
    <w:rsid w:val="00EE3316"/>
    <w:rsid w:val="00EE41DE"/>
    <w:rsid w:val="00EF1B39"/>
    <w:rsid w:val="00EF201F"/>
    <w:rsid w:val="00EF7000"/>
    <w:rsid w:val="00F00111"/>
    <w:rsid w:val="00F10DD2"/>
    <w:rsid w:val="00F114EF"/>
    <w:rsid w:val="00F17D9E"/>
    <w:rsid w:val="00F202B1"/>
    <w:rsid w:val="00F23366"/>
    <w:rsid w:val="00F23BD3"/>
    <w:rsid w:val="00F24F89"/>
    <w:rsid w:val="00F25BF6"/>
    <w:rsid w:val="00F2612C"/>
    <w:rsid w:val="00F30236"/>
    <w:rsid w:val="00F358A9"/>
    <w:rsid w:val="00F37DB6"/>
    <w:rsid w:val="00F452C4"/>
    <w:rsid w:val="00F62141"/>
    <w:rsid w:val="00F62F10"/>
    <w:rsid w:val="00F64F60"/>
    <w:rsid w:val="00F6674F"/>
    <w:rsid w:val="00F668E2"/>
    <w:rsid w:val="00F66D96"/>
    <w:rsid w:val="00F705CD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DDD"/>
    <w:rsid w:val="00FA65F3"/>
    <w:rsid w:val="00FC0222"/>
    <w:rsid w:val="00FC101E"/>
    <w:rsid w:val="00FD1061"/>
    <w:rsid w:val="00FD339F"/>
    <w:rsid w:val="00FD3DE9"/>
    <w:rsid w:val="00FD56A5"/>
    <w:rsid w:val="00FD5D7D"/>
    <w:rsid w:val="00FD5E3C"/>
    <w:rsid w:val="00FD6199"/>
    <w:rsid w:val="00FD6E2C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FB6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semiHidden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basedOn w:val="Normal"/>
    <w:uiPriority w:val="34"/>
    <w:qFormat/>
    <w:rsid w:val="00F23366"/>
    <w:pPr>
      <w:ind w:left="720"/>
      <w:contextualSpacing/>
    </w:pPr>
  </w:style>
  <w:style w:type="character" w:styleId="Hyperlink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143BD"/>
  </w:style>
  <w:style w:type="character" w:customStyle="1" w:styleId="FootnoteTextChar">
    <w:name w:val="Footnote Text Char"/>
    <w:basedOn w:val="DefaultParagraphFont"/>
    <w:link w:val="FootnoteText"/>
    <w:rsid w:val="00D143BD"/>
    <w:rPr>
      <w:lang w:eastAsia="en-US"/>
    </w:rPr>
  </w:style>
  <w:style w:type="character" w:styleId="FootnoteReference">
    <w:name w:val="footnote reference"/>
    <w:basedOn w:val="DefaultParagraphFont"/>
    <w:rsid w:val="00D14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6A80-2921-4ABF-A083-8EF6A8D3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Dovilė Gataukytė</cp:lastModifiedBy>
  <cp:revision>5</cp:revision>
  <cp:lastPrinted>2017-04-05T07:57:00Z</cp:lastPrinted>
  <dcterms:created xsi:type="dcterms:W3CDTF">2020-04-14T09:44:00Z</dcterms:created>
  <dcterms:modified xsi:type="dcterms:W3CDTF">2020-04-14T10:13:00Z</dcterms:modified>
</cp:coreProperties>
</file>