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6C6F38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45259126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6D8D93B1" w:rsidR="008B421A" w:rsidRDefault="001A641A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bankas</w:t>
            </w:r>
          </w:p>
          <w:p w14:paraId="792BF721" w14:textId="47F85F08" w:rsidR="00E83E81" w:rsidRPr="00C07CCC" w:rsidRDefault="001A641A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Gedimino pr. 6</w:t>
            </w:r>
          </w:p>
          <w:p w14:paraId="26B4A10E" w14:textId="0DC1FCDE" w:rsidR="00E83E81" w:rsidRPr="00303982" w:rsidRDefault="00437775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01103</w:t>
            </w:r>
            <w:r w:rsidR="00796E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Vilnius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1B20AFE2" w:rsidR="008E5131" w:rsidRPr="00796ECE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proofErr w:type="spellStart"/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="004377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.lt</w:t>
            </w:r>
            <w:proofErr w:type="spellEnd"/>
          </w:p>
        </w:tc>
        <w:tc>
          <w:tcPr>
            <w:tcW w:w="1620" w:type="dxa"/>
          </w:tcPr>
          <w:p w14:paraId="13A87122" w14:textId="66DFABDD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7F4F2A43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2020-0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4165237" w14:textId="4BE7FADE" w:rsidR="003B1229" w:rsidRDefault="00846A67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25061698" w:rsidR="003B1229" w:rsidRDefault="00796ECE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6A967B64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06C1A1CF" w:rsidR="00E83E81" w:rsidRDefault="00437775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2020/(27.1.E-2700)-12-1492</w:t>
            </w:r>
          </w:p>
          <w:p w14:paraId="26739837" w14:textId="38793051" w:rsidR="00E83E81" w:rsidRPr="008A38CD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2D935" w14:textId="09827446" w:rsidR="00E72E38" w:rsidRDefault="00E72E38" w:rsidP="00E72E3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CB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vadovaudamasi Lietuvos Respublikos viešųjų pirkimų įstatymo (toliau – Įstatymas)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išnagrinėjo Jūsų  prašymą sutikti </w:t>
      </w:r>
      <w:proofErr w:type="spellStart"/>
      <w:r w:rsidRPr="005D4474">
        <w:rPr>
          <w:rFonts w:ascii="Times New Roman" w:eastAsia="Times New Roman" w:hAnsi="Times New Roman" w:cs="Times New Roman"/>
          <w:i/>
          <w:sz w:val="24"/>
          <w:szCs w:val="24"/>
        </w:rPr>
        <w:t>Oracle</w:t>
      </w:r>
      <w:proofErr w:type="spellEnd"/>
      <w:r w:rsidRPr="005D4474">
        <w:rPr>
          <w:rFonts w:ascii="Times New Roman" w:eastAsia="Times New Roman" w:hAnsi="Times New Roman" w:cs="Times New Roman"/>
          <w:i/>
          <w:sz w:val="24"/>
          <w:szCs w:val="24"/>
        </w:rPr>
        <w:t xml:space="preserve"> programinės įrangos </w:t>
      </w:r>
      <w:r w:rsidR="002A016B">
        <w:rPr>
          <w:rFonts w:ascii="Times New Roman" w:eastAsia="Times New Roman" w:hAnsi="Times New Roman" w:cs="Times New Roman"/>
          <w:i/>
          <w:sz w:val="24"/>
          <w:szCs w:val="24"/>
        </w:rPr>
        <w:t xml:space="preserve">techninio </w:t>
      </w:r>
      <w:r w:rsidRPr="005D4474">
        <w:rPr>
          <w:rFonts w:ascii="Times New Roman" w:eastAsia="Times New Roman" w:hAnsi="Times New Roman" w:cs="Times New Roman"/>
          <w:i/>
          <w:sz w:val="24"/>
          <w:szCs w:val="24"/>
        </w:rPr>
        <w:t>palaikymo</w:t>
      </w:r>
      <w:r w:rsidR="002A016B">
        <w:rPr>
          <w:rFonts w:ascii="Times New Roman" w:eastAsia="Times New Roman" w:hAnsi="Times New Roman" w:cs="Times New Roman"/>
          <w:i/>
          <w:sz w:val="24"/>
          <w:szCs w:val="24"/>
        </w:rPr>
        <w:t xml:space="preserve"> ir licencijų konvertavimo</w:t>
      </w:r>
      <w:r w:rsidRPr="005D4474">
        <w:rPr>
          <w:rFonts w:ascii="Times New Roman" w:eastAsia="Times New Roman" w:hAnsi="Times New Roman" w:cs="Times New Roman"/>
          <w:i/>
          <w:sz w:val="24"/>
          <w:szCs w:val="24"/>
        </w:rPr>
        <w:t xml:space="preserve"> paslaugų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016B">
        <w:rPr>
          <w:rFonts w:ascii="Times New Roman" w:eastAsia="Times New Roman" w:hAnsi="Times New Roman" w:cs="Times New Roman"/>
          <w:i/>
          <w:iCs/>
          <w:sz w:val="24"/>
          <w:szCs w:val="24"/>
        </w:rPr>
        <w:t>pirkimą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(toliau – Pirkimas) vykdyti neskelbiamų derybų būdu, </w:t>
      </w:r>
      <w:r w:rsidRPr="00590C04">
        <w:rPr>
          <w:rFonts w:ascii="Times New Roman" w:eastAsia="Times New Roman" w:hAnsi="Times New Roman" w:cs="Times New Roman"/>
          <w:sz w:val="24"/>
          <w:szCs w:val="24"/>
        </w:rPr>
        <w:t>vadovaujantis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Įstatymo 71 straipsnio 1 dalies 2 punkto (c) papunkčio nuostatomis.</w:t>
      </w:r>
    </w:p>
    <w:p w14:paraId="3F6E80A9" w14:textId="71524E62" w:rsidR="002A016B" w:rsidRPr="002A016B" w:rsidRDefault="00E72E38" w:rsidP="00886DE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16B">
        <w:rPr>
          <w:rFonts w:ascii="Times New Roman" w:eastAsia="Times New Roman" w:hAnsi="Times New Roman" w:cs="Times New Roman"/>
          <w:sz w:val="24"/>
          <w:szCs w:val="24"/>
        </w:rPr>
        <w:t xml:space="preserve">Pateiktame prašyme nurodoma, kad </w:t>
      </w:r>
      <w:r w:rsidR="002A016B" w:rsidRPr="002A016B">
        <w:rPr>
          <w:rFonts w:ascii="Times New Roman" w:eastAsia="Times New Roman" w:hAnsi="Times New Roman" w:cs="Times New Roman"/>
          <w:sz w:val="24"/>
          <w:szCs w:val="24"/>
        </w:rPr>
        <w:t xml:space="preserve">Lietuvos bankas (toliau – Perkančioji organizacija) </w:t>
      </w:r>
      <w:r w:rsidR="002A016B" w:rsidRPr="002A016B">
        <w:rPr>
          <w:rFonts w:ascii="Times New Roman" w:hAnsi="Times New Roman" w:cs="Times New Roman"/>
          <w:sz w:val="24"/>
          <w:szCs w:val="24"/>
        </w:rPr>
        <w:t>2017 m. gegužės 31 d. sutarties</w:t>
      </w:r>
      <w:r w:rsidR="002A016B" w:rsidRPr="002A016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A016B" w:rsidRPr="002A016B">
        <w:rPr>
          <w:rFonts w:ascii="Times New Roman" w:hAnsi="Times New Roman" w:cs="Times New Roman"/>
          <w:sz w:val="24"/>
          <w:szCs w:val="24"/>
        </w:rPr>
        <w:t xml:space="preserve"> pagrindu įsigijo šias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Oracle</w:t>
      </w:r>
      <w:proofErr w:type="spellEnd"/>
      <w:r w:rsidR="002A016B" w:rsidRPr="002A016B">
        <w:rPr>
          <w:rFonts w:ascii="Times New Roman" w:hAnsi="Times New Roman" w:cs="Times New Roman"/>
          <w:sz w:val="24"/>
          <w:szCs w:val="24"/>
        </w:rPr>
        <w:t xml:space="preserve"> programinės įrangos licencijas su techniniu palaikymu: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Oracle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Partitioning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92B">
        <w:rPr>
          <w:rFonts w:ascii="Times New Roman" w:hAnsi="Times New Roman" w:cs="Times New Roman"/>
          <w:i/>
          <w:sz w:val="24"/>
          <w:szCs w:val="24"/>
        </w:rPr>
        <w:t>–</w:t>
      </w:r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Named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User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Plus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Perpetual</w:t>
      </w:r>
      <w:proofErr w:type="spellEnd"/>
      <w:r w:rsidR="002A016B" w:rsidRPr="002A016B">
        <w:rPr>
          <w:rFonts w:ascii="Times New Roman" w:hAnsi="Times New Roman" w:cs="Times New Roman"/>
          <w:sz w:val="24"/>
          <w:szCs w:val="24"/>
        </w:rPr>
        <w:t xml:space="preserve"> 280 vnt. vardinių licencijų</w:t>
      </w:r>
      <w:r w:rsidR="000B133A">
        <w:rPr>
          <w:rFonts w:ascii="Times New Roman" w:hAnsi="Times New Roman" w:cs="Times New Roman"/>
          <w:sz w:val="24"/>
          <w:szCs w:val="24"/>
        </w:rPr>
        <w:t>,</w:t>
      </w:r>
      <w:r w:rsidR="002A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Oracle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Database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Enterprise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Edition </w:t>
      </w:r>
      <w:r w:rsidR="002A592B">
        <w:rPr>
          <w:rFonts w:ascii="Times New Roman" w:hAnsi="Times New Roman" w:cs="Times New Roman"/>
          <w:i/>
          <w:sz w:val="24"/>
          <w:szCs w:val="24"/>
        </w:rPr>
        <w:t>–</w:t>
      </w:r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Named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User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Plus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Perpetual</w:t>
      </w:r>
      <w:proofErr w:type="spellEnd"/>
      <w:r w:rsidR="002A016B" w:rsidRPr="002A016B">
        <w:rPr>
          <w:rFonts w:ascii="Times New Roman" w:hAnsi="Times New Roman" w:cs="Times New Roman"/>
          <w:sz w:val="24"/>
          <w:szCs w:val="24"/>
        </w:rPr>
        <w:t xml:space="preserve"> 425 vnt. vardinių licencijų</w:t>
      </w:r>
      <w:r w:rsidR="000B1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Oracle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Internet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Application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Server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Enterprise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Edition </w:t>
      </w:r>
      <w:r w:rsidR="002A592B">
        <w:rPr>
          <w:rFonts w:ascii="Times New Roman" w:hAnsi="Times New Roman" w:cs="Times New Roman"/>
          <w:i/>
          <w:sz w:val="24"/>
          <w:szCs w:val="24"/>
        </w:rPr>
        <w:t>–</w:t>
      </w:r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Processor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Perpetual</w:t>
      </w:r>
      <w:proofErr w:type="spellEnd"/>
      <w:r w:rsidR="002A016B" w:rsidRPr="002A016B">
        <w:rPr>
          <w:rFonts w:ascii="Times New Roman" w:hAnsi="Times New Roman" w:cs="Times New Roman"/>
          <w:sz w:val="24"/>
          <w:szCs w:val="24"/>
        </w:rPr>
        <w:t xml:space="preserve"> 1 vnt. procesorinių licencijų</w:t>
      </w:r>
      <w:r w:rsidR="000B133A">
        <w:rPr>
          <w:rFonts w:ascii="Times New Roman" w:hAnsi="Times New Roman" w:cs="Times New Roman"/>
          <w:sz w:val="24"/>
          <w:szCs w:val="24"/>
        </w:rPr>
        <w:t>,</w:t>
      </w:r>
      <w:r w:rsidR="00886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Oracle</w:t>
      </w:r>
      <w:proofErr w:type="spellEnd"/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Internet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Application</w:t>
      </w:r>
      <w:proofErr w:type="spellEnd"/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Server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Enterprise</w:t>
      </w:r>
      <w:proofErr w:type="spellEnd"/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Edition </w:t>
      </w:r>
      <w:r w:rsidR="002A592B">
        <w:rPr>
          <w:rFonts w:ascii="Times New Roman" w:hAnsi="Times New Roman" w:cs="Times New Roman"/>
          <w:i/>
          <w:sz w:val="24"/>
          <w:szCs w:val="24"/>
        </w:rPr>
        <w:t>–</w:t>
      </w:r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Processor</w:t>
      </w:r>
      <w:proofErr w:type="spellEnd"/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Perpetual</w:t>
      </w:r>
      <w:proofErr w:type="spellEnd"/>
      <w:r w:rsidR="002A016B" w:rsidRPr="00886DE7">
        <w:rPr>
          <w:rFonts w:ascii="Times New Roman" w:hAnsi="Times New Roman" w:cs="Times New Roman"/>
          <w:sz w:val="24"/>
          <w:szCs w:val="24"/>
        </w:rPr>
        <w:t xml:space="preserve"> 2 vnt. procesorinių licencijų</w:t>
      </w:r>
      <w:r w:rsidR="000B1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Oracle</w:t>
      </w:r>
      <w:proofErr w:type="spellEnd"/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Database</w:t>
      </w:r>
      <w:proofErr w:type="spellEnd"/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Enterprise</w:t>
      </w:r>
      <w:proofErr w:type="spellEnd"/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Edition </w:t>
      </w:r>
      <w:r w:rsidR="002A592B">
        <w:rPr>
          <w:rFonts w:ascii="Times New Roman" w:hAnsi="Times New Roman" w:cs="Times New Roman"/>
          <w:i/>
          <w:sz w:val="24"/>
          <w:szCs w:val="24"/>
        </w:rPr>
        <w:t>–</w:t>
      </w:r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Processor</w:t>
      </w:r>
      <w:proofErr w:type="spellEnd"/>
      <w:r w:rsidR="002A016B" w:rsidRPr="00886D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Perpetual</w:t>
      </w:r>
      <w:proofErr w:type="spellEnd"/>
      <w:r w:rsidR="002A016B" w:rsidRPr="00886DE7">
        <w:rPr>
          <w:rFonts w:ascii="Times New Roman" w:hAnsi="Times New Roman" w:cs="Times New Roman"/>
          <w:sz w:val="24"/>
          <w:szCs w:val="24"/>
        </w:rPr>
        <w:t xml:space="preserve"> 2 vnt. procesorinių licencijų</w:t>
      </w:r>
      <w:r w:rsidR="00886DE7">
        <w:rPr>
          <w:rFonts w:ascii="Times New Roman" w:hAnsi="Times New Roman" w:cs="Times New Roman"/>
          <w:sz w:val="24"/>
          <w:szCs w:val="24"/>
        </w:rPr>
        <w:t xml:space="preserve">. </w:t>
      </w:r>
      <w:r w:rsidR="002A016B" w:rsidRPr="00886DE7">
        <w:rPr>
          <w:rFonts w:ascii="Times New Roman" w:hAnsi="Times New Roman" w:cs="Times New Roman"/>
          <w:sz w:val="24"/>
          <w:szCs w:val="24"/>
        </w:rPr>
        <w:t>2018 m. sausio 9 d. sutarties</w:t>
      </w:r>
      <w:r w:rsidR="00886DE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2A016B" w:rsidRPr="00886DE7">
        <w:rPr>
          <w:rFonts w:ascii="Times New Roman" w:hAnsi="Times New Roman" w:cs="Times New Roman"/>
          <w:sz w:val="24"/>
          <w:szCs w:val="24"/>
        </w:rPr>
        <w:t xml:space="preserve"> pagrindu </w:t>
      </w:r>
      <w:r w:rsidR="00E84EDA">
        <w:rPr>
          <w:rFonts w:ascii="Times New Roman" w:hAnsi="Times New Roman" w:cs="Times New Roman"/>
          <w:sz w:val="24"/>
          <w:szCs w:val="24"/>
        </w:rPr>
        <w:t>Perkančioji organizacija</w:t>
      </w:r>
      <w:r w:rsidR="002A016B" w:rsidRPr="00886DE7">
        <w:rPr>
          <w:rFonts w:ascii="Times New Roman" w:hAnsi="Times New Roman" w:cs="Times New Roman"/>
          <w:sz w:val="24"/>
          <w:szCs w:val="24"/>
        </w:rPr>
        <w:t xml:space="preserve"> įsigijo šias </w:t>
      </w:r>
      <w:proofErr w:type="spellStart"/>
      <w:r w:rsidR="002A016B" w:rsidRPr="00886DE7">
        <w:rPr>
          <w:rFonts w:ascii="Times New Roman" w:hAnsi="Times New Roman" w:cs="Times New Roman"/>
          <w:i/>
          <w:sz w:val="24"/>
          <w:szCs w:val="24"/>
        </w:rPr>
        <w:t>Oracle</w:t>
      </w:r>
      <w:proofErr w:type="spellEnd"/>
      <w:r w:rsidR="002A016B" w:rsidRPr="00886DE7">
        <w:rPr>
          <w:rFonts w:ascii="Times New Roman" w:hAnsi="Times New Roman" w:cs="Times New Roman"/>
          <w:sz w:val="24"/>
          <w:szCs w:val="24"/>
        </w:rPr>
        <w:t xml:space="preserve"> programinės įrangos licencijas</w:t>
      </w:r>
      <w:r w:rsidR="00886DE7">
        <w:rPr>
          <w:rFonts w:ascii="Times New Roman" w:hAnsi="Times New Roman" w:cs="Times New Roman"/>
          <w:sz w:val="24"/>
          <w:szCs w:val="24"/>
        </w:rPr>
        <w:t xml:space="preserve"> </w:t>
      </w:r>
      <w:r w:rsidR="002A016B" w:rsidRPr="002A016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Oracle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Database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Enterprise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Edition </w:t>
      </w:r>
      <w:r w:rsidR="002A592B">
        <w:rPr>
          <w:rFonts w:ascii="Times New Roman" w:hAnsi="Times New Roman" w:cs="Times New Roman"/>
          <w:i/>
          <w:sz w:val="24"/>
          <w:szCs w:val="24"/>
        </w:rPr>
        <w:t>–</w:t>
      </w:r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592B">
        <w:rPr>
          <w:rFonts w:ascii="Times New Roman" w:hAnsi="Times New Roman" w:cs="Times New Roman"/>
          <w:i/>
          <w:sz w:val="24"/>
          <w:szCs w:val="24"/>
        </w:rPr>
        <w:t>Per</w:t>
      </w:r>
      <w:r w:rsidR="002A016B" w:rsidRPr="002A016B">
        <w:rPr>
          <w:rFonts w:ascii="Times New Roman" w:hAnsi="Times New Roman" w:cs="Times New Roman"/>
          <w:i/>
          <w:sz w:val="24"/>
          <w:szCs w:val="24"/>
        </w:rPr>
        <w:t>ocessor</w:t>
      </w:r>
      <w:proofErr w:type="spellEnd"/>
      <w:r w:rsidR="002A016B" w:rsidRPr="002A01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6B" w:rsidRPr="002A016B">
        <w:rPr>
          <w:rFonts w:ascii="Times New Roman" w:hAnsi="Times New Roman" w:cs="Times New Roman"/>
          <w:i/>
          <w:sz w:val="24"/>
          <w:szCs w:val="24"/>
        </w:rPr>
        <w:t>Perpetual</w:t>
      </w:r>
      <w:proofErr w:type="spellEnd"/>
      <w:r w:rsidR="002A016B" w:rsidRPr="002A016B">
        <w:rPr>
          <w:rFonts w:ascii="Times New Roman" w:hAnsi="Times New Roman" w:cs="Times New Roman"/>
          <w:sz w:val="24"/>
          <w:szCs w:val="24"/>
        </w:rPr>
        <w:t xml:space="preserve"> 4 vnt. procesorinių licencijų. </w:t>
      </w:r>
    </w:p>
    <w:p w14:paraId="0F5E93E5" w14:textId="6EBBA65B" w:rsidR="00E72E38" w:rsidRPr="009B3043" w:rsidRDefault="002C6D79" w:rsidP="002A59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043">
        <w:rPr>
          <w:rFonts w:ascii="Times New Roman" w:eastAsia="Times New Roman" w:hAnsi="Times New Roman" w:cs="Times New Roman"/>
          <w:sz w:val="24"/>
          <w:szCs w:val="24"/>
        </w:rPr>
        <w:t>Iš Tarnybai pateiktų dokumentų</w:t>
      </w:r>
      <w:r w:rsidR="00721EF5" w:rsidRPr="009B3043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9B3043">
        <w:rPr>
          <w:rFonts w:ascii="Times New Roman" w:eastAsia="Times New Roman" w:hAnsi="Times New Roman" w:cs="Times New Roman"/>
          <w:sz w:val="24"/>
          <w:szCs w:val="24"/>
        </w:rPr>
        <w:t xml:space="preserve"> nustatyta, kad v</w:t>
      </w:r>
      <w:r w:rsidRPr="009B3043">
        <w:rPr>
          <w:rFonts w:ascii="Times New Roman" w:hAnsi="Times New Roman" w:cs="Times New Roman"/>
          <w:bCs/>
          <w:sz w:val="24"/>
          <w:szCs w:val="24"/>
        </w:rPr>
        <w:t xml:space="preserve">isos intelektinės nuosavybės teisės į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programinę įrangą priklauso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korporacijai, todėl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programinės įrangos metinį palaikymą ir techninę priežiūrą (įskaitant licencijų konvertavimą) gali atlikti tik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korporacija ir jos atstovybė –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East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Central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Europe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Limited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filialas</w:t>
      </w:r>
      <w:r w:rsidR="00721EF5" w:rsidRPr="009B3043">
        <w:rPr>
          <w:rFonts w:ascii="Times New Roman" w:hAnsi="Times New Roman" w:cs="Times New Roman"/>
          <w:bCs/>
          <w:sz w:val="24"/>
          <w:szCs w:val="24"/>
        </w:rPr>
        <w:t xml:space="preserve">. Perkančioji organizacija pažymi, kad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korporacijos partneriai</w:t>
      </w:r>
      <w:r w:rsidRPr="009B3043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4"/>
      </w:r>
      <w:r w:rsidRPr="009B3043">
        <w:rPr>
          <w:rFonts w:ascii="Times New Roman" w:hAnsi="Times New Roman" w:cs="Times New Roman"/>
          <w:bCs/>
          <w:sz w:val="24"/>
          <w:szCs w:val="24"/>
        </w:rPr>
        <w:t xml:space="preserve"> dvišalio susitarimo su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korporacija pagrindu turi teisę pasirašyti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programinės įrangos palaikymo paslaugų sutartis, tačiau faktines palaikymo paslaugas, įskaitant licencijų konvertavimo paslaugas</w:t>
      </w:r>
      <w:r w:rsidR="00721EF5" w:rsidRPr="009B3043">
        <w:rPr>
          <w:rFonts w:ascii="Times New Roman" w:hAnsi="Times New Roman" w:cs="Times New Roman"/>
          <w:bCs/>
          <w:sz w:val="24"/>
          <w:szCs w:val="24"/>
        </w:rPr>
        <w:t>,</w:t>
      </w:r>
      <w:r w:rsidRPr="009B3043">
        <w:rPr>
          <w:rFonts w:ascii="Times New Roman" w:hAnsi="Times New Roman" w:cs="Times New Roman"/>
          <w:bCs/>
          <w:sz w:val="24"/>
          <w:szCs w:val="24"/>
        </w:rPr>
        <w:t xml:space="preserve"> gali teikti tik </w:t>
      </w:r>
      <w:proofErr w:type="spellStart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>Oracle</w:t>
      </w:r>
      <w:proofErr w:type="spellEnd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>East</w:t>
      </w:r>
      <w:proofErr w:type="spellEnd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>Central</w:t>
      </w:r>
      <w:proofErr w:type="spellEnd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>Europe</w:t>
      </w:r>
      <w:proofErr w:type="spellEnd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>Limited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filialas, </w:t>
      </w:r>
      <w:r w:rsidRPr="009B304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kadangi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korporacijos partneriai nėra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East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Central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Europe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Limited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filialo įgalioti teikti minėtas paslaugas. </w:t>
      </w:r>
      <w:r w:rsidR="00721EF5" w:rsidRPr="009B3043">
        <w:rPr>
          <w:rFonts w:ascii="Times New Roman" w:hAnsi="Times New Roman" w:cs="Times New Roman"/>
          <w:bCs/>
          <w:sz w:val="24"/>
          <w:szCs w:val="24"/>
        </w:rPr>
        <w:t>Taigi, j</w:t>
      </w:r>
      <w:r w:rsidRPr="009B3043">
        <w:rPr>
          <w:rFonts w:ascii="Times New Roman" w:hAnsi="Times New Roman" w:cs="Times New Roman"/>
          <w:bCs/>
          <w:sz w:val="24"/>
          <w:szCs w:val="24"/>
        </w:rPr>
        <w:t xml:space="preserve">oks subjektas negali teisėtai naudoti </w:t>
      </w:r>
      <w:proofErr w:type="spellStart"/>
      <w:r w:rsidRPr="002A592B">
        <w:rPr>
          <w:rFonts w:ascii="Times New Roman" w:hAnsi="Times New Roman" w:cs="Times New Roman"/>
          <w:bCs/>
          <w:i/>
          <w:iCs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programinės įrangos nepasirašęs bendradarbiavimo sutarties (angl.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Master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Agreement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) su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programinės įrangos intelektinės nuosavybės teisių turėtoju Lietuvoje –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Oracle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East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Central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Europe</w:t>
      </w:r>
      <w:proofErr w:type="spellEnd"/>
      <w:r w:rsidRPr="009B30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3043">
        <w:rPr>
          <w:rFonts w:ascii="Times New Roman" w:hAnsi="Times New Roman" w:cs="Times New Roman"/>
          <w:bCs/>
          <w:i/>
          <w:sz w:val="24"/>
          <w:szCs w:val="24"/>
        </w:rPr>
        <w:t>Limited</w:t>
      </w:r>
      <w:proofErr w:type="spellEnd"/>
      <w:r w:rsidRPr="009B3043">
        <w:rPr>
          <w:rFonts w:ascii="Times New Roman" w:hAnsi="Times New Roman" w:cs="Times New Roman"/>
          <w:bCs/>
          <w:sz w:val="24"/>
          <w:szCs w:val="24"/>
        </w:rPr>
        <w:t xml:space="preserve"> filialu. </w:t>
      </w:r>
      <w:r w:rsidR="00721EF5" w:rsidRPr="009B3043">
        <w:rPr>
          <w:rFonts w:ascii="Times New Roman" w:hAnsi="Times New Roman" w:cs="Times New Roman"/>
          <w:bCs/>
          <w:sz w:val="24"/>
          <w:szCs w:val="24"/>
        </w:rPr>
        <w:t>Atsižvelgdama</w:t>
      </w:r>
      <w:r w:rsidR="009B3043" w:rsidRPr="009B3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E38" w:rsidRPr="009B3043">
        <w:rPr>
          <w:rFonts w:ascii="Times New Roman" w:eastAsia="Times New Roman" w:hAnsi="Times New Roman" w:cs="Times New Roman"/>
          <w:bCs/>
          <w:sz w:val="24"/>
          <w:szCs w:val="24"/>
        </w:rPr>
        <w:t xml:space="preserve">į aukščiau nurodytas aplinkybes, </w:t>
      </w:r>
      <w:r w:rsidR="009B3043" w:rsidRPr="009B3043">
        <w:rPr>
          <w:rFonts w:ascii="Times New Roman" w:eastAsia="Times New Roman" w:hAnsi="Times New Roman" w:cs="Times New Roman"/>
          <w:bCs/>
          <w:sz w:val="24"/>
          <w:szCs w:val="24"/>
        </w:rPr>
        <w:t>Perkančiosios</w:t>
      </w:r>
      <w:r w:rsidR="00E72E38" w:rsidRPr="009B3043">
        <w:rPr>
          <w:rFonts w:ascii="Times New Roman" w:eastAsia="Times New Roman" w:hAnsi="Times New Roman" w:cs="Times New Roman"/>
          <w:bCs/>
          <w:sz w:val="24"/>
          <w:szCs w:val="24"/>
        </w:rPr>
        <w:t xml:space="preserve"> organizacijos vieš</w:t>
      </w:r>
      <w:r w:rsidR="009B3043" w:rsidRPr="009B3043">
        <w:rPr>
          <w:rFonts w:ascii="Times New Roman" w:eastAsia="Times New Roman" w:hAnsi="Times New Roman" w:cs="Times New Roman"/>
          <w:bCs/>
          <w:sz w:val="24"/>
          <w:szCs w:val="24"/>
        </w:rPr>
        <w:t>ojo</w:t>
      </w:r>
      <w:r w:rsidR="00E72E38" w:rsidRPr="009B3043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</w:t>
      </w:r>
      <w:r w:rsidR="009B3043" w:rsidRPr="009B3043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E72E38" w:rsidRPr="009B3043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komisija priėmė sprendimą Pirkimą vykdyti neskelbiamų derybų būdu kreipiantis į konkretų tiekėją</w:t>
      </w:r>
      <w:r w:rsidR="00E72E38" w:rsidRPr="009B3043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5"/>
      </w:r>
      <w:r w:rsidR="00E72E38" w:rsidRPr="009B3043">
        <w:rPr>
          <w:rFonts w:ascii="Times New Roman" w:eastAsia="Times New Roman" w:hAnsi="Times New Roman" w:cs="Times New Roman"/>
          <w:bCs/>
          <w:sz w:val="24"/>
          <w:szCs w:val="24"/>
        </w:rPr>
        <w:t xml:space="preserve"> ir prašo Tarnybos sutikimo dėl tokio pirkimo būdo pasirinkimo. </w:t>
      </w:r>
    </w:p>
    <w:p w14:paraId="3A5C6573" w14:textId="7D913DA9" w:rsidR="00E72E38" w:rsidRDefault="00E72E38" w:rsidP="002A592B">
      <w:pPr>
        <w:spacing w:after="0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bookmarkStart w:id="1" w:name="_Hlk512591765"/>
      <w:r w:rsidRPr="00862A4E">
        <w:rPr>
          <w:rFonts w:ascii="Times New Roman" w:eastAsia="Calibri" w:hAnsi="Times New Roman" w:cs="Times New Roman"/>
          <w:sz w:val="24"/>
          <w:szCs w:val="24"/>
        </w:rPr>
        <w:t>71 straipsnio 1 dalies 2 punkto (c) papunk</w:t>
      </w:r>
      <w:r>
        <w:rPr>
          <w:rFonts w:ascii="Times New Roman" w:eastAsia="Calibri" w:hAnsi="Times New Roman" w:cs="Times New Roman"/>
          <w:sz w:val="24"/>
          <w:szCs w:val="24"/>
        </w:rPr>
        <w:t>tyje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Pr="00862A4E">
        <w:rPr>
          <w:rFonts w:ascii="Times New Roman" w:eastAsia="Calibri" w:hAnsi="Times New Roman" w:cs="Times New Roman"/>
          <w:sz w:val="24"/>
          <w:szCs w:val="24"/>
        </w:rPr>
        <w:t>nu</w:t>
      </w:r>
      <w:r>
        <w:rPr>
          <w:rFonts w:ascii="Times New Roman" w:eastAsia="Calibri" w:hAnsi="Times New Roman" w:cs="Times New Roman"/>
          <w:sz w:val="24"/>
          <w:szCs w:val="24"/>
        </w:rPr>
        <w:t>statyta,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pati</w:t>
      </w:r>
      <w:r w:rsidR="009B3043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&lt;...&gt;“.</w:t>
      </w:r>
    </w:p>
    <w:p w14:paraId="05ACBB88" w14:textId="75D8C38E" w:rsidR="00E72E38" w:rsidRPr="00B3372D" w:rsidRDefault="00E72E38" w:rsidP="002A59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 w:rsidR="009B3043">
        <w:rPr>
          <w:rFonts w:ascii="Times New Roman" w:eastAsia="Times New Roman" w:hAnsi="Times New Roman" w:cs="Times New Roman"/>
          <w:sz w:val="24"/>
          <w:szCs w:val="24"/>
        </w:rPr>
        <w:t>Perkančiosios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organizacijos prašyme nurodytas aplinkybes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bei pateiktus argumentus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juos pagrindžiančius dokumentus,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nustatė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paslaugų pirkimo būdas atitinka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nuostatas, t. y. nagrinėjamu atveju dėl išimtinių teisių apsaugos Pirkimu siekiamas įsigyti paslaugas – </w:t>
      </w:r>
      <w:proofErr w:type="spellStart"/>
      <w:r w:rsidRPr="009B3043">
        <w:rPr>
          <w:rFonts w:ascii="Times New Roman" w:eastAsia="Times New Roman" w:hAnsi="Times New Roman" w:cs="Times New Roman"/>
          <w:i/>
          <w:sz w:val="24"/>
          <w:szCs w:val="24"/>
        </w:rPr>
        <w:t>Oracle</w:t>
      </w:r>
      <w:proofErr w:type="spellEnd"/>
      <w:r w:rsidRPr="00D05DEF">
        <w:rPr>
          <w:rFonts w:ascii="Times New Roman" w:eastAsia="Times New Roman" w:hAnsi="Times New Roman" w:cs="Times New Roman"/>
          <w:iCs/>
          <w:sz w:val="24"/>
          <w:szCs w:val="24"/>
        </w:rPr>
        <w:t xml:space="preserve"> programinės įrangos </w:t>
      </w:r>
      <w:r w:rsidR="009B3043">
        <w:rPr>
          <w:rFonts w:ascii="Times New Roman" w:eastAsia="Times New Roman" w:hAnsi="Times New Roman" w:cs="Times New Roman"/>
          <w:iCs/>
          <w:sz w:val="24"/>
          <w:szCs w:val="24"/>
        </w:rPr>
        <w:t xml:space="preserve">techninio </w:t>
      </w:r>
      <w:r w:rsidRPr="00D05DEF">
        <w:rPr>
          <w:rFonts w:ascii="Times New Roman" w:eastAsia="Times New Roman" w:hAnsi="Times New Roman" w:cs="Times New Roman"/>
          <w:iCs/>
          <w:sz w:val="24"/>
          <w:szCs w:val="24"/>
        </w:rPr>
        <w:t xml:space="preserve">palaikymo </w:t>
      </w:r>
      <w:r w:rsidR="009B3043">
        <w:rPr>
          <w:rFonts w:ascii="Times New Roman" w:eastAsia="Times New Roman" w:hAnsi="Times New Roman" w:cs="Times New Roman"/>
          <w:iCs/>
          <w:sz w:val="24"/>
          <w:szCs w:val="24"/>
        </w:rPr>
        <w:t xml:space="preserve">ir licencijų konvertavimo </w:t>
      </w:r>
      <w:r w:rsidRPr="00D05DEF">
        <w:rPr>
          <w:rFonts w:ascii="Times New Roman" w:eastAsia="Times New Roman" w:hAnsi="Times New Roman" w:cs="Times New Roman"/>
          <w:iCs/>
          <w:sz w:val="24"/>
          <w:szCs w:val="24"/>
        </w:rPr>
        <w:t>paslaug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gali suteikti tik konkretus tiekėjas.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Atsižvelgdama į</w:t>
      </w:r>
      <w:r w:rsidRPr="0061022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aukščiau išdėstytą bei vadovaudamasi Įstatymo 95 straipsnio 2 dalies 6 punkto nuostatomis, </w:t>
      </w:r>
      <w:r w:rsidRPr="0061022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0C5">
        <w:rPr>
          <w:rFonts w:ascii="Times New Roman" w:hAnsi="Times New Roman" w:cs="Times New Roman"/>
          <w:b/>
          <w:sz w:val="24"/>
          <w:szCs w:val="24"/>
        </w:rPr>
        <w:t>sutinka</w:t>
      </w:r>
      <w:r>
        <w:rPr>
          <w:rFonts w:ascii="Times New Roman" w:hAnsi="Times New Roman" w:cs="Times New Roman"/>
          <w:sz w:val="24"/>
          <w:szCs w:val="24"/>
        </w:rPr>
        <w:t xml:space="preserve">, kad </w:t>
      </w:r>
      <w:r w:rsidR="009B3043">
        <w:rPr>
          <w:rFonts w:ascii="Times New Roman" w:hAnsi="Times New Roman" w:cs="Times New Roman"/>
          <w:sz w:val="24"/>
          <w:szCs w:val="24"/>
        </w:rPr>
        <w:t>Perkančioji</w:t>
      </w:r>
      <w:r>
        <w:rPr>
          <w:rFonts w:ascii="Times New Roman" w:hAnsi="Times New Roman" w:cs="Times New Roman"/>
          <w:sz w:val="24"/>
          <w:szCs w:val="24"/>
        </w:rPr>
        <w:t xml:space="preserve"> organizacija </w:t>
      </w:r>
      <w:r w:rsidR="009B3043" w:rsidRPr="009B3043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0F20C5">
        <w:rPr>
          <w:rFonts w:ascii="Times New Roman" w:eastAsia="Calibri" w:hAnsi="Times New Roman" w:cs="Times New Roman"/>
          <w:sz w:val="24"/>
          <w:szCs w:val="24"/>
        </w:rPr>
        <w:t>irkimą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vykdytų neskelbiamų derybų būdu </w:t>
      </w:r>
      <w:r w:rsidRPr="007A5BF7">
        <w:rPr>
          <w:rFonts w:ascii="Times New Roman" w:hAnsi="Times New Roman" w:cs="Times New Roman"/>
          <w:sz w:val="24"/>
          <w:szCs w:val="24"/>
        </w:rPr>
        <w:t xml:space="preserve">vadovaujantis Įstatymo </w:t>
      </w:r>
      <w:bookmarkStart w:id="2" w:name="_Hlk769388"/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papunkči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5BF7">
        <w:rPr>
          <w:rFonts w:ascii="Times New Roman" w:hAnsi="Times New Roman" w:cs="Times New Roman"/>
          <w:sz w:val="24"/>
          <w:szCs w:val="24"/>
        </w:rPr>
        <w:t xml:space="preserve"> nuostatomis, į derybas kviečiant </w:t>
      </w:r>
      <w:proofErr w:type="spellStart"/>
      <w:r w:rsidRPr="002A59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Oracle</w:t>
      </w:r>
      <w:proofErr w:type="spellEnd"/>
      <w:r w:rsidRPr="002A59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59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East</w:t>
      </w:r>
      <w:proofErr w:type="spellEnd"/>
      <w:r w:rsidRPr="002A59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59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Central</w:t>
      </w:r>
      <w:proofErr w:type="spellEnd"/>
      <w:r w:rsidRPr="002A59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59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Europe</w:t>
      </w:r>
      <w:proofErr w:type="spellEnd"/>
      <w:r w:rsidRPr="002A59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59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Limited</w:t>
      </w:r>
      <w:proofErr w:type="spellEnd"/>
      <w:r w:rsidRPr="00986BBB">
        <w:rPr>
          <w:rFonts w:ascii="Times New Roman" w:eastAsia="Times New Roman" w:hAnsi="Times New Roman" w:cs="Times New Roman"/>
          <w:bCs/>
          <w:sz w:val="24"/>
          <w:szCs w:val="24"/>
        </w:rPr>
        <w:t xml:space="preserve"> filial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7A5BF7">
        <w:rPr>
          <w:rFonts w:ascii="Times New Roman" w:hAnsi="Times New Roman" w:cs="Times New Roman"/>
          <w:sz w:val="24"/>
          <w:szCs w:val="24"/>
        </w:rPr>
        <w:t>.</w:t>
      </w:r>
    </w:p>
    <w:p w14:paraId="56D46D87" w14:textId="77777777" w:rsidR="00B80646" w:rsidRDefault="00B80646" w:rsidP="006E4C64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EA09E" w14:textId="77777777" w:rsidR="00DE5BF4" w:rsidRPr="00E362AB" w:rsidRDefault="00DE5BF4" w:rsidP="00AC4BD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 xml:space="preserve">Direktoriaus pavaduotoja, </w:t>
      </w:r>
    </w:p>
    <w:p w14:paraId="79E4A61C" w14:textId="77777777" w:rsidR="00DE5BF4" w:rsidRDefault="00DE5BF4" w:rsidP="00DE5BF4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laikinai atliekanti direktoriaus funkcijas</w:t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Jovita Petkuvienė </w:t>
      </w:r>
    </w:p>
    <w:bookmarkEnd w:id="3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732B9A6F" w14:textId="0FF07F04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52BB7" w14:textId="1BFDE55A" w:rsidR="000A4621" w:rsidRDefault="000A462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466A3" w14:textId="29C74022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7CF83" w14:textId="57291A8F" w:rsidR="00D54E95" w:rsidRDefault="00D54E9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EA379" w14:textId="69623A36" w:rsidR="00D03ABB" w:rsidRDefault="00D03AB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020FA" w14:textId="1ADDFE39" w:rsidR="00D03ABB" w:rsidRDefault="00D03AB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BC13F" w14:textId="77777777" w:rsidR="00D03ABB" w:rsidRDefault="00D03AB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F3917" w14:textId="71EDDD87" w:rsidR="00953E05" w:rsidRDefault="00953E0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8F0CD" w14:textId="77777777" w:rsidR="00953E05" w:rsidRDefault="00953E0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A4BC4" w14:textId="5B678B4E" w:rsidR="00D54E95" w:rsidRDefault="00D54E9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81FCE" w14:textId="05C8EDF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DE531" w14:textId="152E2EB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2F8E0" w14:textId="7DD26D6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5788A" w14:textId="77777777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332A5" w14:textId="7D96049A" w:rsidR="00181EF8" w:rsidRDefault="00181EF8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B83A6" w14:textId="29367350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28F38" w14:textId="7C6D11EF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5FFAC" w14:textId="213E6172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2BFA0" w14:textId="77777777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  <w:p w14:paraId="25BEC115" w14:textId="208090B1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EB689" w14:textId="77777777" w:rsidR="006C6F38" w:rsidRDefault="006C6F38">
      <w:pPr>
        <w:spacing w:after="0" w:line="240" w:lineRule="auto"/>
      </w:pPr>
      <w:r>
        <w:separator/>
      </w:r>
    </w:p>
  </w:endnote>
  <w:endnote w:type="continuationSeparator" w:id="0">
    <w:p w14:paraId="0711F306" w14:textId="77777777" w:rsidR="006C6F38" w:rsidRDefault="006C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7DD9" w14:textId="77777777" w:rsidR="006C06BD" w:rsidRDefault="006C6F38">
    <w:pPr>
      <w:pStyle w:val="Footer"/>
    </w:pPr>
  </w:p>
  <w:p w14:paraId="38D7BB4F" w14:textId="77777777" w:rsidR="006C06BD" w:rsidRDefault="006C6F38">
    <w:pPr>
      <w:pStyle w:val="Footer"/>
    </w:pPr>
  </w:p>
  <w:p w14:paraId="4739987F" w14:textId="77777777" w:rsidR="006C06BD" w:rsidRDefault="006C6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4A0C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6E16BC01" wp14:editId="79375E08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58A764A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5BE8DD1B" w14:textId="77777777" w:rsidR="00CA7222" w:rsidRPr="004948EF" w:rsidRDefault="006C6F38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6C6F38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F01FB" w14:textId="77777777" w:rsidR="006C6F38" w:rsidRDefault="006C6F38">
      <w:pPr>
        <w:spacing w:after="0" w:line="240" w:lineRule="auto"/>
      </w:pPr>
      <w:r>
        <w:separator/>
      </w:r>
    </w:p>
  </w:footnote>
  <w:footnote w:type="continuationSeparator" w:id="0">
    <w:p w14:paraId="19472053" w14:textId="77777777" w:rsidR="006C6F38" w:rsidRDefault="006C6F38">
      <w:pPr>
        <w:spacing w:after="0" w:line="240" w:lineRule="auto"/>
      </w:pPr>
      <w:r>
        <w:continuationSeparator/>
      </w:r>
    </w:p>
  </w:footnote>
  <w:footnote w:id="1">
    <w:p w14:paraId="2A850C8A" w14:textId="69A064FE" w:rsidR="002A016B" w:rsidRPr="009B3043" w:rsidRDefault="002A016B" w:rsidP="009B3043">
      <w:pPr>
        <w:pStyle w:val="FootnoteText"/>
        <w:jc w:val="both"/>
        <w:rPr>
          <w:rFonts w:ascii="Times New Roman" w:hAnsi="Times New Roman" w:cs="Times New Roman"/>
        </w:rPr>
      </w:pPr>
      <w:r w:rsidRPr="009B3043">
        <w:rPr>
          <w:rStyle w:val="FootnoteReference"/>
          <w:rFonts w:ascii="Times New Roman" w:hAnsi="Times New Roman" w:cs="Times New Roman"/>
        </w:rPr>
        <w:footnoteRef/>
      </w:r>
      <w:r w:rsidRPr="009B3043">
        <w:rPr>
          <w:rFonts w:ascii="Times New Roman" w:hAnsi="Times New Roman" w:cs="Times New Roman"/>
        </w:rPr>
        <w:t xml:space="preserve"> Sutarties Nr. 41.16-50, sudaryta su </w:t>
      </w:r>
      <w:proofErr w:type="spellStart"/>
      <w:r w:rsidRPr="009B3043">
        <w:rPr>
          <w:rFonts w:ascii="Times New Roman" w:hAnsi="Times New Roman" w:cs="Times New Roman"/>
        </w:rPr>
        <w:t>SoftwareONE</w:t>
      </w:r>
      <w:proofErr w:type="spellEnd"/>
      <w:r w:rsidRPr="009B3043">
        <w:rPr>
          <w:rFonts w:ascii="Times New Roman" w:hAnsi="Times New Roman" w:cs="Times New Roman"/>
        </w:rPr>
        <w:t xml:space="preserve"> B.V.;</w:t>
      </w:r>
    </w:p>
  </w:footnote>
  <w:footnote w:id="2">
    <w:p w14:paraId="1062451E" w14:textId="5A54C31A" w:rsidR="00886DE7" w:rsidRPr="009B3043" w:rsidRDefault="00886DE7" w:rsidP="009B3043">
      <w:pPr>
        <w:pStyle w:val="FootnoteText"/>
        <w:jc w:val="both"/>
        <w:rPr>
          <w:rFonts w:ascii="Times New Roman" w:hAnsi="Times New Roman" w:cs="Times New Roman"/>
        </w:rPr>
      </w:pPr>
      <w:r w:rsidRPr="009B3043">
        <w:rPr>
          <w:rStyle w:val="FootnoteReference"/>
          <w:rFonts w:ascii="Times New Roman" w:hAnsi="Times New Roman" w:cs="Times New Roman"/>
        </w:rPr>
        <w:footnoteRef/>
      </w:r>
      <w:r w:rsidRPr="009B3043">
        <w:rPr>
          <w:rFonts w:ascii="Times New Roman" w:hAnsi="Times New Roman" w:cs="Times New Roman"/>
        </w:rPr>
        <w:t xml:space="preserve"> Sutarties Nr. 41.16-113</w:t>
      </w:r>
      <w:r w:rsidR="000B133A" w:rsidRPr="009B3043">
        <w:rPr>
          <w:rFonts w:ascii="Times New Roman" w:hAnsi="Times New Roman" w:cs="Times New Roman"/>
        </w:rPr>
        <w:t>, sudaryta</w:t>
      </w:r>
      <w:r w:rsidRPr="009B3043">
        <w:rPr>
          <w:rFonts w:ascii="Times New Roman" w:hAnsi="Times New Roman" w:cs="Times New Roman"/>
        </w:rPr>
        <w:t xml:space="preserve"> su </w:t>
      </w:r>
      <w:proofErr w:type="spellStart"/>
      <w:r w:rsidRPr="009B3043">
        <w:rPr>
          <w:rFonts w:ascii="Times New Roman" w:hAnsi="Times New Roman" w:cs="Times New Roman"/>
        </w:rPr>
        <w:t>SoftwareONE</w:t>
      </w:r>
      <w:proofErr w:type="spellEnd"/>
      <w:r w:rsidRPr="009B3043">
        <w:rPr>
          <w:rFonts w:ascii="Times New Roman" w:hAnsi="Times New Roman" w:cs="Times New Roman"/>
        </w:rPr>
        <w:t xml:space="preserve"> B.V.</w:t>
      </w:r>
      <w:r w:rsidR="000B133A" w:rsidRPr="009B3043">
        <w:rPr>
          <w:rFonts w:ascii="Times New Roman" w:hAnsi="Times New Roman" w:cs="Times New Roman"/>
        </w:rPr>
        <w:t>;</w:t>
      </w:r>
    </w:p>
  </w:footnote>
  <w:footnote w:id="3">
    <w:p w14:paraId="34004FF1" w14:textId="097A9C89" w:rsidR="00721EF5" w:rsidRPr="009B3043" w:rsidRDefault="00721EF5" w:rsidP="009B3043">
      <w:pPr>
        <w:pStyle w:val="FootnoteText"/>
        <w:jc w:val="both"/>
        <w:rPr>
          <w:rFonts w:ascii="Times New Roman" w:hAnsi="Times New Roman" w:cs="Times New Roman"/>
        </w:rPr>
      </w:pPr>
      <w:r w:rsidRPr="009B3043">
        <w:rPr>
          <w:rStyle w:val="FootnoteReference"/>
          <w:rFonts w:ascii="Times New Roman" w:hAnsi="Times New Roman" w:cs="Times New Roman"/>
        </w:rPr>
        <w:footnoteRef/>
      </w:r>
      <w:r w:rsidRPr="009B3043">
        <w:rPr>
          <w:rFonts w:ascii="Times New Roman" w:hAnsi="Times New Roman" w:cs="Times New Roman"/>
        </w:rPr>
        <w:t xml:space="preserve"> </w:t>
      </w:r>
      <w:proofErr w:type="spellStart"/>
      <w:r w:rsidRPr="009B3043">
        <w:rPr>
          <w:rFonts w:ascii="Times New Roman" w:hAnsi="Times New Roman" w:cs="Times New Roman"/>
        </w:rPr>
        <w:t>Oracle</w:t>
      </w:r>
      <w:proofErr w:type="spellEnd"/>
      <w:r w:rsidRPr="009B3043">
        <w:rPr>
          <w:rFonts w:ascii="Times New Roman" w:hAnsi="Times New Roman" w:cs="Times New Roman"/>
        </w:rPr>
        <w:t xml:space="preserve"> </w:t>
      </w:r>
      <w:proofErr w:type="spellStart"/>
      <w:r w:rsidRPr="009B3043">
        <w:rPr>
          <w:rFonts w:ascii="Times New Roman" w:hAnsi="Times New Roman" w:cs="Times New Roman"/>
        </w:rPr>
        <w:t>East</w:t>
      </w:r>
      <w:proofErr w:type="spellEnd"/>
      <w:r w:rsidRPr="009B3043">
        <w:rPr>
          <w:rFonts w:ascii="Times New Roman" w:hAnsi="Times New Roman" w:cs="Times New Roman"/>
        </w:rPr>
        <w:t xml:space="preserve"> </w:t>
      </w:r>
      <w:proofErr w:type="spellStart"/>
      <w:r w:rsidRPr="009B3043">
        <w:rPr>
          <w:rFonts w:ascii="Times New Roman" w:hAnsi="Times New Roman" w:cs="Times New Roman"/>
        </w:rPr>
        <w:t>Central</w:t>
      </w:r>
      <w:proofErr w:type="spellEnd"/>
      <w:r w:rsidRPr="009B3043">
        <w:rPr>
          <w:rFonts w:ascii="Times New Roman" w:hAnsi="Times New Roman" w:cs="Times New Roman"/>
        </w:rPr>
        <w:t xml:space="preserve"> </w:t>
      </w:r>
      <w:proofErr w:type="spellStart"/>
      <w:r w:rsidRPr="009B3043">
        <w:rPr>
          <w:rFonts w:ascii="Times New Roman" w:hAnsi="Times New Roman" w:cs="Times New Roman"/>
        </w:rPr>
        <w:t>Europe</w:t>
      </w:r>
      <w:proofErr w:type="spellEnd"/>
      <w:r w:rsidRPr="009B3043">
        <w:rPr>
          <w:rFonts w:ascii="Times New Roman" w:hAnsi="Times New Roman" w:cs="Times New Roman"/>
        </w:rPr>
        <w:t xml:space="preserve"> </w:t>
      </w:r>
      <w:proofErr w:type="spellStart"/>
      <w:r w:rsidRPr="009B3043">
        <w:rPr>
          <w:rFonts w:ascii="Times New Roman" w:hAnsi="Times New Roman" w:cs="Times New Roman"/>
        </w:rPr>
        <w:t>Limited</w:t>
      </w:r>
      <w:proofErr w:type="spellEnd"/>
      <w:r w:rsidRPr="009B3043">
        <w:rPr>
          <w:rFonts w:ascii="Times New Roman" w:hAnsi="Times New Roman" w:cs="Times New Roman"/>
        </w:rPr>
        <w:t xml:space="preserve"> filialo 2020 m. vasario 3 d. raštas Nr. O1300324;</w:t>
      </w:r>
    </w:p>
  </w:footnote>
  <w:footnote w:id="4">
    <w:p w14:paraId="7512D009" w14:textId="37D21614" w:rsidR="002C6D79" w:rsidRPr="009B3043" w:rsidRDefault="002C6D79" w:rsidP="009B3043">
      <w:pPr>
        <w:pStyle w:val="FootnoteText"/>
        <w:jc w:val="both"/>
        <w:rPr>
          <w:rFonts w:ascii="Times New Roman" w:hAnsi="Times New Roman" w:cs="Times New Roman"/>
          <w:color w:val="6E717F"/>
        </w:rPr>
      </w:pPr>
      <w:r w:rsidRPr="009B3043">
        <w:rPr>
          <w:rStyle w:val="FootnoteReference"/>
          <w:rFonts w:ascii="Times New Roman" w:hAnsi="Times New Roman" w:cs="Times New Roman"/>
        </w:rPr>
        <w:footnoteRef/>
      </w:r>
      <w:r w:rsidRPr="009B3043">
        <w:rPr>
          <w:rFonts w:ascii="Times New Roman" w:hAnsi="Times New Roman" w:cs="Times New Roman"/>
        </w:rPr>
        <w:t xml:space="preserve"> Aktualus partnerių sąrašas: </w:t>
      </w:r>
      <w:r w:rsidRPr="009B3043">
        <w:rPr>
          <w:rStyle w:val="Hyperlink"/>
          <w:rFonts w:ascii="Times New Roman" w:hAnsi="Times New Roman" w:cs="Times New Roman"/>
        </w:rPr>
        <w:t>https://solutions.oracle.com/scwar/scr/Partners/index.html?canned_Search=PP_RR_ALL</w:t>
      </w:r>
      <w:r w:rsidRPr="009B3043">
        <w:rPr>
          <w:rFonts w:ascii="Times New Roman" w:hAnsi="Times New Roman" w:cs="Times New Roman"/>
        </w:rPr>
        <w:t xml:space="preserve">; </w:t>
      </w:r>
    </w:p>
  </w:footnote>
  <w:footnote w:id="5">
    <w:p w14:paraId="42712F20" w14:textId="2151F5CF" w:rsidR="00E72E38" w:rsidRPr="009B3043" w:rsidRDefault="00E72E38" w:rsidP="009B3043">
      <w:pPr>
        <w:pStyle w:val="FootnoteText"/>
        <w:jc w:val="both"/>
        <w:rPr>
          <w:rFonts w:ascii="Times New Roman" w:hAnsi="Times New Roman" w:cs="Times New Roman"/>
        </w:rPr>
      </w:pPr>
      <w:r w:rsidRPr="009B3043">
        <w:rPr>
          <w:rStyle w:val="FootnoteReference"/>
          <w:rFonts w:ascii="Times New Roman" w:hAnsi="Times New Roman" w:cs="Times New Roman"/>
        </w:rPr>
        <w:footnoteRef/>
      </w:r>
      <w:r w:rsidRPr="009B3043">
        <w:rPr>
          <w:rFonts w:ascii="Times New Roman" w:hAnsi="Times New Roman" w:cs="Times New Roman"/>
        </w:rPr>
        <w:t xml:space="preserve"> </w:t>
      </w:r>
      <w:r w:rsidR="009B3043" w:rsidRPr="009B3043">
        <w:rPr>
          <w:rFonts w:ascii="Times New Roman" w:hAnsi="Times New Roman" w:cs="Times New Roman"/>
        </w:rPr>
        <w:t xml:space="preserve">Viešojo pirkimo komisijos 2020 m. kovo 3 d. posėdžio dėl </w:t>
      </w:r>
      <w:proofErr w:type="spellStart"/>
      <w:r w:rsidR="009B3043" w:rsidRPr="009B3043">
        <w:rPr>
          <w:rFonts w:ascii="Times New Roman" w:hAnsi="Times New Roman" w:cs="Times New Roman"/>
        </w:rPr>
        <w:t>Oracle</w:t>
      </w:r>
      <w:proofErr w:type="spellEnd"/>
      <w:r w:rsidR="009B3043" w:rsidRPr="009B3043">
        <w:rPr>
          <w:rFonts w:ascii="Times New Roman" w:hAnsi="Times New Roman" w:cs="Times New Roman"/>
        </w:rPr>
        <w:t xml:space="preserve"> programinės įrangos techninio palaikymo ir licencijų konvertavimo (pirkimo ID ITD10) pirkimo protokolas Nr.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6C6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6C6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47A2"/>
    <w:rsid w:val="00026F51"/>
    <w:rsid w:val="00034134"/>
    <w:rsid w:val="000346B0"/>
    <w:rsid w:val="00036A1A"/>
    <w:rsid w:val="00041E40"/>
    <w:rsid w:val="0004399C"/>
    <w:rsid w:val="00051642"/>
    <w:rsid w:val="00053836"/>
    <w:rsid w:val="000555F7"/>
    <w:rsid w:val="00057F5A"/>
    <w:rsid w:val="00060915"/>
    <w:rsid w:val="00066E27"/>
    <w:rsid w:val="00067CF7"/>
    <w:rsid w:val="00072683"/>
    <w:rsid w:val="00081B22"/>
    <w:rsid w:val="0009012B"/>
    <w:rsid w:val="00093FC9"/>
    <w:rsid w:val="000A01B4"/>
    <w:rsid w:val="000A1623"/>
    <w:rsid w:val="000A2896"/>
    <w:rsid w:val="000A4621"/>
    <w:rsid w:val="000B133A"/>
    <w:rsid w:val="000B39C8"/>
    <w:rsid w:val="000B70B6"/>
    <w:rsid w:val="000C4049"/>
    <w:rsid w:val="000D2B9E"/>
    <w:rsid w:val="000D2D59"/>
    <w:rsid w:val="000D5124"/>
    <w:rsid w:val="000D7557"/>
    <w:rsid w:val="000E365F"/>
    <w:rsid w:val="000E4C54"/>
    <w:rsid w:val="000E5ADB"/>
    <w:rsid w:val="000F0E3D"/>
    <w:rsid w:val="00100B19"/>
    <w:rsid w:val="001014E7"/>
    <w:rsid w:val="00101D97"/>
    <w:rsid w:val="00104B76"/>
    <w:rsid w:val="0010614B"/>
    <w:rsid w:val="00111549"/>
    <w:rsid w:val="00113011"/>
    <w:rsid w:val="001217B9"/>
    <w:rsid w:val="0012489C"/>
    <w:rsid w:val="001406A0"/>
    <w:rsid w:val="001501C4"/>
    <w:rsid w:val="00150F16"/>
    <w:rsid w:val="001655E4"/>
    <w:rsid w:val="001753A4"/>
    <w:rsid w:val="0018108B"/>
    <w:rsid w:val="00181EF8"/>
    <w:rsid w:val="00192521"/>
    <w:rsid w:val="00193A9A"/>
    <w:rsid w:val="001956C8"/>
    <w:rsid w:val="00196361"/>
    <w:rsid w:val="001A46CA"/>
    <w:rsid w:val="001A641A"/>
    <w:rsid w:val="001A736A"/>
    <w:rsid w:val="001B4AE3"/>
    <w:rsid w:val="001C0205"/>
    <w:rsid w:val="001D7AD1"/>
    <w:rsid w:val="001E539D"/>
    <w:rsid w:val="001E6A1D"/>
    <w:rsid w:val="001F66AF"/>
    <w:rsid w:val="002005C6"/>
    <w:rsid w:val="00200CEE"/>
    <w:rsid w:val="002252D5"/>
    <w:rsid w:val="00227411"/>
    <w:rsid w:val="002362BE"/>
    <w:rsid w:val="00236B7C"/>
    <w:rsid w:val="00237BD2"/>
    <w:rsid w:val="002479B5"/>
    <w:rsid w:val="00247A77"/>
    <w:rsid w:val="00263E4F"/>
    <w:rsid w:val="00267761"/>
    <w:rsid w:val="00267DBF"/>
    <w:rsid w:val="002711C3"/>
    <w:rsid w:val="00285673"/>
    <w:rsid w:val="0029132D"/>
    <w:rsid w:val="00296520"/>
    <w:rsid w:val="00297EA6"/>
    <w:rsid w:val="002A016B"/>
    <w:rsid w:val="002A2A0A"/>
    <w:rsid w:val="002A3684"/>
    <w:rsid w:val="002A592B"/>
    <w:rsid w:val="002B1D26"/>
    <w:rsid w:val="002B32D7"/>
    <w:rsid w:val="002C399D"/>
    <w:rsid w:val="002C6D79"/>
    <w:rsid w:val="002D5A76"/>
    <w:rsid w:val="002D619F"/>
    <w:rsid w:val="002E1B27"/>
    <w:rsid w:val="002E3895"/>
    <w:rsid w:val="002E44D7"/>
    <w:rsid w:val="002E5B40"/>
    <w:rsid w:val="002F201C"/>
    <w:rsid w:val="00300469"/>
    <w:rsid w:val="00303555"/>
    <w:rsid w:val="00305E5E"/>
    <w:rsid w:val="0031378D"/>
    <w:rsid w:val="00314C74"/>
    <w:rsid w:val="00322B33"/>
    <w:rsid w:val="00333C7C"/>
    <w:rsid w:val="00335678"/>
    <w:rsid w:val="00340684"/>
    <w:rsid w:val="003602FF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0B90"/>
    <w:rsid w:val="003D2E27"/>
    <w:rsid w:val="003D389D"/>
    <w:rsid w:val="003E4388"/>
    <w:rsid w:val="004045AD"/>
    <w:rsid w:val="00406E07"/>
    <w:rsid w:val="0041101D"/>
    <w:rsid w:val="00415B4D"/>
    <w:rsid w:val="00421460"/>
    <w:rsid w:val="00425E7C"/>
    <w:rsid w:val="004265A1"/>
    <w:rsid w:val="0043239D"/>
    <w:rsid w:val="00437775"/>
    <w:rsid w:val="00442F56"/>
    <w:rsid w:val="004436E3"/>
    <w:rsid w:val="004502D8"/>
    <w:rsid w:val="00450547"/>
    <w:rsid w:val="00450B4F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616A"/>
    <w:rsid w:val="00477EF5"/>
    <w:rsid w:val="0048076F"/>
    <w:rsid w:val="00484049"/>
    <w:rsid w:val="004927F3"/>
    <w:rsid w:val="0049457A"/>
    <w:rsid w:val="004948EF"/>
    <w:rsid w:val="00496492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CE8"/>
    <w:rsid w:val="004E690C"/>
    <w:rsid w:val="004F1A24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67A"/>
    <w:rsid w:val="00542EA0"/>
    <w:rsid w:val="00546B5E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A58FD"/>
    <w:rsid w:val="005A7652"/>
    <w:rsid w:val="005B14F1"/>
    <w:rsid w:val="005B1A1E"/>
    <w:rsid w:val="005B6514"/>
    <w:rsid w:val="005B7560"/>
    <w:rsid w:val="005E3B47"/>
    <w:rsid w:val="005E647C"/>
    <w:rsid w:val="005E7C14"/>
    <w:rsid w:val="005F53EC"/>
    <w:rsid w:val="00604C78"/>
    <w:rsid w:val="0060644D"/>
    <w:rsid w:val="006073CB"/>
    <w:rsid w:val="00612509"/>
    <w:rsid w:val="00622D9A"/>
    <w:rsid w:val="00632923"/>
    <w:rsid w:val="006329E8"/>
    <w:rsid w:val="0063455B"/>
    <w:rsid w:val="00635396"/>
    <w:rsid w:val="006455B3"/>
    <w:rsid w:val="00651AC4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94F62"/>
    <w:rsid w:val="006A2CB9"/>
    <w:rsid w:val="006A49A9"/>
    <w:rsid w:val="006B75E2"/>
    <w:rsid w:val="006C56FB"/>
    <w:rsid w:val="006C578E"/>
    <w:rsid w:val="006C6F38"/>
    <w:rsid w:val="006D358A"/>
    <w:rsid w:val="006E307D"/>
    <w:rsid w:val="006E4C64"/>
    <w:rsid w:val="006E7C09"/>
    <w:rsid w:val="006F0D8D"/>
    <w:rsid w:val="006F3F8F"/>
    <w:rsid w:val="006F4100"/>
    <w:rsid w:val="007134A9"/>
    <w:rsid w:val="00720122"/>
    <w:rsid w:val="00720986"/>
    <w:rsid w:val="00721EF5"/>
    <w:rsid w:val="00731041"/>
    <w:rsid w:val="007345AD"/>
    <w:rsid w:val="00746052"/>
    <w:rsid w:val="007472E7"/>
    <w:rsid w:val="00754637"/>
    <w:rsid w:val="00762D77"/>
    <w:rsid w:val="00773109"/>
    <w:rsid w:val="007905C9"/>
    <w:rsid w:val="007921D0"/>
    <w:rsid w:val="00795C88"/>
    <w:rsid w:val="00796ECE"/>
    <w:rsid w:val="007A5120"/>
    <w:rsid w:val="007A6854"/>
    <w:rsid w:val="007B2CD2"/>
    <w:rsid w:val="007C406D"/>
    <w:rsid w:val="007D07BF"/>
    <w:rsid w:val="007D56DF"/>
    <w:rsid w:val="007D7F28"/>
    <w:rsid w:val="007E63C9"/>
    <w:rsid w:val="007F4F8C"/>
    <w:rsid w:val="008023F7"/>
    <w:rsid w:val="00804C29"/>
    <w:rsid w:val="008243C7"/>
    <w:rsid w:val="00826F11"/>
    <w:rsid w:val="00836106"/>
    <w:rsid w:val="00840EDC"/>
    <w:rsid w:val="00846A67"/>
    <w:rsid w:val="008510A4"/>
    <w:rsid w:val="00852442"/>
    <w:rsid w:val="0086312F"/>
    <w:rsid w:val="00864253"/>
    <w:rsid w:val="00874877"/>
    <w:rsid w:val="00874A78"/>
    <w:rsid w:val="00877469"/>
    <w:rsid w:val="00886DE7"/>
    <w:rsid w:val="00890962"/>
    <w:rsid w:val="00893918"/>
    <w:rsid w:val="008A1798"/>
    <w:rsid w:val="008A25FB"/>
    <w:rsid w:val="008B0A85"/>
    <w:rsid w:val="008B0BE4"/>
    <w:rsid w:val="008B1E1F"/>
    <w:rsid w:val="008B38CC"/>
    <w:rsid w:val="008B3EB1"/>
    <w:rsid w:val="008B421A"/>
    <w:rsid w:val="008B649C"/>
    <w:rsid w:val="008B742E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90399B"/>
    <w:rsid w:val="00903FE6"/>
    <w:rsid w:val="009056FF"/>
    <w:rsid w:val="00923D61"/>
    <w:rsid w:val="00942934"/>
    <w:rsid w:val="00943D15"/>
    <w:rsid w:val="00946694"/>
    <w:rsid w:val="00953D13"/>
    <w:rsid w:val="00953E05"/>
    <w:rsid w:val="00955045"/>
    <w:rsid w:val="0095599C"/>
    <w:rsid w:val="009566DA"/>
    <w:rsid w:val="00960E06"/>
    <w:rsid w:val="00962D92"/>
    <w:rsid w:val="00967AED"/>
    <w:rsid w:val="00972ED5"/>
    <w:rsid w:val="009736D9"/>
    <w:rsid w:val="009844EB"/>
    <w:rsid w:val="0098776D"/>
    <w:rsid w:val="009950CD"/>
    <w:rsid w:val="009957B6"/>
    <w:rsid w:val="009A504E"/>
    <w:rsid w:val="009B0E5B"/>
    <w:rsid w:val="009B16B8"/>
    <w:rsid w:val="009B3043"/>
    <w:rsid w:val="009B555C"/>
    <w:rsid w:val="009C2D88"/>
    <w:rsid w:val="009C2F96"/>
    <w:rsid w:val="009D0F4A"/>
    <w:rsid w:val="009E3283"/>
    <w:rsid w:val="009E6ADB"/>
    <w:rsid w:val="009F0156"/>
    <w:rsid w:val="009F17F6"/>
    <w:rsid w:val="00A04FE7"/>
    <w:rsid w:val="00A0682B"/>
    <w:rsid w:val="00A12FAC"/>
    <w:rsid w:val="00A14C68"/>
    <w:rsid w:val="00A252EC"/>
    <w:rsid w:val="00A30A6D"/>
    <w:rsid w:val="00A35EEB"/>
    <w:rsid w:val="00A43C15"/>
    <w:rsid w:val="00A43FBC"/>
    <w:rsid w:val="00A46900"/>
    <w:rsid w:val="00A46FA7"/>
    <w:rsid w:val="00A47FC1"/>
    <w:rsid w:val="00A54CDE"/>
    <w:rsid w:val="00A62503"/>
    <w:rsid w:val="00A62DC6"/>
    <w:rsid w:val="00A64CA2"/>
    <w:rsid w:val="00A67326"/>
    <w:rsid w:val="00A71426"/>
    <w:rsid w:val="00A7230D"/>
    <w:rsid w:val="00A72425"/>
    <w:rsid w:val="00A75945"/>
    <w:rsid w:val="00A874AA"/>
    <w:rsid w:val="00A96F78"/>
    <w:rsid w:val="00AA6F61"/>
    <w:rsid w:val="00AA7024"/>
    <w:rsid w:val="00AB1E18"/>
    <w:rsid w:val="00AB270B"/>
    <w:rsid w:val="00AB301E"/>
    <w:rsid w:val="00AB354E"/>
    <w:rsid w:val="00AB650F"/>
    <w:rsid w:val="00AC22B0"/>
    <w:rsid w:val="00AC4A7D"/>
    <w:rsid w:val="00AD4A34"/>
    <w:rsid w:val="00AD5090"/>
    <w:rsid w:val="00AE0802"/>
    <w:rsid w:val="00AE345B"/>
    <w:rsid w:val="00B02132"/>
    <w:rsid w:val="00B16FC1"/>
    <w:rsid w:val="00B223D3"/>
    <w:rsid w:val="00B37DAE"/>
    <w:rsid w:val="00B46413"/>
    <w:rsid w:val="00B4644A"/>
    <w:rsid w:val="00B50208"/>
    <w:rsid w:val="00B54F69"/>
    <w:rsid w:val="00B6264E"/>
    <w:rsid w:val="00B630C1"/>
    <w:rsid w:val="00B63D6B"/>
    <w:rsid w:val="00B72FD4"/>
    <w:rsid w:val="00B80646"/>
    <w:rsid w:val="00B81281"/>
    <w:rsid w:val="00B81527"/>
    <w:rsid w:val="00B8326A"/>
    <w:rsid w:val="00B9227E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C62"/>
    <w:rsid w:val="00BD2458"/>
    <w:rsid w:val="00BD4C36"/>
    <w:rsid w:val="00BD7260"/>
    <w:rsid w:val="00BE0DE2"/>
    <w:rsid w:val="00BE2DDD"/>
    <w:rsid w:val="00BE3A3B"/>
    <w:rsid w:val="00BE5272"/>
    <w:rsid w:val="00BF1A66"/>
    <w:rsid w:val="00BF20A7"/>
    <w:rsid w:val="00BF6B3C"/>
    <w:rsid w:val="00BF6FA3"/>
    <w:rsid w:val="00BF7055"/>
    <w:rsid w:val="00C1251A"/>
    <w:rsid w:val="00C1666C"/>
    <w:rsid w:val="00C2082E"/>
    <w:rsid w:val="00C32EC4"/>
    <w:rsid w:val="00C33B14"/>
    <w:rsid w:val="00C35DBA"/>
    <w:rsid w:val="00C41975"/>
    <w:rsid w:val="00C45C81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81F55"/>
    <w:rsid w:val="00C9152C"/>
    <w:rsid w:val="00C924D5"/>
    <w:rsid w:val="00CA1640"/>
    <w:rsid w:val="00CA7222"/>
    <w:rsid w:val="00CB2E76"/>
    <w:rsid w:val="00CB4A68"/>
    <w:rsid w:val="00CC4C3C"/>
    <w:rsid w:val="00CC4C43"/>
    <w:rsid w:val="00CD1181"/>
    <w:rsid w:val="00CD11D6"/>
    <w:rsid w:val="00CD2C42"/>
    <w:rsid w:val="00CE22A2"/>
    <w:rsid w:val="00CE37DF"/>
    <w:rsid w:val="00CE7EBE"/>
    <w:rsid w:val="00CF38A6"/>
    <w:rsid w:val="00D013D7"/>
    <w:rsid w:val="00D01F1E"/>
    <w:rsid w:val="00D03ABB"/>
    <w:rsid w:val="00D115A0"/>
    <w:rsid w:val="00D152D2"/>
    <w:rsid w:val="00D15D9F"/>
    <w:rsid w:val="00D20F19"/>
    <w:rsid w:val="00D21505"/>
    <w:rsid w:val="00D21D10"/>
    <w:rsid w:val="00D24B35"/>
    <w:rsid w:val="00D31C61"/>
    <w:rsid w:val="00D36348"/>
    <w:rsid w:val="00D43B8A"/>
    <w:rsid w:val="00D54E95"/>
    <w:rsid w:val="00D61722"/>
    <w:rsid w:val="00D64F89"/>
    <w:rsid w:val="00D76BD1"/>
    <w:rsid w:val="00D840AA"/>
    <w:rsid w:val="00D871EC"/>
    <w:rsid w:val="00D90BE0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E08FC"/>
    <w:rsid w:val="00DE25BA"/>
    <w:rsid w:val="00DE5BF4"/>
    <w:rsid w:val="00DF0B2A"/>
    <w:rsid w:val="00DF44AF"/>
    <w:rsid w:val="00DF6E27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72E38"/>
    <w:rsid w:val="00E744F1"/>
    <w:rsid w:val="00E81E95"/>
    <w:rsid w:val="00E83E81"/>
    <w:rsid w:val="00E84EDA"/>
    <w:rsid w:val="00E87AAD"/>
    <w:rsid w:val="00E93D50"/>
    <w:rsid w:val="00EA4C23"/>
    <w:rsid w:val="00EB1011"/>
    <w:rsid w:val="00EB5CAC"/>
    <w:rsid w:val="00EB64EB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12B35"/>
    <w:rsid w:val="00F143A0"/>
    <w:rsid w:val="00F16A06"/>
    <w:rsid w:val="00F17BFC"/>
    <w:rsid w:val="00F2100E"/>
    <w:rsid w:val="00F22060"/>
    <w:rsid w:val="00F33E11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2911"/>
    <w:rsid w:val="00F853B6"/>
    <w:rsid w:val="00F87EED"/>
    <w:rsid w:val="00F93588"/>
    <w:rsid w:val="00F94BE3"/>
    <w:rsid w:val="00FA15D8"/>
    <w:rsid w:val="00FA420E"/>
    <w:rsid w:val="00FA5ECB"/>
    <w:rsid w:val="00FB2560"/>
    <w:rsid w:val="00FB541D"/>
    <w:rsid w:val="00FB64A8"/>
    <w:rsid w:val="00FC5772"/>
    <w:rsid w:val="00FD6495"/>
    <w:rsid w:val="00FE0C1B"/>
    <w:rsid w:val="00FE0FCA"/>
    <w:rsid w:val="00FE5A94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390F-806D-4DA1-ACFB-EEEB268F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2740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3</cp:revision>
  <cp:lastPrinted>2018-06-04T08:05:00Z</cp:lastPrinted>
  <dcterms:created xsi:type="dcterms:W3CDTF">2020-03-09T09:28:00Z</dcterms:created>
  <dcterms:modified xsi:type="dcterms:W3CDTF">2020-03-09T09:39:00Z</dcterms:modified>
</cp:coreProperties>
</file>