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86FF2" w14:textId="456B3642" w:rsidR="00805FB6" w:rsidRPr="00E75B4A" w:rsidRDefault="00C52655" w:rsidP="00805FB6">
      <w:pPr>
        <w:pStyle w:val="Antrat1"/>
        <w:tabs>
          <w:tab w:val="left" w:pos="900"/>
        </w:tabs>
        <w:jc w:val="right"/>
        <w:rPr>
          <w:rFonts w:ascii="CG Times" w:hAnsi="CG Times"/>
          <w:sz w:val="24"/>
          <w:szCs w:val="24"/>
        </w:rPr>
      </w:pPr>
      <w:r w:rsidRPr="00C52655">
        <w:rPr>
          <w:rFonts w:ascii="CG Times" w:hAnsi="CG Times"/>
          <w:sz w:val="24"/>
          <w:szCs w:val="24"/>
        </w:rPr>
        <w:t>Originalas siunčiamas paštu nebus</w:t>
      </w:r>
    </w:p>
    <w:bookmarkStart w:id="0" w:name="_MON_1051956295"/>
    <w:bookmarkEnd w:id="0"/>
    <w:bookmarkStart w:id="1" w:name="_MON_1301915618"/>
    <w:bookmarkEnd w:id="1"/>
    <w:p w14:paraId="57BB844F" w14:textId="77777777" w:rsidR="00805FB6" w:rsidRPr="00E75B4A" w:rsidRDefault="00805FB6" w:rsidP="00805FB6">
      <w:pPr>
        <w:jc w:val="center"/>
        <w:rPr>
          <w:rFonts w:ascii="CG Times" w:hAnsi="CG Times"/>
          <w:sz w:val="24"/>
          <w:szCs w:val="24"/>
        </w:rPr>
      </w:pPr>
      <w:r w:rsidRPr="00E75B4A">
        <w:rPr>
          <w:rFonts w:ascii="CG Times" w:hAnsi="CG Times"/>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43543827" r:id="rId9"/>
        </w:object>
      </w:r>
    </w:p>
    <w:p w14:paraId="4FCFAC08" w14:textId="77777777" w:rsidR="00805FB6" w:rsidRPr="00E75B4A" w:rsidRDefault="00805FB6" w:rsidP="00805FB6">
      <w:pPr>
        <w:jc w:val="center"/>
        <w:rPr>
          <w:sz w:val="24"/>
          <w:szCs w:val="24"/>
        </w:rPr>
      </w:pPr>
    </w:p>
    <w:p w14:paraId="6D0786DF" w14:textId="77777777" w:rsidR="00AA13F0" w:rsidRPr="00AA13F0" w:rsidRDefault="00AA13F0" w:rsidP="00AA13F0">
      <w:pPr>
        <w:pStyle w:val="Antrat1"/>
        <w:tabs>
          <w:tab w:val="left" w:pos="900"/>
        </w:tabs>
        <w:jc w:val="center"/>
        <w:rPr>
          <w:sz w:val="24"/>
          <w:szCs w:val="24"/>
        </w:rPr>
      </w:pPr>
      <w:r w:rsidRPr="00AA13F0">
        <w:rPr>
          <w:sz w:val="24"/>
          <w:szCs w:val="24"/>
        </w:rPr>
        <w:t>VIEŠŲJŲ PIRKIMŲ TARNYBA</w:t>
      </w:r>
    </w:p>
    <w:p w14:paraId="54CDFC4A" w14:textId="77777777" w:rsidR="00805FB6" w:rsidRPr="00E75B4A" w:rsidRDefault="00805FB6" w:rsidP="00805FB6">
      <w:pPr>
        <w:tabs>
          <w:tab w:val="left" w:pos="900"/>
        </w:tabs>
        <w:rPr>
          <w:bCs/>
          <w:sz w:val="24"/>
          <w:szCs w:val="24"/>
        </w:rPr>
      </w:pPr>
    </w:p>
    <w:p w14:paraId="7D5496A5" w14:textId="77777777" w:rsidR="00805FB6" w:rsidRDefault="00805FB6" w:rsidP="00805FB6">
      <w:pPr>
        <w:tabs>
          <w:tab w:val="left" w:pos="900"/>
        </w:tabs>
        <w:rPr>
          <w:bCs/>
          <w:sz w:val="24"/>
          <w:szCs w:val="24"/>
        </w:rPr>
      </w:pPr>
    </w:p>
    <w:p w14:paraId="31242A22" w14:textId="77777777" w:rsidR="00441571" w:rsidRPr="00E75B4A" w:rsidRDefault="00441571" w:rsidP="00805FB6">
      <w:pPr>
        <w:tabs>
          <w:tab w:val="left" w:pos="900"/>
        </w:tabs>
        <w:rPr>
          <w:bCs/>
          <w:sz w:val="24"/>
          <w:szCs w:val="24"/>
        </w:rPr>
      </w:pPr>
    </w:p>
    <w:tbl>
      <w:tblPr>
        <w:tblW w:w="10046" w:type="dxa"/>
        <w:tblInd w:w="18" w:type="dxa"/>
        <w:tblLayout w:type="fixed"/>
        <w:tblLook w:val="0000" w:firstRow="0" w:lastRow="0" w:firstColumn="0" w:lastColumn="0" w:noHBand="0" w:noVBand="0"/>
      </w:tblPr>
      <w:tblGrid>
        <w:gridCol w:w="5085"/>
        <w:gridCol w:w="851"/>
        <w:gridCol w:w="1417"/>
        <w:gridCol w:w="567"/>
        <w:gridCol w:w="2126"/>
      </w:tblGrid>
      <w:tr w:rsidR="000D0EA9" w:rsidRPr="007D0BB6" w14:paraId="3A48E2D2" w14:textId="77777777" w:rsidTr="007307D7">
        <w:trPr>
          <w:cantSplit/>
          <w:trHeight w:val="80"/>
        </w:trPr>
        <w:tc>
          <w:tcPr>
            <w:tcW w:w="5085" w:type="dxa"/>
            <w:vMerge w:val="restart"/>
          </w:tcPr>
          <w:p w14:paraId="025ED2D6" w14:textId="77777777" w:rsidR="00C52655" w:rsidRPr="00C52655" w:rsidRDefault="00C52655" w:rsidP="00C52655">
            <w:pPr>
              <w:tabs>
                <w:tab w:val="left" w:pos="900"/>
              </w:tabs>
              <w:ind w:left="-108"/>
              <w:rPr>
                <w:sz w:val="24"/>
                <w:szCs w:val="24"/>
              </w:rPr>
            </w:pPr>
            <w:r w:rsidRPr="00C52655">
              <w:rPr>
                <w:sz w:val="24"/>
                <w:szCs w:val="24"/>
              </w:rPr>
              <w:t>Klaipėdos miesto savivaldybės administracija</w:t>
            </w:r>
          </w:p>
          <w:p w14:paraId="0ACB1AE9" w14:textId="77777777" w:rsidR="00C52655" w:rsidRPr="00C52655" w:rsidRDefault="00C52655" w:rsidP="00C52655">
            <w:pPr>
              <w:tabs>
                <w:tab w:val="left" w:pos="900"/>
              </w:tabs>
              <w:ind w:left="-108"/>
              <w:rPr>
                <w:sz w:val="24"/>
                <w:szCs w:val="24"/>
              </w:rPr>
            </w:pPr>
            <w:r w:rsidRPr="00C52655">
              <w:rPr>
                <w:sz w:val="24"/>
                <w:szCs w:val="24"/>
              </w:rPr>
              <w:t>Liepų g. 11</w:t>
            </w:r>
          </w:p>
          <w:p w14:paraId="2CD414D8" w14:textId="77777777" w:rsidR="00C52655" w:rsidRPr="00C52655" w:rsidRDefault="00C52655" w:rsidP="00C52655">
            <w:pPr>
              <w:tabs>
                <w:tab w:val="left" w:pos="900"/>
              </w:tabs>
              <w:ind w:left="-108"/>
              <w:rPr>
                <w:sz w:val="24"/>
                <w:szCs w:val="24"/>
              </w:rPr>
            </w:pPr>
            <w:r w:rsidRPr="00C52655">
              <w:rPr>
                <w:sz w:val="24"/>
                <w:szCs w:val="24"/>
              </w:rPr>
              <w:t>91502 Klaipėda</w:t>
            </w:r>
          </w:p>
          <w:p w14:paraId="53712D4C" w14:textId="5F3075C7" w:rsidR="00441571" w:rsidRPr="00441571" w:rsidRDefault="00C52655" w:rsidP="00C52655">
            <w:pPr>
              <w:tabs>
                <w:tab w:val="left" w:pos="900"/>
              </w:tabs>
              <w:ind w:left="-108"/>
              <w:rPr>
                <w:sz w:val="24"/>
                <w:szCs w:val="24"/>
              </w:rPr>
            </w:pPr>
            <w:r w:rsidRPr="00C52655">
              <w:rPr>
                <w:sz w:val="24"/>
                <w:szCs w:val="24"/>
              </w:rPr>
              <w:t>El. p.: dokumentai@klaipeda.lt</w:t>
            </w:r>
          </w:p>
          <w:p w14:paraId="37E3995F" w14:textId="77777777" w:rsidR="000D0EA9" w:rsidRPr="00693D5D" w:rsidRDefault="000D0EA9" w:rsidP="00441571">
            <w:pPr>
              <w:rPr>
                <w:sz w:val="24"/>
                <w:szCs w:val="24"/>
              </w:rPr>
            </w:pPr>
          </w:p>
        </w:tc>
        <w:tc>
          <w:tcPr>
            <w:tcW w:w="851" w:type="dxa"/>
          </w:tcPr>
          <w:p w14:paraId="317FA668" w14:textId="77777777" w:rsidR="000D0EA9" w:rsidRPr="007307D7" w:rsidRDefault="000D0EA9" w:rsidP="00722A57">
            <w:pPr>
              <w:tabs>
                <w:tab w:val="left" w:pos="900"/>
              </w:tabs>
              <w:rPr>
                <w:color w:val="000000" w:themeColor="text1"/>
                <w:sz w:val="24"/>
                <w:szCs w:val="24"/>
              </w:rPr>
            </w:pPr>
          </w:p>
        </w:tc>
        <w:tc>
          <w:tcPr>
            <w:tcW w:w="1417" w:type="dxa"/>
          </w:tcPr>
          <w:p w14:paraId="091FB5E8" w14:textId="399349C4" w:rsidR="000D0EA9" w:rsidRPr="007307D7" w:rsidRDefault="000D0EA9" w:rsidP="007307D7">
            <w:pPr>
              <w:rPr>
                <w:color w:val="000000" w:themeColor="text1"/>
                <w:sz w:val="24"/>
                <w:szCs w:val="24"/>
              </w:rPr>
            </w:pPr>
            <w:r w:rsidRPr="007307D7">
              <w:rPr>
                <w:color w:val="000000" w:themeColor="text1"/>
                <w:sz w:val="24"/>
                <w:szCs w:val="24"/>
              </w:rPr>
              <w:t>20</w:t>
            </w:r>
            <w:r w:rsidR="007307D7" w:rsidRPr="007307D7">
              <w:rPr>
                <w:color w:val="000000" w:themeColor="text1"/>
                <w:sz w:val="24"/>
                <w:szCs w:val="24"/>
              </w:rPr>
              <w:t>20</w:t>
            </w:r>
            <w:r w:rsidRPr="007307D7">
              <w:rPr>
                <w:color w:val="000000" w:themeColor="text1"/>
                <w:sz w:val="24"/>
                <w:szCs w:val="24"/>
              </w:rPr>
              <w:t>-</w:t>
            </w:r>
            <w:r w:rsidR="007307D7" w:rsidRPr="007307D7">
              <w:rPr>
                <w:color w:val="000000" w:themeColor="text1"/>
                <w:sz w:val="24"/>
                <w:szCs w:val="24"/>
              </w:rPr>
              <w:t>02</w:t>
            </w:r>
            <w:r w:rsidRPr="007307D7">
              <w:rPr>
                <w:color w:val="000000" w:themeColor="text1"/>
                <w:sz w:val="24"/>
                <w:szCs w:val="24"/>
              </w:rPr>
              <w:t>-</w:t>
            </w:r>
            <w:r w:rsidR="009847BD" w:rsidRPr="007307D7">
              <w:rPr>
                <w:color w:val="000000" w:themeColor="text1"/>
                <w:sz w:val="24"/>
                <w:szCs w:val="24"/>
              </w:rPr>
              <w:t xml:space="preserve">    </w:t>
            </w:r>
          </w:p>
        </w:tc>
        <w:tc>
          <w:tcPr>
            <w:tcW w:w="567" w:type="dxa"/>
          </w:tcPr>
          <w:p w14:paraId="20923BC2" w14:textId="77777777" w:rsidR="000D0EA9" w:rsidRPr="007307D7" w:rsidRDefault="000D0EA9" w:rsidP="00345795">
            <w:pPr>
              <w:tabs>
                <w:tab w:val="left" w:pos="900"/>
              </w:tabs>
              <w:rPr>
                <w:color w:val="000000" w:themeColor="text1"/>
                <w:sz w:val="24"/>
                <w:szCs w:val="24"/>
              </w:rPr>
            </w:pPr>
            <w:r w:rsidRPr="007307D7">
              <w:rPr>
                <w:color w:val="000000" w:themeColor="text1"/>
                <w:sz w:val="24"/>
                <w:szCs w:val="24"/>
              </w:rPr>
              <w:t>Nr</w:t>
            </w:r>
            <w:r w:rsidR="008E2B0B" w:rsidRPr="007307D7">
              <w:rPr>
                <w:color w:val="000000" w:themeColor="text1"/>
                <w:sz w:val="24"/>
                <w:szCs w:val="24"/>
              </w:rPr>
              <w:t>.</w:t>
            </w:r>
          </w:p>
        </w:tc>
        <w:tc>
          <w:tcPr>
            <w:tcW w:w="2126" w:type="dxa"/>
          </w:tcPr>
          <w:p w14:paraId="250B36FA" w14:textId="689F92A6" w:rsidR="000D0EA9" w:rsidRPr="007307D7" w:rsidRDefault="0013783E" w:rsidP="007307D7">
            <w:pPr>
              <w:tabs>
                <w:tab w:val="left" w:pos="900"/>
              </w:tabs>
              <w:rPr>
                <w:color w:val="000000" w:themeColor="text1"/>
                <w:sz w:val="24"/>
                <w:szCs w:val="24"/>
              </w:rPr>
            </w:pPr>
            <w:r w:rsidRPr="007307D7">
              <w:rPr>
                <w:color w:val="000000" w:themeColor="text1"/>
                <w:sz w:val="24"/>
                <w:szCs w:val="24"/>
              </w:rPr>
              <w:t xml:space="preserve">4S-        </w:t>
            </w:r>
            <w:r w:rsidR="00CE5815" w:rsidRPr="007307D7">
              <w:rPr>
                <w:color w:val="000000" w:themeColor="text1"/>
                <w:sz w:val="24"/>
                <w:szCs w:val="24"/>
              </w:rPr>
              <w:t>(</w:t>
            </w:r>
            <w:r w:rsidR="007307D7" w:rsidRPr="007307D7">
              <w:rPr>
                <w:color w:val="000000" w:themeColor="text1"/>
                <w:sz w:val="24"/>
                <w:szCs w:val="24"/>
              </w:rPr>
              <w:t>8</w:t>
            </w:r>
            <w:r w:rsidR="00CE5815" w:rsidRPr="007307D7">
              <w:rPr>
                <w:color w:val="000000" w:themeColor="text1"/>
                <w:sz w:val="24"/>
                <w:szCs w:val="24"/>
              </w:rPr>
              <w:t>.</w:t>
            </w:r>
            <w:r w:rsidR="007307D7" w:rsidRPr="007307D7">
              <w:rPr>
                <w:color w:val="000000" w:themeColor="text1"/>
                <w:sz w:val="24"/>
                <w:szCs w:val="24"/>
              </w:rPr>
              <w:t>15</w:t>
            </w:r>
            <w:r w:rsidR="00CE5815" w:rsidRPr="007307D7">
              <w:rPr>
                <w:color w:val="000000" w:themeColor="text1"/>
                <w:sz w:val="24"/>
                <w:szCs w:val="24"/>
              </w:rPr>
              <w:t>)</w:t>
            </w:r>
            <w:r w:rsidRPr="007307D7">
              <w:rPr>
                <w:color w:val="000000" w:themeColor="text1"/>
                <w:sz w:val="24"/>
                <w:szCs w:val="24"/>
              </w:rPr>
              <w:t xml:space="preserve"> </w:t>
            </w:r>
          </w:p>
        </w:tc>
      </w:tr>
      <w:tr w:rsidR="000D0EA9" w:rsidRPr="007D0BB6" w14:paraId="51DA0E58" w14:textId="77777777" w:rsidTr="007307D7">
        <w:trPr>
          <w:cantSplit/>
          <w:trHeight w:val="380"/>
        </w:trPr>
        <w:tc>
          <w:tcPr>
            <w:tcW w:w="5085" w:type="dxa"/>
            <w:vMerge/>
          </w:tcPr>
          <w:p w14:paraId="19326F81" w14:textId="77777777" w:rsidR="000D0EA9" w:rsidRDefault="000D0EA9" w:rsidP="00693D5D">
            <w:pPr>
              <w:tabs>
                <w:tab w:val="left" w:pos="900"/>
              </w:tabs>
              <w:rPr>
                <w:sz w:val="24"/>
                <w:szCs w:val="24"/>
              </w:rPr>
            </w:pPr>
          </w:p>
        </w:tc>
        <w:tc>
          <w:tcPr>
            <w:tcW w:w="851" w:type="dxa"/>
          </w:tcPr>
          <w:p w14:paraId="3EEC59D7" w14:textId="374D7265" w:rsidR="000D0EA9" w:rsidRDefault="000D0EA9" w:rsidP="003830E2">
            <w:pPr>
              <w:tabs>
                <w:tab w:val="left" w:pos="900"/>
              </w:tabs>
              <w:ind w:right="25"/>
              <w:jc w:val="both"/>
              <w:rPr>
                <w:sz w:val="24"/>
                <w:szCs w:val="24"/>
              </w:rPr>
            </w:pPr>
          </w:p>
        </w:tc>
        <w:tc>
          <w:tcPr>
            <w:tcW w:w="1417" w:type="dxa"/>
          </w:tcPr>
          <w:p w14:paraId="4410CC3E" w14:textId="073DC697" w:rsidR="007307D7" w:rsidRDefault="007407B5" w:rsidP="007307D7">
            <w:pPr>
              <w:tabs>
                <w:tab w:val="left" w:pos="900"/>
              </w:tabs>
              <w:ind w:left="-78"/>
              <w:rPr>
                <w:sz w:val="24"/>
                <w:szCs w:val="24"/>
              </w:rPr>
            </w:pPr>
            <w:r>
              <w:rPr>
                <w:sz w:val="24"/>
                <w:szCs w:val="24"/>
              </w:rPr>
              <w:t>Į</w:t>
            </w:r>
            <w:r w:rsidR="00C52655">
              <w:rPr>
                <w:sz w:val="24"/>
                <w:szCs w:val="24"/>
              </w:rPr>
              <w:t xml:space="preserve"> </w:t>
            </w:r>
            <w:r w:rsidR="00C52655" w:rsidRPr="00C52655">
              <w:rPr>
                <w:sz w:val="24"/>
                <w:szCs w:val="24"/>
              </w:rPr>
              <w:t>2020-01-30</w:t>
            </w:r>
          </w:p>
          <w:p w14:paraId="0C3F6CDE" w14:textId="60504557" w:rsidR="00C52655" w:rsidRDefault="00C52655" w:rsidP="007407B5">
            <w:pPr>
              <w:tabs>
                <w:tab w:val="left" w:pos="900"/>
              </w:tabs>
              <w:ind w:left="-78"/>
              <w:rPr>
                <w:sz w:val="24"/>
                <w:szCs w:val="24"/>
              </w:rPr>
            </w:pPr>
            <w:r w:rsidRPr="00C52655">
              <w:rPr>
                <w:sz w:val="24"/>
                <w:szCs w:val="24"/>
              </w:rPr>
              <w:t>Į 2020-02-05</w:t>
            </w:r>
            <w:r>
              <w:rPr>
                <w:sz w:val="24"/>
                <w:szCs w:val="24"/>
              </w:rPr>
              <w:t xml:space="preserve">    </w:t>
            </w:r>
          </w:p>
        </w:tc>
        <w:tc>
          <w:tcPr>
            <w:tcW w:w="567" w:type="dxa"/>
          </w:tcPr>
          <w:p w14:paraId="7840395E" w14:textId="28C4045D" w:rsidR="00C52655" w:rsidRDefault="00AD6768" w:rsidP="00345795">
            <w:pPr>
              <w:tabs>
                <w:tab w:val="left" w:pos="900"/>
              </w:tabs>
              <w:rPr>
                <w:sz w:val="24"/>
                <w:szCs w:val="24"/>
              </w:rPr>
            </w:pPr>
            <w:r>
              <w:rPr>
                <w:sz w:val="24"/>
                <w:szCs w:val="24"/>
              </w:rPr>
              <w:t>Nr.</w:t>
            </w:r>
          </w:p>
          <w:p w14:paraId="02E826B4" w14:textId="1F217360" w:rsidR="000D0EA9" w:rsidRPr="00C52655" w:rsidRDefault="00C52655" w:rsidP="00C52655">
            <w:pPr>
              <w:rPr>
                <w:sz w:val="24"/>
                <w:szCs w:val="24"/>
              </w:rPr>
            </w:pPr>
            <w:r>
              <w:rPr>
                <w:sz w:val="24"/>
                <w:szCs w:val="24"/>
              </w:rPr>
              <w:t>Nr.</w:t>
            </w:r>
          </w:p>
        </w:tc>
        <w:tc>
          <w:tcPr>
            <w:tcW w:w="2126" w:type="dxa"/>
          </w:tcPr>
          <w:p w14:paraId="08D3D6C6" w14:textId="4B4F6C95" w:rsidR="007307D7" w:rsidRDefault="007307D7" w:rsidP="00C52655">
            <w:pPr>
              <w:rPr>
                <w:sz w:val="24"/>
                <w:szCs w:val="24"/>
              </w:rPr>
            </w:pPr>
            <w:r>
              <w:rPr>
                <w:sz w:val="24"/>
                <w:szCs w:val="24"/>
              </w:rPr>
              <w:t>(4.44E)-R2 </w:t>
            </w:r>
            <w:r w:rsidRPr="007307D7">
              <w:rPr>
                <w:sz w:val="24"/>
                <w:szCs w:val="24"/>
              </w:rPr>
              <w:t>312</w:t>
            </w:r>
          </w:p>
          <w:p w14:paraId="55A41AB6" w14:textId="41E33263" w:rsidR="000D0EA9" w:rsidRPr="00C52655" w:rsidRDefault="00C52655" w:rsidP="00C52655">
            <w:pPr>
              <w:rPr>
                <w:sz w:val="24"/>
                <w:szCs w:val="24"/>
              </w:rPr>
            </w:pPr>
            <w:r w:rsidRPr="00C52655">
              <w:rPr>
                <w:sz w:val="24"/>
                <w:szCs w:val="24"/>
              </w:rPr>
              <w:t>3S-392</w:t>
            </w:r>
          </w:p>
        </w:tc>
      </w:tr>
    </w:tbl>
    <w:p w14:paraId="35652E6B" w14:textId="77777777" w:rsidR="00805FB6" w:rsidRPr="00AD6768" w:rsidRDefault="00805FB6" w:rsidP="00805FB6">
      <w:pPr>
        <w:shd w:val="clear" w:color="auto" w:fill="FFFFFF"/>
        <w:tabs>
          <w:tab w:val="left" w:pos="900"/>
        </w:tabs>
        <w:rPr>
          <w:bCs/>
          <w:color w:val="000000"/>
          <w:sz w:val="24"/>
          <w:szCs w:val="24"/>
          <w:lang w:eastAsia="lt-LT"/>
        </w:rPr>
      </w:pPr>
    </w:p>
    <w:p w14:paraId="05B2A0A8" w14:textId="77777777" w:rsidR="00DF23C2" w:rsidRPr="00AD6768" w:rsidRDefault="00DF23C2" w:rsidP="00441571">
      <w:pPr>
        <w:spacing w:line="360" w:lineRule="auto"/>
        <w:jc w:val="both"/>
        <w:rPr>
          <w:color w:val="000000"/>
          <w:sz w:val="24"/>
          <w:szCs w:val="24"/>
          <w:lang w:eastAsia="lt-LT"/>
        </w:rPr>
      </w:pPr>
    </w:p>
    <w:p w14:paraId="50BEAA2F" w14:textId="7F1D8CD9" w:rsidR="00F62141" w:rsidRPr="00AD6768" w:rsidRDefault="00C52655" w:rsidP="00F62141">
      <w:pPr>
        <w:jc w:val="both"/>
        <w:rPr>
          <w:sz w:val="24"/>
          <w:szCs w:val="24"/>
        </w:rPr>
      </w:pPr>
      <w:r w:rsidRPr="00C52655">
        <w:rPr>
          <w:b/>
          <w:color w:val="000000"/>
          <w:sz w:val="24"/>
          <w:szCs w:val="24"/>
          <w:lang w:eastAsia="lt-LT"/>
        </w:rPr>
        <w:t>SPRENDIMAS DĖL SUTIKIMO VYKDYTI PIRKIMĄ NESKELBIAMŲ DERYBŲ BŪDU</w:t>
      </w:r>
    </w:p>
    <w:p w14:paraId="3D939CA6" w14:textId="77777777" w:rsidR="00F62141" w:rsidRPr="00AD6768" w:rsidRDefault="00F62141" w:rsidP="004A4318">
      <w:pPr>
        <w:tabs>
          <w:tab w:val="left" w:pos="6240"/>
        </w:tabs>
        <w:jc w:val="both"/>
        <w:rPr>
          <w:color w:val="000000"/>
          <w:sz w:val="24"/>
          <w:szCs w:val="24"/>
          <w:lang w:eastAsia="lt-LT"/>
        </w:rPr>
      </w:pPr>
    </w:p>
    <w:p w14:paraId="3FF82FBE" w14:textId="77777777" w:rsidR="00C52655" w:rsidRPr="00C52655" w:rsidRDefault="00C52655" w:rsidP="00E87D91">
      <w:pPr>
        <w:ind w:firstLine="851"/>
        <w:jc w:val="both"/>
        <w:rPr>
          <w:rFonts w:eastAsia="Calibri"/>
          <w:sz w:val="24"/>
          <w:szCs w:val="24"/>
        </w:rPr>
      </w:pPr>
      <w:r w:rsidRPr="00C52655">
        <w:rPr>
          <w:rFonts w:eastAsia="Calibri"/>
          <w:sz w:val="24"/>
          <w:szCs w:val="24"/>
        </w:rPr>
        <w:t xml:space="preserve">Viešųjų pirkimų tarnyba (toliau – Tarnyba), vadovaudamasi Lietuvos Respublikos viešųjų pirkimų įstatymo (toliau – Įstatymas) 95 straipsnio 2 dalies 6 punkto nuostatomis, išnagrinėjo Klaipėdos miesto savivaldybės administracijos (toliau – Perkančioji organizacija) prašymą sutikti </w:t>
      </w:r>
      <w:r w:rsidRPr="00C52655">
        <w:rPr>
          <w:rFonts w:eastAsia="Calibri"/>
          <w:i/>
          <w:sz w:val="24"/>
          <w:szCs w:val="24"/>
        </w:rPr>
        <w:t>transporto priemonių greičio ir raudonosios šviesos pažeidimų Klaipėdos miesto gatvėse techninės priežiūros paslaugų</w:t>
      </w:r>
      <w:r w:rsidRPr="00C52655">
        <w:rPr>
          <w:rFonts w:eastAsia="Calibri"/>
          <w:sz w:val="24"/>
          <w:szCs w:val="24"/>
        </w:rPr>
        <w:t xml:space="preserve"> pirkimą (toliau – Pirkimas) vykdyti</w:t>
      </w:r>
      <w:r w:rsidRPr="00C52655">
        <w:rPr>
          <w:rFonts w:eastAsia="Calibri"/>
          <w:i/>
          <w:sz w:val="24"/>
          <w:szCs w:val="24"/>
        </w:rPr>
        <w:t xml:space="preserve"> </w:t>
      </w:r>
      <w:r w:rsidRPr="00C52655">
        <w:rPr>
          <w:rFonts w:eastAsia="Calibri"/>
          <w:sz w:val="24"/>
          <w:szCs w:val="24"/>
        </w:rPr>
        <w:t>neskelbiamų derybų būdu, vadovaujantis Įstatymo 71 straipsnio 1 dalies 2 punkto (c) papunkčio nuostatomis.</w:t>
      </w:r>
    </w:p>
    <w:p w14:paraId="2F4C6736" w14:textId="77777777" w:rsidR="00C52655" w:rsidRPr="00C52655" w:rsidRDefault="00C52655" w:rsidP="00E87D91">
      <w:pPr>
        <w:ind w:firstLine="851"/>
        <w:jc w:val="both"/>
        <w:rPr>
          <w:rFonts w:eastAsia="Calibri"/>
          <w:sz w:val="24"/>
          <w:szCs w:val="24"/>
        </w:rPr>
      </w:pPr>
      <w:r w:rsidRPr="00C52655">
        <w:rPr>
          <w:rFonts w:eastAsia="Calibri"/>
          <w:sz w:val="24"/>
          <w:szCs w:val="24"/>
        </w:rPr>
        <w:t>Prašyme nurodoma, kad Perkančioji organizacija įvykdžiusi pirkimą 2010 m. kovo 17 d. sutarties pagrindu</w:t>
      </w:r>
      <w:r w:rsidRPr="00C52655">
        <w:rPr>
          <w:rFonts w:eastAsia="Calibri"/>
          <w:sz w:val="24"/>
          <w:szCs w:val="24"/>
          <w:vertAlign w:val="superscript"/>
        </w:rPr>
        <w:footnoteReference w:id="1"/>
      </w:r>
      <w:r w:rsidRPr="00C52655">
        <w:rPr>
          <w:rFonts w:eastAsia="Calibri"/>
          <w:sz w:val="24"/>
          <w:szCs w:val="24"/>
        </w:rPr>
        <w:t xml:space="preserve"> iš tiekėjo UAB „Technologinių paslaugų </w:t>
      </w:r>
      <w:r w:rsidRPr="00C52655">
        <w:rPr>
          <w:rFonts w:eastAsia="Calibri"/>
          <w:color w:val="000000"/>
          <w:sz w:val="24"/>
          <w:szCs w:val="24"/>
        </w:rPr>
        <w:t xml:space="preserve">sprendimai“ įsigijo </w:t>
      </w:r>
      <w:r w:rsidRPr="00C52655">
        <w:rPr>
          <w:rFonts w:eastAsia="Calibri"/>
          <w:sz w:val="24"/>
          <w:szCs w:val="24"/>
        </w:rPr>
        <w:t>tris autotransporto greičio ir raudonosios šviesos matavimo prietaisus (GTC-D)</w:t>
      </w:r>
      <w:r w:rsidRPr="00C52655">
        <w:rPr>
          <w:rFonts w:eastAsia="Calibri"/>
          <w:sz w:val="24"/>
          <w:szCs w:val="24"/>
          <w:vertAlign w:val="superscript"/>
        </w:rPr>
        <w:footnoteReference w:id="2"/>
      </w:r>
      <w:r w:rsidRPr="00C52655">
        <w:rPr>
          <w:rFonts w:eastAsia="Calibri"/>
          <w:sz w:val="24"/>
          <w:szCs w:val="24"/>
        </w:rPr>
        <w:t xml:space="preserve"> (toliau – Prietaisai) ir šių Prietaisų techninės priežiūros paslaugas – Prietaisų blyksčių keitimas, atsarginių dalių teikimas ir keitimas, techninis aptarnavimas – kasmetinė patikra, apmokymai, Prietaisų vietų keitimas, ryšio paslaugų užtikrinimas, elektros energijos užtikrinimas, įrangos draudimas. Vadovaujantis Sutarties nuostatomis, UAB „Technologinių paslaugų </w:t>
      </w:r>
      <w:r w:rsidRPr="00C52655">
        <w:rPr>
          <w:rFonts w:eastAsia="Calibri"/>
          <w:color w:val="000000"/>
          <w:sz w:val="24"/>
          <w:szCs w:val="24"/>
        </w:rPr>
        <w:t>sprendimai“</w:t>
      </w:r>
      <w:r w:rsidRPr="00C52655">
        <w:rPr>
          <w:rFonts w:eastAsia="Calibri"/>
          <w:sz w:val="24"/>
          <w:szCs w:val="24"/>
        </w:rPr>
        <w:t xml:space="preserve"> paslaugas teikė iki 2013 m. gegužės 4 d. </w:t>
      </w:r>
      <w:r w:rsidRPr="00C52655">
        <w:rPr>
          <w:rFonts w:eastAsia="Calibri"/>
          <w:sz w:val="24"/>
          <w:szCs w:val="24"/>
          <w:vertAlign w:val="superscript"/>
        </w:rPr>
        <w:footnoteReference w:id="3"/>
      </w:r>
      <w:r w:rsidRPr="00C52655">
        <w:rPr>
          <w:rFonts w:eastAsia="Calibri"/>
          <w:sz w:val="24"/>
          <w:szCs w:val="24"/>
        </w:rPr>
        <w:t xml:space="preserve"> Perkančioji organizacija nurodo, kad nuo 2017 m. spalio 9 d. Prietaisų techninės priežiūros paslaugas taip pat teikia UAB „Technologinių paslaugų sprendimai“. </w:t>
      </w:r>
    </w:p>
    <w:p w14:paraId="21205EA2" w14:textId="77777777" w:rsidR="00C52655" w:rsidRPr="00C52655" w:rsidRDefault="00C52655" w:rsidP="00E87D91">
      <w:pPr>
        <w:ind w:firstLine="851"/>
        <w:jc w:val="both"/>
        <w:rPr>
          <w:rFonts w:eastAsia="Calibri"/>
          <w:color w:val="000000"/>
          <w:sz w:val="24"/>
          <w:szCs w:val="24"/>
        </w:rPr>
      </w:pPr>
      <w:r w:rsidRPr="00C52655">
        <w:rPr>
          <w:rFonts w:eastAsia="Calibri"/>
          <w:color w:val="000000"/>
          <w:sz w:val="24"/>
          <w:szCs w:val="24"/>
        </w:rPr>
        <w:t>Iš Perkančiosios organizacijos pateiktų dokumentų, nustatyta, kad šiuo Pirkimu siekiama įsigyti paslaugas, kurios apima:</w:t>
      </w:r>
    </w:p>
    <w:p w14:paraId="3F970BFF" w14:textId="77777777" w:rsidR="00C52655" w:rsidRDefault="00C52655" w:rsidP="007307D7">
      <w:pPr>
        <w:pStyle w:val="Sraopastraipa"/>
        <w:numPr>
          <w:ilvl w:val="0"/>
          <w:numId w:val="11"/>
        </w:numPr>
        <w:tabs>
          <w:tab w:val="left" w:pos="709"/>
        </w:tabs>
        <w:ind w:left="284" w:hanging="284"/>
        <w:jc w:val="both"/>
        <w:rPr>
          <w:rFonts w:eastAsia="Calibri"/>
          <w:color w:val="000000"/>
          <w:sz w:val="24"/>
          <w:szCs w:val="24"/>
        </w:rPr>
      </w:pPr>
      <w:r w:rsidRPr="00C52655">
        <w:rPr>
          <w:rFonts w:eastAsia="Calibri"/>
          <w:color w:val="000000"/>
          <w:sz w:val="24"/>
          <w:szCs w:val="24"/>
        </w:rPr>
        <w:t>trijų Prietaisų kontrolerių sąnaudinių ir sudedamųjų medžiagų tiekimą (blyksčių keitimas, atsarginių dalių tiekimas ir jų keitimas), t. y. paslaugos teikėjas turės užtikrinti nuolatinį kontrolerių veikimą visą sutarties galiojimo laiką, sugedusias detales keičiant tik kontrolerių gamintojo detalėmis;</w:t>
      </w:r>
    </w:p>
    <w:p w14:paraId="73934F47" w14:textId="77777777" w:rsidR="00C52655" w:rsidRDefault="00C52655" w:rsidP="007307D7">
      <w:pPr>
        <w:pStyle w:val="Sraopastraipa"/>
        <w:numPr>
          <w:ilvl w:val="0"/>
          <w:numId w:val="11"/>
        </w:numPr>
        <w:tabs>
          <w:tab w:val="left" w:pos="709"/>
        </w:tabs>
        <w:ind w:left="284" w:hanging="284"/>
        <w:jc w:val="both"/>
        <w:rPr>
          <w:rFonts w:eastAsia="Calibri"/>
          <w:color w:val="000000"/>
          <w:sz w:val="24"/>
          <w:szCs w:val="24"/>
        </w:rPr>
      </w:pPr>
      <w:r w:rsidRPr="00C52655">
        <w:rPr>
          <w:rFonts w:eastAsia="Calibri"/>
          <w:color w:val="000000"/>
          <w:sz w:val="24"/>
          <w:szCs w:val="24"/>
        </w:rPr>
        <w:t xml:space="preserve">kontrolerių integravimas į Policijos departamento prie Vidaus ministerijos valdomo administracinių teisės pažeidimų ir eismo įvykių registrą; </w:t>
      </w:r>
    </w:p>
    <w:p w14:paraId="7BD25176" w14:textId="77777777" w:rsidR="00C52655" w:rsidRDefault="00C52655" w:rsidP="007307D7">
      <w:pPr>
        <w:pStyle w:val="Sraopastraipa"/>
        <w:numPr>
          <w:ilvl w:val="0"/>
          <w:numId w:val="11"/>
        </w:numPr>
        <w:tabs>
          <w:tab w:val="left" w:pos="709"/>
        </w:tabs>
        <w:ind w:left="284" w:hanging="284"/>
        <w:jc w:val="both"/>
        <w:rPr>
          <w:rFonts w:eastAsia="Calibri"/>
          <w:color w:val="000000"/>
          <w:sz w:val="24"/>
          <w:szCs w:val="24"/>
        </w:rPr>
      </w:pPr>
      <w:r w:rsidRPr="00C52655">
        <w:rPr>
          <w:rFonts w:eastAsia="Calibri"/>
          <w:color w:val="000000"/>
          <w:sz w:val="24"/>
          <w:szCs w:val="24"/>
        </w:rPr>
        <w:t xml:space="preserve">techninis aptarnavimas (kasmetinė patikra, apmokymai, priežiūra, vietų keitimas); </w:t>
      </w:r>
    </w:p>
    <w:p w14:paraId="7EC48490" w14:textId="4E8C0CDC" w:rsidR="00C52655" w:rsidRPr="00C52655" w:rsidRDefault="00C52655" w:rsidP="007307D7">
      <w:pPr>
        <w:pStyle w:val="Sraopastraipa"/>
        <w:numPr>
          <w:ilvl w:val="0"/>
          <w:numId w:val="11"/>
        </w:numPr>
        <w:tabs>
          <w:tab w:val="left" w:pos="709"/>
        </w:tabs>
        <w:ind w:left="284" w:hanging="284"/>
        <w:jc w:val="both"/>
        <w:rPr>
          <w:rFonts w:eastAsia="Calibri"/>
          <w:color w:val="000000"/>
          <w:sz w:val="24"/>
          <w:szCs w:val="24"/>
        </w:rPr>
      </w:pPr>
      <w:r w:rsidRPr="00C52655">
        <w:rPr>
          <w:rFonts w:eastAsia="Calibri"/>
          <w:color w:val="000000"/>
          <w:sz w:val="24"/>
          <w:szCs w:val="24"/>
        </w:rPr>
        <w:t>konsultacijų teikimas, techninės pagalbos teikimas bei aptarnavimas policijoje įrengtų darbo vietų, kur apdorojami greičio matavimo sistemos pažeidimai.</w:t>
      </w:r>
    </w:p>
    <w:p w14:paraId="541E87EA" w14:textId="77777777" w:rsidR="00C52655" w:rsidRPr="00C52655" w:rsidRDefault="00C52655" w:rsidP="00E87D91">
      <w:pPr>
        <w:ind w:firstLine="851"/>
        <w:jc w:val="both"/>
        <w:rPr>
          <w:rFonts w:eastAsia="Calibri"/>
          <w:sz w:val="24"/>
          <w:szCs w:val="24"/>
        </w:rPr>
      </w:pPr>
      <w:r w:rsidRPr="00C52655">
        <w:rPr>
          <w:rFonts w:eastAsia="Calibri"/>
          <w:color w:val="000000"/>
          <w:sz w:val="24"/>
          <w:szCs w:val="24"/>
        </w:rPr>
        <w:t>Perkančioji organizacija nurodo, kad Pirkimu siekiamas įsigyti paslaugus suteikti gali tik konkretus tiekėjas</w:t>
      </w:r>
      <w:r w:rsidRPr="00C52655">
        <w:rPr>
          <w:rFonts w:eastAsia="Calibri"/>
          <w:sz w:val="24"/>
          <w:szCs w:val="24"/>
        </w:rPr>
        <w:t xml:space="preserve"> – U</w:t>
      </w:r>
      <w:bookmarkStart w:id="3" w:name="_GoBack"/>
      <w:bookmarkEnd w:id="3"/>
      <w:r w:rsidRPr="00C52655">
        <w:rPr>
          <w:rFonts w:eastAsia="Calibri"/>
          <w:sz w:val="24"/>
          <w:szCs w:val="24"/>
        </w:rPr>
        <w:t xml:space="preserve">AB „Technologinių paslaugų </w:t>
      </w:r>
      <w:r w:rsidRPr="00C52655">
        <w:rPr>
          <w:rFonts w:eastAsia="Calibri"/>
          <w:color w:val="000000"/>
          <w:sz w:val="24"/>
          <w:szCs w:val="24"/>
        </w:rPr>
        <w:t xml:space="preserve">sprendimai“, kuris Sutartimi pristatė Prietaisus </w:t>
      </w:r>
      <w:r w:rsidRPr="00C52655">
        <w:rPr>
          <w:rFonts w:eastAsia="Calibri"/>
          <w:color w:val="000000"/>
          <w:sz w:val="24"/>
          <w:szCs w:val="24"/>
        </w:rPr>
        <w:lastRenderedPageBreak/>
        <w:t xml:space="preserve">ir teikė bei šiuo metu teikia jų techninės priežiūros paslaugas. Rašte nurodoma, kad </w:t>
      </w:r>
      <w:bookmarkStart w:id="4" w:name="_Hlk32847048"/>
      <w:r w:rsidRPr="00C52655">
        <w:rPr>
          <w:rFonts w:eastAsia="Calibri"/>
          <w:sz w:val="24"/>
          <w:szCs w:val="24"/>
        </w:rPr>
        <w:t xml:space="preserve">UAB „Technologinių paslaugų </w:t>
      </w:r>
      <w:r w:rsidRPr="00C52655">
        <w:rPr>
          <w:rFonts w:eastAsia="Calibri"/>
          <w:color w:val="000000"/>
          <w:sz w:val="24"/>
          <w:szCs w:val="24"/>
        </w:rPr>
        <w:t xml:space="preserve">sprendimai“ pagal atstovavimo (prekybos agento) sutartį AGR08002 yra oficialus įgaliotas GATSO atstovas, kuriam yra suteikta išskirtinė teisė parduoti GATSO pagamintą įrangą Lietuvos Respublikos teritorijoje, atlikti jos aptarnavimą, priežiūrą bei remontą, įskaitant ir įrangos programavimą, pateikti dokumentus įmonėms, institucijoms ir organizacijoms šios įrangos registravimui atitinkamuose registruose ir metrologinės patikros atlikimui. Be to, </w:t>
      </w:r>
      <w:r w:rsidRPr="00C52655">
        <w:rPr>
          <w:rFonts w:eastAsia="Calibri"/>
          <w:sz w:val="24"/>
          <w:szCs w:val="24"/>
        </w:rPr>
        <w:t>tiekėjas</w:t>
      </w:r>
      <w:r w:rsidRPr="00C52655">
        <w:rPr>
          <w:rFonts w:eastAsia="Calibri"/>
          <w:color w:val="000000"/>
          <w:sz w:val="24"/>
          <w:szCs w:val="24"/>
        </w:rPr>
        <w:t xml:space="preserve"> turi teisę suteikti gamintojo garantiją iki 60 mėn. GATSO pagamintai įrangai, kuri yra naudojama Lietuvos Respublikos teritorijoje, jei ši įranga buvo nupirkta iš oficialaus GATSO atstovo Lietuvos Respublikoje</w:t>
      </w:r>
      <w:bookmarkEnd w:id="4"/>
      <w:r w:rsidRPr="00C52655">
        <w:rPr>
          <w:rFonts w:eastAsia="Calibri"/>
          <w:color w:val="000000"/>
          <w:sz w:val="24"/>
          <w:szCs w:val="24"/>
        </w:rPr>
        <w:t xml:space="preserve"> ir šis įgaliotas atstovas atlieka jos aptarnavimą, priežiūrą ir remonto darbus</w:t>
      </w:r>
      <w:r w:rsidRPr="00C52655">
        <w:rPr>
          <w:rFonts w:eastAsia="Calibri"/>
          <w:color w:val="000000"/>
          <w:sz w:val="24"/>
          <w:szCs w:val="24"/>
          <w:vertAlign w:val="superscript"/>
        </w:rPr>
        <w:footnoteReference w:id="4"/>
      </w:r>
      <w:r w:rsidRPr="00C52655">
        <w:rPr>
          <w:rFonts w:eastAsia="Calibri"/>
          <w:color w:val="000000"/>
          <w:sz w:val="24"/>
          <w:szCs w:val="24"/>
        </w:rPr>
        <w:t xml:space="preserve">. </w:t>
      </w:r>
      <w:r w:rsidRPr="00C52655">
        <w:rPr>
          <w:rFonts w:eastAsia="Calibri"/>
          <w:sz w:val="24"/>
          <w:szCs w:val="24"/>
        </w:rPr>
        <w:t xml:space="preserve">Planuojama Pirkimo vertė yra 177 600 Eur su PVM (kaina be PVM 146776,86 Eur). Numatoma sutarties trukmė 36 mėnesiai. Paslaugos finansuojamos iš Savivaldybės biudžeto, Programa SUSISIEKIMO SISTEMOS PRIEŽIŪROS IR PLĖTROS PROGRAMOS (NR. 06), priemonė Automatinės eismo priežiūros prietaisų įsigijimas ir nuoma Nr. 06.01.03.07 </w:t>
      </w:r>
      <w:r w:rsidRPr="00C52655">
        <w:rPr>
          <w:rFonts w:eastAsia="Calibri"/>
          <w:sz w:val="24"/>
          <w:szCs w:val="24"/>
          <w:vertAlign w:val="superscript"/>
        </w:rPr>
        <w:footnoteReference w:id="5"/>
      </w:r>
      <w:r w:rsidRPr="00C52655">
        <w:rPr>
          <w:rFonts w:eastAsia="Calibri"/>
          <w:sz w:val="24"/>
          <w:szCs w:val="24"/>
        </w:rPr>
        <w:t>.</w:t>
      </w:r>
    </w:p>
    <w:p w14:paraId="325102BC" w14:textId="77777777" w:rsidR="00C52655" w:rsidRPr="00C52655" w:rsidRDefault="00C52655" w:rsidP="00E87D91">
      <w:pPr>
        <w:ind w:firstLine="851"/>
        <w:jc w:val="both"/>
        <w:rPr>
          <w:rFonts w:eastAsia="Calibri"/>
          <w:i/>
          <w:iCs/>
          <w:color w:val="000000"/>
          <w:sz w:val="24"/>
          <w:szCs w:val="24"/>
        </w:rPr>
      </w:pPr>
      <w:r w:rsidRPr="00C52655">
        <w:rPr>
          <w:rFonts w:eastAsia="Calibri"/>
          <w:color w:val="000000"/>
          <w:sz w:val="24"/>
          <w:szCs w:val="24"/>
        </w:rPr>
        <w:t xml:space="preserve">Įstatymo 71 straipsnio 1 dalies 2 punkto (c) papunkčio nuostatose įtvirtinta, kad prekės, paslaugos ar darbai neskelbiamų derybų būdu gali būti perkamos: </w:t>
      </w:r>
      <w:r w:rsidRPr="00C52655">
        <w:rPr>
          <w:rFonts w:eastAsia="Calibri"/>
          <w:i/>
          <w:iCs/>
          <w:color w:val="000000"/>
          <w:sz w:val="24"/>
          <w:szCs w:val="24"/>
        </w:rPr>
        <w:t>„jeigu prekes pateikti, paslaugas teikti ar darbus atlikti gali tik konkretus tiekėjas dėl vienos iš šių priežasčių: &lt;...&gt; c) dėl išimtinių teisių, įskaitant intelektinės nuosavybės teises, apsaugos &lt;...&gt;“.</w:t>
      </w:r>
    </w:p>
    <w:p w14:paraId="68E2C142" w14:textId="77777777" w:rsidR="00C52655" w:rsidRPr="00C52655" w:rsidRDefault="00C52655" w:rsidP="00E87D91">
      <w:pPr>
        <w:ind w:firstLine="851"/>
        <w:jc w:val="both"/>
        <w:rPr>
          <w:sz w:val="24"/>
          <w:szCs w:val="24"/>
        </w:rPr>
      </w:pPr>
      <w:r w:rsidRPr="00C52655">
        <w:rPr>
          <w:sz w:val="24"/>
          <w:szCs w:val="24"/>
        </w:rPr>
        <w:t xml:space="preserve">Pažymėtina, kad neskelbiamų derybų vykdymas yra Įstatymo išimtis, todėl sąlygos, leidžiančios atlikti pirkimą neskelbiamų derybų būdu, turi būti aiškinamos itin siaurai. Vadovaujantis Europos Teisingumo Teismo praktika, neskelbiamos derybos nurodytu pagrindu gali būti vykdomos tik tuo atveju, jei egzistuoja ne tik su išskirtinių teisių apsauga susijusios priežastys, bet kartu turi būti tik vienintelis potencialus tiekėjas, o šios priežastys, dėl kurių pirkimo objektą gali pateikti vienintelis tiekėjas, turi būti objektyvios bei pagrįsti, kad joks kitas tiekėjas negali pateikti perkančiajai organizacijai reikalingo pirkimo objekto (1994 m. gegužės 3 d. sprendimas byloje C-328/92, 2005 m. birželio 2 d. sprendimas byloje C-394/02). </w:t>
      </w:r>
    </w:p>
    <w:p w14:paraId="5E1CEE72" w14:textId="77777777" w:rsidR="00C52655" w:rsidRPr="00C52655" w:rsidRDefault="00C52655" w:rsidP="00E87D91">
      <w:pPr>
        <w:ind w:firstLine="851"/>
        <w:jc w:val="both"/>
        <w:rPr>
          <w:color w:val="000000"/>
          <w:sz w:val="24"/>
          <w:szCs w:val="24"/>
        </w:rPr>
      </w:pPr>
      <w:r w:rsidRPr="00C52655">
        <w:rPr>
          <w:color w:val="000000"/>
          <w:sz w:val="24"/>
          <w:szCs w:val="24"/>
        </w:rPr>
        <w:t xml:space="preserve">Nustatyta, kad nagrinėjamu atveju Perkančioji organizacija Prietaisus, kuriems siekiama įsigyti techninės priežiūros paslaugas, įsigijo 2010 m. Prietaisų gamintojo atstovui </w:t>
      </w:r>
      <w:r w:rsidRPr="00C52655">
        <w:rPr>
          <w:rFonts w:eastAsia="Calibri"/>
          <w:sz w:val="24"/>
          <w:szCs w:val="24"/>
        </w:rPr>
        <w:t xml:space="preserve">UAB „Technologinių paslaugų </w:t>
      </w:r>
      <w:r w:rsidRPr="00C52655">
        <w:rPr>
          <w:rFonts w:eastAsia="Calibri"/>
          <w:color w:val="000000"/>
          <w:sz w:val="24"/>
          <w:szCs w:val="24"/>
        </w:rPr>
        <w:t>sprendimai“, kuris turi išskirtinę teisę Lietuvoje atlikti GATSO pagamintos įrangos aptarnavimą, priežiūrą, remontą bei teikti kitas paslaugas, yra suteikta teisė gamintojo garantiją Prietaisams suteikti iki 60 mėn., t. y. Prietaisams suteikiama papildomą 5 m. garantiją nuo jų įsigijimo</w:t>
      </w:r>
      <w:r w:rsidRPr="00C52655">
        <w:rPr>
          <w:rFonts w:eastAsia="Calibri"/>
          <w:color w:val="000000"/>
          <w:sz w:val="24"/>
          <w:szCs w:val="24"/>
          <w:vertAlign w:val="superscript"/>
        </w:rPr>
        <w:footnoteReference w:id="6"/>
      </w:r>
      <w:r w:rsidRPr="00C52655">
        <w:rPr>
          <w:rFonts w:eastAsia="Calibri"/>
          <w:color w:val="000000"/>
          <w:sz w:val="24"/>
          <w:szCs w:val="24"/>
        </w:rPr>
        <w:t>. Atsižvelgiant į nurodytą, darytina išvada, kad praėjus beveik 10 metų nuo Prietaisų įsigijimo momento gamintojo papildoma garantija Prietaisams nebetaikoma, todėl Perkančiosios organizacijos argumentai, kad įgaliotas atstovas gali suteikti gamintojo garantiją praėjus 10 m. nuo Prietaisų gamybos pradžios, yra nepagrįsti, bei neįrodo, kad siekiamas įsigyti paslaugas gali suteikti tik tiekėjas</w:t>
      </w:r>
      <w:r w:rsidRPr="00C52655">
        <w:rPr>
          <w:rFonts w:eastAsia="Calibri"/>
          <w:sz w:val="24"/>
          <w:szCs w:val="24"/>
        </w:rPr>
        <w:t xml:space="preserve"> UAB „Technologinių paslaugų </w:t>
      </w:r>
      <w:r w:rsidRPr="00C52655">
        <w:rPr>
          <w:rFonts w:eastAsia="Calibri"/>
          <w:color w:val="000000"/>
          <w:sz w:val="24"/>
          <w:szCs w:val="24"/>
        </w:rPr>
        <w:t xml:space="preserve">sprendimai“. Perkančioji organizacija nepateikė Tarnybai jokių kitų įrodymų bei pagrindimų, kodėl šiuo konkrečiu atveju joks kitas rinkoje esantis tiekėjas negalėtų suteikti siekiamų įsigyti paslaugų. Be to, nustatyta, kad pasibaigus Sutarties galiojimui, Perkančioji organizacija analogiškas paslaugas įsigijo vykdydama atvirą konkursą (sutartis sudaryta su tiekėju </w:t>
      </w:r>
      <w:r w:rsidRPr="00C52655">
        <w:rPr>
          <w:rFonts w:eastAsia="Calibri"/>
          <w:sz w:val="24"/>
          <w:szCs w:val="24"/>
        </w:rPr>
        <w:t xml:space="preserve">UAB „Technologinių paslaugų </w:t>
      </w:r>
      <w:r w:rsidRPr="00C52655">
        <w:rPr>
          <w:rFonts w:eastAsia="Calibri"/>
          <w:color w:val="000000"/>
          <w:sz w:val="24"/>
          <w:szCs w:val="24"/>
        </w:rPr>
        <w:t xml:space="preserve">sprendimai“), o laikotarpiu nuo 2016 m. liepos 9 d. iki 2017 m. spalio 9 d. Prietaisų techninės priežiūros paslaugos iš viso nebuvo teikiamos, todėl nėra aišku kas minėtu laikotarpiu vykdė Prietaisų priežiūrą (pvz. sugedusių detalių keitimas, kasmetinė patikra, Prietaisų vietos keitimas ir kt. paslaugos) ir ar iš viso techninė įrangos priežiūra buvo vykdoma.  </w:t>
      </w:r>
    </w:p>
    <w:p w14:paraId="16F473B8" w14:textId="77777777" w:rsidR="00C52655" w:rsidRPr="00C52655" w:rsidRDefault="00C52655" w:rsidP="00E87D91">
      <w:pPr>
        <w:ind w:firstLine="851"/>
        <w:jc w:val="both"/>
        <w:rPr>
          <w:color w:val="000000"/>
          <w:sz w:val="24"/>
          <w:szCs w:val="24"/>
        </w:rPr>
      </w:pPr>
      <w:r w:rsidRPr="00C52655">
        <w:rPr>
          <w:sz w:val="24"/>
          <w:szCs w:val="24"/>
        </w:rPr>
        <w:t xml:space="preserve">Atsižvelgiant į nurodytą, Tarnyba konstatuoja, kad Perkančiosios organizacijos rašte nurodytos aplinkybės neatitinka Įstatymo 71 straipsnio 1 dalies 2 (c) punkto privalomų sąlygų, dėl kurių nebūtų jokių kitų alternatyvų, dėl ko šių paslaugų Perkančioji organizacija negalėtų pirkti kitais Įstatyme nustatytais būdais. Įvertinusi tai ir vadovaudamasi </w:t>
      </w:r>
      <w:r w:rsidRPr="00C52655">
        <w:rPr>
          <w:rFonts w:eastAsia="Calibri"/>
          <w:color w:val="000000"/>
          <w:sz w:val="24"/>
          <w:szCs w:val="24"/>
          <w:lang w:eastAsia="lt-LT"/>
        </w:rPr>
        <w:t xml:space="preserve">Įstatymo 95 straipsnio 2 dalies 6 punkto </w:t>
      </w:r>
      <w:r w:rsidRPr="00C52655">
        <w:rPr>
          <w:rFonts w:eastAsia="Calibri"/>
          <w:color w:val="000000"/>
          <w:sz w:val="24"/>
          <w:szCs w:val="24"/>
          <w:lang w:eastAsia="lt-LT"/>
        </w:rPr>
        <w:lastRenderedPageBreak/>
        <w:t xml:space="preserve">nuostatomis, Tarnyba </w:t>
      </w:r>
      <w:r w:rsidRPr="00C52655">
        <w:rPr>
          <w:rFonts w:eastAsia="Calibri"/>
          <w:b/>
          <w:color w:val="000000"/>
          <w:sz w:val="24"/>
          <w:szCs w:val="24"/>
          <w:lang w:eastAsia="lt-LT"/>
        </w:rPr>
        <w:t>ne</w:t>
      </w:r>
      <w:r w:rsidRPr="00C52655">
        <w:rPr>
          <w:rFonts w:eastAsia="Calibri"/>
          <w:b/>
          <w:bCs/>
          <w:color w:val="000000"/>
          <w:sz w:val="24"/>
          <w:szCs w:val="24"/>
          <w:lang w:eastAsia="lt-LT"/>
        </w:rPr>
        <w:t>sutinka</w:t>
      </w:r>
      <w:r w:rsidRPr="00C52655">
        <w:rPr>
          <w:rFonts w:eastAsia="Calibri"/>
          <w:color w:val="000000"/>
          <w:sz w:val="24"/>
          <w:szCs w:val="24"/>
          <w:lang w:eastAsia="lt-LT"/>
        </w:rPr>
        <w:t xml:space="preserve">, kad Klaipėdos </w:t>
      </w:r>
      <w:r w:rsidRPr="00C52655">
        <w:rPr>
          <w:rFonts w:eastAsia="Calibri"/>
          <w:color w:val="000000"/>
          <w:sz w:val="24"/>
          <w:szCs w:val="24"/>
        </w:rPr>
        <w:t>miesto savivaldybės administracija</w:t>
      </w:r>
      <w:r w:rsidRPr="00C52655">
        <w:rPr>
          <w:rFonts w:eastAsia="Calibri"/>
          <w:color w:val="000000"/>
          <w:sz w:val="24"/>
          <w:szCs w:val="24"/>
          <w:lang w:eastAsia="lt-LT"/>
        </w:rPr>
        <w:t xml:space="preserve"> </w:t>
      </w:r>
      <w:r w:rsidRPr="00C52655">
        <w:rPr>
          <w:rFonts w:eastAsia="Calibri"/>
          <w:iCs/>
          <w:color w:val="000000"/>
          <w:sz w:val="24"/>
          <w:szCs w:val="24"/>
          <w:lang w:eastAsia="lt-LT"/>
        </w:rPr>
        <w:t>Pirkimą</w:t>
      </w:r>
      <w:r w:rsidRPr="00C52655">
        <w:rPr>
          <w:rFonts w:eastAsia="Calibri"/>
          <w:color w:val="000000"/>
          <w:sz w:val="24"/>
          <w:szCs w:val="24"/>
          <w:lang w:eastAsia="lt-LT"/>
        </w:rPr>
        <w:t xml:space="preserve"> vykdytų neskelbiamų derybų būdu, vadovaujantis Įstatymo 71 straipsnio 1 dalies 2 punkto (c) papunkčio nuostatomis į derybas kviečian</w:t>
      </w:r>
      <w:r w:rsidRPr="00C52655">
        <w:rPr>
          <w:color w:val="000000"/>
          <w:sz w:val="24"/>
          <w:szCs w:val="24"/>
        </w:rPr>
        <w:t xml:space="preserve">t konkretų tiekėją – UAB „Technologinių paslaugų sprendimai“. </w:t>
      </w:r>
    </w:p>
    <w:p w14:paraId="3B080753" w14:textId="77777777" w:rsidR="00C52655" w:rsidRPr="00C52655" w:rsidRDefault="00C52655" w:rsidP="00E87D91">
      <w:pPr>
        <w:ind w:firstLine="851"/>
        <w:jc w:val="both"/>
        <w:rPr>
          <w:color w:val="000000"/>
          <w:sz w:val="24"/>
          <w:szCs w:val="24"/>
        </w:rPr>
      </w:pPr>
      <w:r w:rsidRPr="00C52655">
        <w:rPr>
          <w:color w:val="000000"/>
          <w:sz w:val="24"/>
          <w:szCs w:val="24"/>
        </w:rPr>
        <w:t>Vadovaujantis Lietuvos Respublikos administracinių bylų teisenos įstatymo 5 ir 17 straipsniais, nesutikę su šiuo Tarnybos sprendimu, Jūs galite jį apskųsti teismui šio įstatymo nustatyta tvarka.</w:t>
      </w:r>
    </w:p>
    <w:p w14:paraId="3E0DDECF" w14:textId="77777777" w:rsidR="00C52655" w:rsidRPr="00C52655" w:rsidRDefault="00C52655" w:rsidP="00E87D91">
      <w:pPr>
        <w:ind w:firstLine="851"/>
        <w:jc w:val="both"/>
        <w:rPr>
          <w:iCs/>
          <w:color w:val="000000"/>
          <w:sz w:val="24"/>
          <w:szCs w:val="24"/>
        </w:rPr>
      </w:pPr>
    </w:p>
    <w:p w14:paraId="35297501" w14:textId="77777777" w:rsidR="00C52655" w:rsidRPr="00C52655" w:rsidRDefault="00C52655" w:rsidP="00E87D91">
      <w:pPr>
        <w:jc w:val="both"/>
        <w:rPr>
          <w:rFonts w:eastAsia="Calibri"/>
          <w:color w:val="000000"/>
          <w:sz w:val="24"/>
          <w:szCs w:val="24"/>
        </w:rPr>
      </w:pPr>
    </w:p>
    <w:p w14:paraId="127A7DFC" w14:textId="77777777" w:rsidR="00C52655" w:rsidRPr="00C52655" w:rsidRDefault="00C52655" w:rsidP="00E87D91">
      <w:pPr>
        <w:jc w:val="both"/>
        <w:rPr>
          <w:rFonts w:eastAsia="Calibri"/>
          <w:color w:val="000000"/>
          <w:sz w:val="24"/>
          <w:szCs w:val="24"/>
        </w:rPr>
      </w:pPr>
    </w:p>
    <w:p w14:paraId="003FDF21" w14:textId="77777777" w:rsidR="00C52655" w:rsidRPr="00C52655" w:rsidRDefault="00C52655" w:rsidP="00E87D91">
      <w:pPr>
        <w:jc w:val="both"/>
        <w:rPr>
          <w:rFonts w:eastAsia="Calibri"/>
          <w:color w:val="000000"/>
          <w:sz w:val="24"/>
          <w:szCs w:val="24"/>
        </w:rPr>
      </w:pPr>
    </w:p>
    <w:p w14:paraId="2D5F9968" w14:textId="77777777" w:rsidR="00C52655" w:rsidRPr="00C52655" w:rsidRDefault="00C52655" w:rsidP="00E87D91">
      <w:pPr>
        <w:tabs>
          <w:tab w:val="left" w:pos="1134"/>
        </w:tabs>
        <w:jc w:val="both"/>
        <w:rPr>
          <w:rFonts w:eastAsia="Calibri"/>
          <w:sz w:val="24"/>
          <w:szCs w:val="24"/>
        </w:rPr>
      </w:pPr>
      <w:r w:rsidRPr="00C52655">
        <w:rPr>
          <w:rFonts w:eastAsia="Calibri"/>
          <w:sz w:val="24"/>
          <w:szCs w:val="24"/>
        </w:rPr>
        <w:t xml:space="preserve">Direktoriaus pavaduotoja, </w:t>
      </w:r>
    </w:p>
    <w:p w14:paraId="478CE8E6" w14:textId="77777777" w:rsidR="00C52655" w:rsidRPr="00C52655" w:rsidRDefault="00C52655" w:rsidP="00E87D91">
      <w:pPr>
        <w:tabs>
          <w:tab w:val="left" w:pos="1134"/>
        </w:tabs>
        <w:jc w:val="both"/>
        <w:rPr>
          <w:sz w:val="24"/>
          <w:szCs w:val="24"/>
        </w:rPr>
      </w:pPr>
      <w:r w:rsidRPr="00C52655">
        <w:rPr>
          <w:rFonts w:eastAsia="Calibri"/>
          <w:sz w:val="24"/>
          <w:szCs w:val="24"/>
        </w:rPr>
        <w:t>laikinai atliekanti direktoriaus funkcijas</w:t>
      </w:r>
      <w:r w:rsidRPr="00C52655">
        <w:rPr>
          <w:sz w:val="24"/>
          <w:szCs w:val="24"/>
        </w:rPr>
        <w:tab/>
      </w:r>
      <w:r w:rsidRPr="00C52655">
        <w:rPr>
          <w:sz w:val="24"/>
          <w:szCs w:val="24"/>
        </w:rPr>
        <w:tab/>
      </w:r>
      <w:r w:rsidRPr="00C52655">
        <w:rPr>
          <w:sz w:val="24"/>
          <w:szCs w:val="24"/>
        </w:rPr>
        <w:tab/>
      </w:r>
      <w:r w:rsidRPr="00C52655">
        <w:rPr>
          <w:sz w:val="24"/>
          <w:szCs w:val="24"/>
        </w:rPr>
        <w:tab/>
        <w:t xml:space="preserve">  Jovita Petkuvienė </w:t>
      </w:r>
    </w:p>
    <w:tbl>
      <w:tblPr>
        <w:tblW w:w="22818" w:type="dxa"/>
        <w:tblLook w:val="01E0" w:firstRow="1" w:lastRow="1" w:firstColumn="1" w:lastColumn="1" w:noHBand="0" w:noVBand="0"/>
      </w:tblPr>
      <w:tblGrid>
        <w:gridCol w:w="9639"/>
        <w:gridCol w:w="4393"/>
        <w:gridCol w:w="4393"/>
        <w:gridCol w:w="4393"/>
      </w:tblGrid>
      <w:tr w:rsidR="00E87D91" w:rsidRPr="00C52655" w14:paraId="3FA920A9" w14:textId="77777777" w:rsidTr="00E87D91">
        <w:tc>
          <w:tcPr>
            <w:tcW w:w="9639" w:type="dxa"/>
          </w:tcPr>
          <w:p w14:paraId="03CF97AD" w14:textId="77777777" w:rsidR="00E87D91" w:rsidRPr="00C52655" w:rsidRDefault="00E87D91" w:rsidP="00C52655">
            <w:pPr>
              <w:tabs>
                <w:tab w:val="left" w:pos="900"/>
              </w:tabs>
              <w:ind w:right="-2493"/>
              <w:jc w:val="both"/>
              <w:rPr>
                <w:sz w:val="24"/>
                <w:szCs w:val="24"/>
              </w:rPr>
            </w:pPr>
          </w:p>
          <w:p w14:paraId="4DFA6C56" w14:textId="77777777" w:rsidR="00E87D91" w:rsidRPr="00C52655" w:rsidRDefault="00E87D91" w:rsidP="00C52655">
            <w:pPr>
              <w:tabs>
                <w:tab w:val="left" w:pos="900"/>
              </w:tabs>
              <w:ind w:right="-2493"/>
              <w:jc w:val="both"/>
              <w:rPr>
                <w:sz w:val="24"/>
                <w:szCs w:val="24"/>
              </w:rPr>
            </w:pPr>
          </w:p>
          <w:p w14:paraId="1B1B0AB1" w14:textId="77777777" w:rsidR="00E87D91" w:rsidRPr="00C52655" w:rsidRDefault="00E87D91" w:rsidP="00C52655">
            <w:pPr>
              <w:tabs>
                <w:tab w:val="left" w:pos="900"/>
              </w:tabs>
              <w:ind w:right="-2493"/>
              <w:jc w:val="both"/>
              <w:rPr>
                <w:sz w:val="24"/>
                <w:szCs w:val="24"/>
              </w:rPr>
            </w:pPr>
          </w:p>
          <w:p w14:paraId="7775EDE8" w14:textId="77777777" w:rsidR="00E87D91" w:rsidRPr="00C52655" w:rsidRDefault="00E87D91" w:rsidP="00C52655">
            <w:pPr>
              <w:tabs>
                <w:tab w:val="left" w:pos="900"/>
              </w:tabs>
              <w:ind w:right="-2493"/>
              <w:jc w:val="both"/>
              <w:rPr>
                <w:sz w:val="24"/>
                <w:szCs w:val="24"/>
              </w:rPr>
            </w:pPr>
          </w:p>
        </w:tc>
        <w:tc>
          <w:tcPr>
            <w:tcW w:w="4393" w:type="dxa"/>
          </w:tcPr>
          <w:p w14:paraId="63DE4883" w14:textId="77777777" w:rsidR="00E87D91" w:rsidRPr="00C52655" w:rsidRDefault="00E87D91" w:rsidP="00C52655">
            <w:pPr>
              <w:ind w:left="2018" w:right="141"/>
              <w:rPr>
                <w:sz w:val="24"/>
                <w:szCs w:val="24"/>
              </w:rPr>
            </w:pPr>
          </w:p>
        </w:tc>
        <w:tc>
          <w:tcPr>
            <w:tcW w:w="4393" w:type="dxa"/>
          </w:tcPr>
          <w:p w14:paraId="79CF2D83" w14:textId="1525BD5D" w:rsidR="00E87D91" w:rsidRPr="00C52655" w:rsidRDefault="00E87D91" w:rsidP="00C52655">
            <w:pPr>
              <w:ind w:left="2018" w:right="141"/>
              <w:rPr>
                <w:sz w:val="24"/>
                <w:szCs w:val="24"/>
              </w:rPr>
            </w:pPr>
          </w:p>
        </w:tc>
        <w:tc>
          <w:tcPr>
            <w:tcW w:w="4393" w:type="dxa"/>
          </w:tcPr>
          <w:p w14:paraId="0234D3AC" w14:textId="0A805F28" w:rsidR="00E87D91" w:rsidRPr="00C52655" w:rsidRDefault="00E87D91" w:rsidP="00C52655">
            <w:pPr>
              <w:ind w:left="2018" w:right="141"/>
              <w:rPr>
                <w:sz w:val="24"/>
                <w:szCs w:val="24"/>
              </w:rPr>
            </w:pPr>
          </w:p>
        </w:tc>
      </w:tr>
    </w:tbl>
    <w:p w14:paraId="5656CF8F" w14:textId="77777777" w:rsidR="00C52655" w:rsidRPr="00C52655" w:rsidRDefault="00C52655" w:rsidP="00C52655">
      <w:pPr>
        <w:tabs>
          <w:tab w:val="left" w:pos="900"/>
        </w:tabs>
        <w:rPr>
          <w:sz w:val="24"/>
          <w:szCs w:val="24"/>
          <w:lang w:val="en-US"/>
        </w:rPr>
      </w:pPr>
    </w:p>
    <w:p w14:paraId="5B657B76" w14:textId="77777777" w:rsidR="00C52655" w:rsidRPr="00C52655" w:rsidRDefault="00C52655" w:rsidP="00C52655">
      <w:pPr>
        <w:tabs>
          <w:tab w:val="left" w:pos="900"/>
        </w:tabs>
        <w:rPr>
          <w:sz w:val="24"/>
          <w:szCs w:val="24"/>
          <w:lang w:val="en-US"/>
        </w:rPr>
      </w:pPr>
    </w:p>
    <w:p w14:paraId="5F3E47E4" w14:textId="77777777" w:rsidR="00C52655" w:rsidRPr="00C52655" w:rsidRDefault="00C52655" w:rsidP="00C52655">
      <w:pPr>
        <w:tabs>
          <w:tab w:val="left" w:pos="900"/>
        </w:tabs>
        <w:rPr>
          <w:sz w:val="24"/>
          <w:szCs w:val="24"/>
          <w:lang w:val="en-US"/>
        </w:rPr>
      </w:pPr>
    </w:p>
    <w:p w14:paraId="7358D07D" w14:textId="77777777" w:rsidR="00C52655" w:rsidRPr="00C52655" w:rsidRDefault="00C52655" w:rsidP="00C52655">
      <w:pPr>
        <w:tabs>
          <w:tab w:val="left" w:pos="900"/>
        </w:tabs>
        <w:rPr>
          <w:sz w:val="24"/>
          <w:szCs w:val="24"/>
          <w:lang w:val="en-US"/>
        </w:rPr>
      </w:pPr>
    </w:p>
    <w:p w14:paraId="3143435F" w14:textId="77777777" w:rsidR="00C52655" w:rsidRPr="00C52655" w:rsidRDefault="00C52655" w:rsidP="00C52655">
      <w:pPr>
        <w:tabs>
          <w:tab w:val="left" w:pos="900"/>
        </w:tabs>
        <w:rPr>
          <w:sz w:val="24"/>
          <w:szCs w:val="24"/>
          <w:lang w:val="en-US"/>
        </w:rPr>
      </w:pPr>
    </w:p>
    <w:p w14:paraId="7C7C6601" w14:textId="77777777" w:rsidR="00C52655" w:rsidRPr="00C52655" w:rsidRDefault="00C52655" w:rsidP="00C52655">
      <w:pPr>
        <w:tabs>
          <w:tab w:val="left" w:pos="900"/>
        </w:tabs>
        <w:rPr>
          <w:sz w:val="24"/>
          <w:szCs w:val="24"/>
          <w:lang w:val="en-US"/>
        </w:rPr>
      </w:pPr>
    </w:p>
    <w:p w14:paraId="4B62340A" w14:textId="77777777" w:rsidR="00C52655" w:rsidRPr="00C52655" w:rsidRDefault="00C52655" w:rsidP="00C52655">
      <w:pPr>
        <w:tabs>
          <w:tab w:val="left" w:pos="900"/>
        </w:tabs>
        <w:rPr>
          <w:sz w:val="24"/>
          <w:szCs w:val="24"/>
          <w:lang w:val="en-US"/>
        </w:rPr>
      </w:pPr>
    </w:p>
    <w:p w14:paraId="11735142" w14:textId="77777777" w:rsidR="00C52655" w:rsidRPr="00C52655" w:rsidRDefault="00C52655" w:rsidP="00C52655">
      <w:pPr>
        <w:tabs>
          <w:tab w:val="left" w:pos="900"/>
        </w:tabs>
        <w:rPr>
          <w:sz w:val="24"/>
          <w:szCs w:val="24"/>
          <w:lang w:val="en-US"/>
        </w:rPr>
      </w:pPr>
    </w:p>
    <w:p w14:paraId="1000FA7D" w14:textId="77777777" w:rsidR="00C52655" w:rsidRPr="00C52655" w:rsidRDefault="00C52655" w:rsidP="00C52655">
      <w:pPr>
        <w:tabs>
          <w:tab w:val="left" w:pos="900"/>
        </w:tabs>
        <w:rPr>
          <w:sz w:val="24"/>
          <w:szCs w:val="24"/>
          <w:lang w:val="en-US"/>
        </w:rPr>
      </w:pPr>
    </w:p>
    <w:p w14:paraId="10965904" w14:textId="77777777" w:rsidR="00C52655" w:rsidRPr="00C52655" w:rsidRDefault="00C52655" w:rsidP="00C52655">
      <w:pPr>
        <w:tabs>
          <w:tab w:val="left" w:pos="900"/>
        </w:tabs>
        <w:rPr>
          <w:sz w:val="24"/>
          <w:szCs w:val="24"/>
          <w:lang w:val="en-US"/>
        </w:rPr>
      </w:pPr>
    </w:p>
    <w:p w14:paraId="72E1AC7E" w14:textId="77777777" w:rsidR="00C52655" w:rsidRPr="00C52655" w:rsidRDefault="00C52655" w:rsidP="00C52655">
      <w:pPr>
        <w:tabs>
          <w:tab w:val="left" w:pos="900"/>
        </w:tabs>
        <w:rPr>
          <w:sz w:val="24"/>
          <w:szCs w:val="24"/>
          <w:lang w:val="en-US"/>
        </w:rPr>
      </w:pPr>
    </w:p>
    <w:p w14:paraId="56A346E6" w14:textId="77777777" w:rsidR="00C52655" w:rsidRPr="00C52655" w:rsidRDefault="00C52655" w:rsidP="00C52655">
      <w:pPr>
        <w:tabs>
          <w:tab w:val="left" w:pos="900"/>
        </w:tabs>
        <w:rPr>
          <w:sz w:val="24"/>
          <w:szCs w:val="24"/>
          <w:lang w:val="en-US"/>
        </w:rPr>
      </w:pPr>
    </w:p>
    <w:p w14:paraId="50E3B966" w14:textId="77777777" w:rsidR="00C52655" w:rsidRPr="00C52655" w:rsidRDefault="00C52655" w:rsidP="00C52655">
      <w:pPr>
        <w:tabs>
          <w:tab w:val="left" w:pos="900"/>
        </w:tabs>
        <w:rPr>
          <w:sz w:val="24"/>
          <w:szCs w:val="24"/>
          <w:lang w:val="en-US"/>
        </w:rPr>
      </w:pPr>
    </w:p>
    <w:p w14:paraId="2B7D6265" w14:textId="77777777" w:rsidR="000D0EA9" w:rsidRPr="008E2B0B" w:rsidRDefault="000D0EA9">
      <w:pPr>
        <w:shd w:val="clear" w:color="auto" w:fill="FFFFFF"/>
        <w:tabs>
          <w:tab w:val="left" w:pos="900"/>
        </w:tabs>
        <w:rPr>
          <w:sz w:val="24"/>
          <w:szCs w:val="24"/>
        </w:rPr>
      </w:pPr>
    </w:p>
    <w:p w14:paraId="04347830" w14:textId="687C256A" w:rsidR="00FD56A5" w:rsidRPr="008E2B0B" w:rsidRDefault="00F202B1" w:rsidP="008E2B0B">
      <w:pPr>
        <w:shd w:val="clear" w:color="auto" w:fill="FFFFFF"/>
        <w:tabs>
          <w:tab w:val="left" w:pos="900"/>
        </w:tabs>
        <w:rPr>
          <w:sz w:val="24"/>
          <w:szCs w:val="24"/>
        </w:rPr>
      </w:pPr>
      <w:r w:rsidRPr="008E2B0B">
        <w:rPr>
          <w:noProof/>
          <w:sz w:val="24"/>
          <w:szCs w:val="24"/>
          <w:lang w:eastAsia="lt-LT"/>
        </w:rPr>
        <mc:AlternateContent>
          <mc:Choice Requires="wps">
            <w:drawing>
              <wp:anchor distT="0" distB="0" distL="114300" distR="114300" simplePos="0" relativeHeight="251660288" behindDoc="0" locked="1" layoutInCell="1" allowOverlap="0" wp14:anchorId="60DCBF2D" wp14:editId="4E6869A6">
                <wp:simplePos x="0" y="0"/>
                <wp:positionH relativeFrom="margin">
                  <wp:align>left</wp:align>
                </wp:positionH>
                <wp:positionV relativeFrom="page">
                  <wp:posOffset>9360535</wp:posOffset>
                </wp:positionV>
                <wp:extent cx="4552950" cy="237490"/>
                <wp:effectExtent l="0" t="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13BD1" w14:textId="4BBB8A26" w:rsidR="004A4318" w:rsidRPr="00E87D91" w:rsidRDefault="00E87D91">
                            <w:pPr>
                              <w:rPr>
                                <w:color w:val="000000"/>
                                <w:szCs w:val="22"/>
                              </w:rPr>
                            </w:pPr>
                            <w:r w:rsidRPr="00C52655">
                              <w:rPr>
                                <w:sz w:val="22"/>
                                <w:szCs w:val="24"/>
                                <w:lang w:val="en-US"/>
                              </w:rPr>
                              <w:t xml:space="preserve">Dovilė </w:t>
                            </w:r>
                            <w:r w:rsidRPr="00E87D91">
                              <w:rPr>
                                <w:sz w:val="22"/>
                                <w:szCs w:val="24"/>
                                <w:lang w:val="en-US"/>
                              </w:rPr>
                              <w:t xml:space="preserve">Gataukytė, tel. (8 5) 219 7017, </w:t>
                            </w:r>
                            <w:r w:rsidRPr="00C52655">
                              <w:rPr>
                                <w:sz w:val="22"/>
                                <w:szCs w:val="24"/>
                                <w:lang w:val="en-US"/>
                              </w:rPr>
                              <w:t>el. p. Dovile.Gataukyte@vpt.lt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DCBF2D" id="_x0000_t202" coordsize="21600,21600" o:spt="202" path="m,l,21600r21600,l21600,xe">
                <v:stroke joinstyle="miter"/>
                <v:path gradientshapeok="t" o:connecttype="rect"/>
              </v:shapetype>
              <v:shape id="Text Box 3" o:spid="_x0000_s1026" type="#_x0000_t202" style="position:absolute;margin-left:0;margin-top:737.05pt;width:358.5pt;height:18.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" o:allowoverlap="f" stroked="f">
                <v:textbox style="mso-fit-shape-to-text:t">
                  <w:txbxContent>
                    <w:p w14:paraId="3DA13BD1" w14:textId="4BBB8A26" w:rsidR="004A4318" w:rsidRPr="00E87D91" w:rsidRDefault="00E87D91">
                      <w:pPr>
                        <w:rPr>
                          <w:color w:val="000000"/>
                          <w:szCs w:val="22"/>
                        </w:rPr>
                      </w:pPr>
                      <w:r w:rsidRPr="00C52655">
                        <w:rPr>
                          <w:sz w:val="22"/>
                          <w:szCs w:val="24"/>
                          <w:lang w:val="en-US"/>
                        </w:rPr>
                        <w:t xml:space="preserve">Dovilė </w:t>
                      </w:r>
                      <w:r w:rsidRPr="00E87D91">
                        <w:rPr>
                          <w:sz w:val="22"/>
                          <w:szCs w:val="24"/>
                          <w:lang w:val="en-US"/>
                        </w:rPr>
                        <w:t xml:space="preserve">Gataukytė, tel. (8 5) 219 7017, </w:t>
                      </w:r>
                      <w:r w:rsidRPr="00C52655">
                        <w:rPr>
                          <w:sz w:val="22"/>
                          <w:szCs w:val="24"/>
                          <w:lang w:val="en-US"/>
                        </w:rPr>
                        <w:t>el. p. Dovile.Gataukyte@vpt.lt</w:t>
                      </w:r>
                    </w:p>
                  </w:txbxContent>
                </v:textbox>
                <w10:wrap anchorx="margin" anchory="page"/>
                <w10:anchorlock/>
              </v:shape>
            </w:pict>
          </mc:Fallback>
        </mc:AlternateContent>
      </w:r>
    </w:p>
    <w:p w14:paraId="12738292" w14:textId="10B41AFD" w:rsidR="00B43C80" w:rsidRDefault="00B43C80" w:rsidP="00FD56A5">
      <w:pPr>
        <w:rPr>
          <w:sz w:val="24"/>
          <w:szCs w:val="24"/>
        </w:rPr>
      </w:pPr>
    </w:p>
    <w:p w14:paraId="5B30C5AA" w14:textId="77777777" w:rsidR="00B43C80" w:rsidRDefault="00B43C80" w:rsidP="00FD56A5">
      <w:pPr>
        <w:rPr>
          <w:sz w:val="24"/>
          <w:szCs w:val="24"/>
        </w:rPr>
      </w:pPr>
    </w:p>
    <w:p w14:paraId="791C002B" w14:textId="77777777" w:rsidR="00B43C80" w:rsidRDefault="00B43C80" w:rsidP="00FD56A5">
      <w:pPr>
        <w:rPr>
          <w:sz w:val="24"/>
          <w:szCs w:val="24"/>
        </w:rPr>
      </w:pPr>
    </w:p>
    <w:p w14:paraId="423F63AA" w14:textId="77777777" w:rsidR="00B43C80" w:rsidRDefault="00B43C80" w:rsidP="00FD56A5">
      <w:pPr>
        <w:rPr>
          <w:sz w:val="24"/>
          <w:szCs w:val="24"/>
        </w:rPr>
      </w:pPr>
    </w:p>
    <w:p w14:paraId="14DF35EB" w14:textId="77777777" w:rsidR="00B43C80" w:rsidRDefault="00B43C80" w:rsidP="00FD56A5">
      <w:pPr>
        <w:rPr>
          <w:sz w:val="24"/>
          <w:szCs w:val="24"/>
        </w:rPr>
      </w:pPr>
    </w:p>
    <w:p w14:paraId="522444F2" w14:textId="77777777" w:rsidR="00B43C80" w:rsidRDefault="00B43C80" w:rsidP="00FD56A5">
      <w:pPr>
        <w:rPr>
          <w:sz w:val="24"/>
          <w:szCs w:val="24"/>
        </w:rPr>
      </w:pPr>
    </w:p>
    <w:p w14:paraId="5475EA2E" w14:textId="24097E30" w:rsidR="00B43C80" w:rsidRDefault="00B43C80" w:rsidP="00B43C80">
      <w:pPr>
        <w:jc w:val="right"/>
        <w:rPr>
          <w:sz w:val="24"/>
          <w:szCs w:val="24"/>
        </w:rPr>
      </w:pPr>
    </w:p>
    <w:p w14:paraId="4AA5C0A0" w14:textId="77777777" w:rsidR="00B43C80" w:rsidRDefault="00B43C80" w:rsidP="00FD56A5">
      <w:pPr>
        <w:rPr>
          <w:sz w:val="24"/>
          <w:szCs w:val="24"/>
        </w:rPr>
      </w:pPr>
    </w:p>
    <w:p w14:paraId="53DB92C4" w14:textId="77777777" w:rsidR="00B43C80" w:rsidRDefault="00B43C80" w:rsidP="00FD56A5">
      <w:pPr>
        <w:rPr>
          <w:sz w:val="24"/>
          <w:szCs w:val="24"/>
        </w:rPr>
      </w:pPr>
    </w:p>
    <w:p w14:paraId="299A3E79" w14:textId="7BBAC7B8" w:rsidR="00B43C80" w:rsidRDefault="00B43C80" w:rsidP="0043489E">
      <w:pPr>
        <w:jc w:val="right"/>
        <w:rPr>
          <w:sz w:val="24"/>
          <w:szCs w:val="24"/>
        </w:rPr>
      </w:pPr>
    </w:p>
    <w:p w14:paraId="1D5B768F" w14:textId="77777777" w:rsidR="00B43C80" w:rsidRDefault="00B43C80" w:rsidP="00FD56A5">
      <w:pPr>
        <w:rPr>
          <w:sz w:val="24"/>
          <w:szCs w:val="24"/>
        </w:rPr>
      </w:pPr>
    </w:p>
    <w:p w14:paraId="58E0142E" w14:textId="75BCCBC6" w:rsidR="00B43C80" w:rsidRPr="008E2B0B" w:rsidRDefault="00B43C80" w:rsidP="00B43C80">
      <w:pPr>
        <w:jc w:val="right"/>
        <w:rPr>
          <w:sz w:val="24"/>
          <w:szCs w:val="24"/>
        </w:rPr>
      </w:pPr>
    </w:p>
    <w:sectPr w:rsidR="00B43C80" w:rsidRPr="008E2B0B" w:rsidSect="003830E2">
      <w:headerReference w:type="even" r:id="rId10"/>
      <w:headerReference w:type="default" r:id="rId11"/>
      <w:footerReference w:type="default" r:id="rId12"/>
      <w:footerReference w:type="first" r:id="rId13"/>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7F069" w14:textId="77777777" w:rsidR="00EE2A8E" w:rsidRDefault="00EE2A8E">
      <w:r>
        <w:separator/>
      </w:r>
    </w:p>
  </w:endnote>
  <w:endnote w:type="continuationSeparator" w:id="0">
    <w:p w14:paraId="5719E1C4" w14:textId="77777777" w:rsidR="00EE2A8E" w:rsidRDefault="00EE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A1F4" w14:textId="77777777" w:rsidR="00EF7000" w:rsidRDefault="00EF7000">
    <w:pPr>
      <w:pStyle w:val="Porat"/>
    </w:pPr>
  </w:p>
  <w:p w14:paraId="2CD80288" w14:textId="77777777" w:rsidR="00EF7000" w:rsidRDefault="00EF7000">
    <w:pPr>
      <w:pStyle w:val="Porat"/>
    </w:pPr>
  </w:p>
  <w:p w14:paraId="75E5DCAA" w14:textId="77777777"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EE2A8E" w:rsidP="00345795">
    <w:pPr>
      <w:pBdr>
        <w:top w:val="single" w:sz="4" w:space="1" w:color="auto"/>
      </w:pBdr>
      <w:jc w:val="both"/>
    </w:pPr>
    <w:hyperlink r:id="rId3" w:history="1">
      <w:r w:rsidR="003631BF" w:rsidRPr="00C96169">
        <w:rPr>
          <w:rStyle w:val="Hipersaitas"/>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ipersaitas"/>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Porat"/>
    </w:pP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05B65" w14:textId="77777777" w:rsidR="00EE2A8E" w:rsidRDefault="00EE2A8E">
      <w:r>
        <w:separator/>
      </w:r>
    </w:p>
  </w:footnote>
  <w:footnote w:type="continuationSeparator" w:id="0">
    <w:p w14:paraId="4CC84AF7" w14:textId="77777777" w:rsidR="00EE2A8E" w:rsidRDefault="00EE2A8E">
      <w:r>
        <w:continuationSeparator/>
      </w:r>
    </w:p>
  </w:footnote>
  <w:footnote w:id="1">
    <w:p w14:paraId="745DDAF5" w14:textId="2899C14B" w:rsidR="00C52655" w:rsidRPr="00E87D91" w:rsidRDefault="00C52655" w:rsidP="00C52655">
      <w:pPr>
        <w:pStyle w:val="Puslapioinaostekstas"/>
        <w:jc w:val="both"/>
        <w:rPr>
          <w:rFonts w:ascii="Times New Roman" w:hAnsi="Times New Roman"/>
        </w:rPr>
      </w:pPr>
      <w:r w:rsidRPr="00E87D91">
        <w:rPr>
          <w:rStyle w:val="Puslapioinaosnuoroda"/>
          <w:rFonts w:ascii="Times New Roman" w:hAnsi="Times New Roman"/>
        </w:rPr>
        <w:footnoteRef/>
      </w:r>
      <w:r w:rsidR="00E87D91" w:rsidRPr="00E87D91">
        <w:rPr>
          <w:rFonts w:ascii="Times New Roman" w:hAnsi="Times New Roman"/>
        </w:rPr>
        <w:t xml:space="preserve"> </w:t>
      </w:r>
      <w:r w:rsidRPr="00E87D91">
        <w:rPr>
          <w:rFonts w:ascii="Times New Roman" w:hAnsi="Times New Roman"/>
        </w:rPr>
        <w:t>2010 m. kovo 17 d. Klaipėdos miesto autotransporto greičio ir raudonosios šviesos matavimo prietaisų techninės priežiūros paslaugų sutartis Nr. J12-42 9toliau – Sutartis);</w:t>
      </w:r>
    </w:p>
  </w:footnote>
  <w:footnote w:id="2">
    <w:p w14:paraId="4FA5D9C5" w14:textId="658D6E69" w:rsidR="00C52655" w:rsidRPr="00E87D91" w:rsidRDefault="00C52655" w:rsidP="00C52655">
      <w:pPr>
        <w:pStyle w:val="Puslapioinaostekstas"/>
        <w:rPr>
          <w:rFonts w:ascii="Times New Roman" w:hAnsi="Times New Roman"/>
        </w:rPr>
      </w:pPr>
      <w:r w:rsidRPr="00E87D91">
        <w:rPr>
          <w:rStyle w:val="Puslapioinaosnuoroda"/>
          <w:rFonts w:ascii="Times New Roman" w:hAnsi="Times New Roman"/>
        </w:rPr>
        <w:footnoteRef/>
      </w:r>
      <w:r w:rsidR="00E87D91" w:rsidRPr="00E87D91">
        <w:rPr>
          <w:rFonts w:ascii="Times New Roman" w:hAnsi="Times New Roman"/>
        </w:rPr>
        <w:t xml:space="preserve"> </w:t>
      </w:r>
      <w:r w:rsidRPr="00E87D91">
        <w:rPr>
          <w:rFonts w:ascii="Times New Roman" w:hAnsi="Times New Roman"/>
        </w:rPr>
        <w:t xml:space="preserve">Prietaisų gamintojas Sensys Gatso Group (toliau – GATSO); </w:t>
      </w:r>
    </w:p>
  </w:footnote>
  <w:footnote w:id="3">
    <w:p w14:paraId="28A042A5" w14:textId="340CFC9B" w:rsidR="00C52655" w:rsidRPr="006E3A60" w:rsidRDefault="00C52655" w:rsidP="00C52655">
      <w:pPr>
        <w:pStyle w:val="Puslapioinaostekstas"/>
        <w:jc w:val="both"/>
        <w:rPr>
          <w:rFonts w:ascii="Times New Roman" w:hAnsi="Times New Roman"/>
        </w:rPr>
      </w:pPr>
      <w:r w:rsidRPr="00E87D91">
        <w:rPr>
          <w:rStyle w:val="Puslapioinaosnuoroda"/>
          <w:rFonts w:ascii="Times New Roman" w:hAnsi="Times New Roman"/>
        </w:rPr>
        <w:footnoteRef/>
      </w:r>
      <w:bookmarkStart w:id="2" w:name="_Hlk32843072"/>
      <w:r w:rsidR="00E87D91" w:rsidRPr="00E87D91">
        <w:rPr>
          <w:rFonts w:ascii="Times New Roman" w:hAnsi="Times New Roman"/>
        </w:rPr>
        <w:t xml:space="preserve"> </w:t>
      </w:r>
      <w:r w:rsidRPr="00E87D91">
        <w:rPr>
          <w:rFonts w:ascii="Times New Roman" w:hAnsi="Times New Roman"/>
        </w:rPr>
        <w:t>Sutarties IV dalis Paslaugų teikimo terminai</w:t>
      </w:r>
      <w:r w:rsidR="00E87D91" w:rsidRPr="00E87D91">
        <w:rPr>
          <w:rFonts w:ascii="Times New Roman" w:hAnsi="Times New Roman"/>
        </w:rPr>
        <w:t xml:space="preserve"> 8 p.</w:t>
      </w:r>
      <w:r w:rsidRPr="00E87D91">
        <w:rPr>
          <w:rFonts w:ascii="Times New Roman" w:hAnsi="Times New Roman"/>
        </w:rPr>
        <w:t>;</w:t>
      </w:r>
      <w:r>
        <w:rPr>
          <w:rFonts w:ascii="Times New Roman" w:hAnsi="Times New Roman"/>
        </w:rPr>
        <w:t xml:space="preserve"> </w:t>
      </w:r>
    </w:p>
    <w:bookmarkEnd w:id="2"/>
  </w:footnote>
  <w:footnote w:id="4">
    <w:p w14:paraId="272972E2" w14:textId="77777777" w:rsidR="00C52655" w:rsidRPr="00E87D91" w:rsidRDefault="00C52655" w:rsidP="00C52655">
      <w:pPr>
        <w:pStyle w:val="Puslapioinaostekstas"/>
        <w:rPr>
          <w:rFonts w:ascii="Times New Roman" w:hAnsi="Times New Roman"/>
          <w:color w:val="000000"/>
        </w:rPr>
      </w:pPr>
      <w:r w:rsidRPr="00E87D91">
        <w:rPr>
          <w:rStyle w:val="Puslapioinaosnuoroda"/>
          <w:rFonts w:ascii="Times New Roman" w:hAnsi="Times New Roman"/>
          <w:color w:val="000000"/>
        </w:rPr>
        <w:footnoteRef/>
      </w:r>
      <w:r w:rsidRPr="00E87D91">
        <w:rPr>
          <w:rFonts w:ascii="Times New Roman" w:hAnsi="Times New Roman"/>
          <w:color w:val="000000"/>
        </w:rPr>
        <w:t xml:space="preserve"> GATSO 2017-02-14 raštas</w:t>
      </w:r>
    </w:p>
  </w:footnote>
  <w:footnote w:id="5">
    <w:p w14:paraId="7C2911C1" w14:textId="77777777" w:rsidR="00C52655" w:rsidRPr="00E87D91" w:rsidRDefault="00C52655" w:rsidP="00C52655">
      <w:pPr>
        <w:pStyle w:val="Puslapioinaostekstas"/>
        <w:rPr>
          <w:sz w:val="22"/>
        </w:rPr>
      </w:pPr>
      <w:r w:rsidRPr="00E87D91">
        <w:rPr>
          <w:rStyle w:val="Puslapioinaosnuoroda"/>
          <w:rFonts w:ascii="Times New Roman" w:hAnsi="Times New Roman"/>
          <w:color w:val="000000"/>
        </w:rPr>
        <w:footnoteRef/>
      </w:r>
      <w:r w:rsidRPr="00E87D91">
        <w:rPr>
          <w:rFonts w:ascii="Times New Roman" w:hAnsi="Times New Roman"/>
          <w:color w:val="000000"/>
        </w:rPr>
        <w:t xml:space="preserve"> 2020-01-28 d. Klaipėdos m. sav. administracijos Viešųjų pirkimų komisijos posėdžio protokolas Nr. ADM-40</w:t>
      </w:r>
    </w:p>
  </w:footnote>
  <w:footnote w:id="6">
    <w:p w14:paraId="2C94C7DD" w14:textId="7DB4349D" w:rsidR="00C52655" w:rsidRPr="00E87D91" w:rsidRDefault="00C52655" w:rsidP="00E87D91">
      <w:pPr>
        <w:pStyle w:val="Antrat51"/>
        <w:shd w:val="clear" w:color="auto" w:fill="FFFFFF"/>
        <w:spacing w:before="0" w:line="240" w:lineRule="auto"/>
        <w:jc w:val="both"/>
        <w:textAlignment w:val="baseline"/>
        <w:rPr>
          <w:rFonts w:ascii="Times New Roman" w:hAnsi="Times New Roman"/>
          <w:color w:val="000000"/>
          <w:sz w:val="20"/>
          <w:szCs w:val="20"/>
          <w:lang w:eastAsia="lt-LT"/>
        </w:rPr>
      </w:pPr>
      <w:r w:rsidRPr="00E87D91">
        <w:rPr>
          <w:rStyle w:val="Puslapioinaosnuoroda"/>
          <w:rFonts w:ascii="Times New Roman" w:hAnsi="Times New Roman"/>
          <w:color w:val="000000"/>
          <w:sz w:val="20"/>
          <w:szCs w:val="20"/>
        </w:rPr>
        <w:footnoteRef/>
      </w:r>
      <w:r w:rsidRPr="00E87D91">
        <w:rPr>
          <w:rFonts w:ascii="Times New Roman" w:hAnsi="Times New Roman"/>
          <w:color w:val="000000"/>
          <w:sz w:val="20"/>
          <w:szCs w:val="20"/>
        </w:rPr>
        <w:t xml:space="preserve"> </w:t>
      </w:r>
      <w:r w:rsidRPr="00E87D91">
        <w:rPr>
          <w:rFonts w:ascii="Times New Roman" w:hAnsi="Times New Roman"/>
          <w:color w:val="000000"/>
          <w:sz w:val="20"/>
          <w:szCs w:val="20"/>
          <w:lang w:eastAsia="lt-LT"/>
        </w:rPr>
        <w:t>ES teisės aktais yra numatyta 2 m. garantija visoms prekėms, tačiau prekės gamintojai gali suteikti papildomų prekybos garantijų. Jos jau bus įtrauktos į prekės kainą arba už jas reikės mokėti papildomai. Dėl papildomos garantijos yra užtikrinama geresnė apsauga, tačiau ši garantija jokiu atveju nepakeičia ir nesumažina minimalios 2 metų garantijos, į kurią visada yra teisė pagal ES taisykles.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B7040" w14:textId="77777777"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8E0956" w14:textId="77777777"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26397" w14:textId="4E5BDBA2"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07D7">
      <w:rPr>
        <w:rStyle w:val="Puslapionumeris"/>
        <w:noProof/>
      </w:rPr>
      <w:t>2</w:t>
    </w:r>
    <w:r>
      <w:rPr>
        <w:rStyle w:val="Puslapionumeris"/>
      </w:rPr>
      <w:fldChar w:fldCharType="end"/>
    </w:r>
  </w:p>
  <w:p w14:paraId="534388C6" w14:textId="77777777"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DA1854"/>
    <w:multiLevelType w:val="hybridMultilevel"/>
    <w:tmpl w:val="071030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
  </w:num>
  <w:num w:numId="4">
    <w:abstractNumId w:val="9"/>
  </w:num>
  <w:num w:numId="5">
    <w:abstractNumId w:val="2"/>
  </w:num>
  <w:num w:numId="6">
    <w:abstractNumId w:val="6"/>
  </w:num>
  <w:num w:numId="7">
    <w:abstractNumId w:val="7"/>
  </w:num>
  <w:num w:numId="8">
    <w:abstractNumId w:val="4"/>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B6"/>
    <w:rsid w:val="000029A7"/>
    <w:rsid w:val="00007BCA"/>
    <w:rsid w:val="00011229"/>
    <w:rsid w:val="000205A5"/>
    <w:rsid w:val="00020AEA"/>
    <w:rsid w:val="00032E30"/>
    <w:rsid w:val="00041165"/>
    <w:rsid w:val="0005793E"/>
    <w:rsid w:val="00060736"/>
    <w:rsid w:val="00065D63"/>
    <w:rsid w:val="00067E13"/>
    <w:rsid w:val="00091B12"/>
    <w:rsid w:val="00094D97"/>
    <w:rsid w:val="00096D17"/>
    <w:rsid w:val="000A5831"/>
    <w:rsid w:val="000A5DDD"/>
    <w:rsid w:val="000A5F05"/>
    <w:rsid w:val="000B3F13"/>
    <w:rsid w:val="000B476E"/>
    <w:rsid w:val="000C26A8"/>
    <w:rsid w:val="000C2DFC"/>
    <w:rsid w:val="000D0EA9"/>
    <w:rsid w:val="000D2CBD"/>
    <w:rsid w:val="000D695C"/>
    <w:rsid w:val="0010247F"/>
    <w:rsid w:val="0010506F"/>
    <w:rsid w:val="0010592B"/>
    <w:rsid w:val="00120487"/>
    <w:rsid w:val="00120B1E"/>
    <w:rsid w:val="0012239F"/>
    <w:rsid w:val="00126EDE"/>
    <w:rsid w:val="0013157D"/>
    <w:rsid w:val="00135455"/>
    <w:rsid w:val="0013783E"/>
    <w:rsid w:val="001413CF"/>
    <w:rsid w:val="00141EF4"/>
    <w:rsid w:val="00142022"/>
    <w:rsid w:val="00147903"/>
    <w:rsid w:val="001515B0"/>
    <w:rsid w:val="00162FFD"/>
    <w:rsid w:val="00164491"/>
    <w:rsid w:val="00177B63"/>
    <w:rsid w:val="00185600"/>
    <w:rsid w:val="0018705A"/>
    <w:rsid w:val="0019643A"/>
    <w:rsid w:val="001A0227"/>
    <w:rsid w:val="001A20D5"/>
    <w:rsid w:val="001C2ACF"/>
    <w:rsid w:val="001C3767"/>
    <w:rsid w:val="001D3A13"/>
    <w:rsid w:val="001E1299"/>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7670"/>
    <w:rsid w:val="00220F8C"/>
    <w:rsid w:val="002237A5"/>
    <w:rsid w:val="00227615"/>
    <w:rsid w:val="00233FF7"/>
    <w:rsid w:val="00234580"/>
    <w:rsid w:val="00235D66"/>
    <w:rsid w:val="00236278"/>
    <w:rsid w:val="0023768A"/>
    <w:rsid w:val="00237E48"/>
    <w:rsid w:val="0025785A"/>
    <w:rsid w:val="00263C03"/>
    <w:rsid w:val="002672AB"/>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30F2D"/>
    <w:rsid w:val="00334F10"/>
    <w:rsid w:val="00335354"/>
    <w:rsid w:val="003410EB"/>
    <w:rsid w:val="0034260D"/>
    <w:rsid w:val="00344D5E"/>
    <w:rsid w:val="00345795"/>
    <w:rsid w:val="0034771D"/>
    <w:rsid w:val="0036093A"/>
    <w:rsid w:val="00360CC7"/>
    <w:rsid w:val="003631BF"/>
    <w:rsid w:val="00371C99"/>
    <w:rsid w:val="003830E2"/>
    <w:rsid w:val="00386371"/>
    <w:rsid w:val="003871FF"/>
    <w:rsid w:val="00390281"/>
    <w:rsid w:val="003A4870"/>
    <w:rsid w:val="003A5B17"/>
    <w:rsid w:val="003A64B7"/>
    <w:rsid w:val="003B0261"/>
    <w:rsid w:val="003B71B4"/>
    <w:rsid w:val="003C11D2"/>
    <w:rsid w:val="003C5714"/>
    <w:rsid w:val="003C6B99"/>
    <w:rsid w:val="003D36FE"/>
    <w:rsid w:val="003D70BB"/>
    <w:rsid w:val="003E5B85"/>
    <w:rsid w:val="003F1EE1"/>
    <w:rsid w:val="003F220C"/>
    <w:rsid w:val="003F2584"/>
    <w:rsid w:val="003F2855"/>
    <w:rsid w:val="003F4B96"/>
    <w:rsid w:val="003F55CE"/>
    <w:rsid w:val="003F5B08"/>
    <w:rsid w:val="00400B80"/>
    <w:rsid w:val="00411310"/>
    <w:rsid w:val="0041379D"/>
    <w:rsid w:val="00420B99"/>
    <w:rsid w:val="00422589"/>
    <w:rsid w:val="00427CC6"/>
    <w:rsid w:val="0043041A"/>
    <w:rsid w:val="004309DA"/>
    <w:rsid w:val="00430B91"/>
    <w:rsid w:val="0043489E"/>
    <w:rsid w:val="00441571"/>
    <w:rsid w:val="00454216"/>
    <w:rsid w:val="00457A4A"/>
    <w:rsid w:val="00471289"/>
    <w:rsid w:val="00474479"/>
    <w:rsid w:val="004763F4"/>
    <w:rsid w:val="004826A4"/>
    <w:rsid w:val="004828F7"/>
    <w:rsid w:val="00493AE6"/>
    <w:rsid w:val="004A3586"/>
    <w:rsid w:val="004A4318"/>
    <w:rsid w:val="004B1D3A"/>
    <w:rsid w:val="004B41BA"/>
    <w:rsid w:val="004B4D76"/>
    <w:rsid w:val="004C2772"/>
    <w:rsid w:val="004D18E9"/>
    <w:rsid w:val="004D47C1"/>
    <w:rsid w:val="004F150F"/>
    <w:rsid w:val="004F787A"/>
    <w:rsid w:val="00505F34"/>
    <w:rsid w:val="0051338C"/>
    <w:rsid w:val="00521032"/>
    <w:rsid w:val="00523B0B"/>
    <w:rsid w:val="00524684"/>
    <w:rsid w:val="0052505A"/>
    <w:rsid w:val="005277C1"/>
    <w:rsid w:val="00534E0D"/>
    <w:rsid w:val="00536BD1"/>
    <w:rsid w:val="0054095A"/>
    <w:rsid w:val="00541CEC"/>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E7"/>
    <w:rsid w:val="005F2425"/>
    <w:rsid w:val="005F242B"/>
    <w:rsid w:val="005F2C7C"/>
    <w:rsid w:val="00603DF2"/>
    <w:rsid w:val="006157DD"/>
    <w:rsid w:val="00616232"/>
    <w:rsid w:val="0062617D"/>
    <w:rsid w:val="00631C67"/>
    <w:rsid w:val="00635C14"/>
    <w:rsid w:val="00635D84"/>
    <w:rsid w:val="00642E1E"/>
    <w:rsid w:val="00646FEC"/>
    <w:rsid w:val="00651C88"/>
    <w:rsid w:val="00651D27"/>
    <w:rsid w:val="00664415"/>
    <w:rsid w:val="006755D0"/>
    <w:rsid w:val="006772F3"/>
    <w:rsid w:val="006821F4"/>
    <w:rsid w:val="0068226E"/>
    <w:rsid w:val="00685AA6"/>
    <w:rsid w:val="00687076"/>
    <w:rsid w:val="00690800"/>
    <w:rsid w:val="00692318"/>
    <w:rsid w:val="00692D70"/>
    <w:rsid w:val="00693D5D"/>
    <w:rsid w:val="006A0434"/>
    <w:rsid w:val="006C1805"/>
    <w:rsid w:val="006C3CE6"/>
    <w:rsid w:val="006C3DE0"/>
    <w:rsid w:val="006C4D48"/>
    <w:rsid w:val="006D2A79"/>
    <w:rsid w:val="006E1FB1"/>
    <w:rsid w:val="006E5BDF"/>
    <w:rsid w:val="006F5A1F"/>
    <w:rsid w:val="006F6A2B"/>
    <w:rsid w:val="006F7E56"/>
    <w:rsid w:val="007229DE"/>
    <w:rsid w:val="00722A57"/>
    <w:rsid w:val="007302DD"/>
    <w:rsid w:val="007304BD"/>
    <w:rsid w:val="007307D7"/>
    <w:rsid w:val="007336CA"/>
    <w:rsid w:val="00734403"/>
    <w:rsid w:val="00736125"/>
    <w:rsid w:val="007407B5"/>
    <w:rsid w:val="00740FCA"/>
    <w:rsid w:val="007476E6"/>
    <w:rsid w:val="00751AD9"/>
    <w:rsid w:val="00754E9D"/>
    <w:rsid w:val="007724B7"/>
    <w:rsid w:val="00775BE5"/>
    <w:rsid w:val="00781A8B"/>
    <w:rsid w:val="00785319"/>
    <w:rsid w:val="007A094A"/>
    <w:rsid w:val="007A7CC6"/>
    <w:rsid w:val="007B18D7"/>
    <w:rsid w:val="007B418D"/>
    <w:rsid w:val="007B5F54"/>
    <w:rsid w:val="007C7EC9"/>
    <w:rsid w:val="007D0BB6"/>
    <w:rsid w:val="007D2C04"/>
    <w:rsid w:val="007E5CFB"/>
    <w:rsid w:val="007E66F4"/>
    <w:rsid w:val="007F09D7"/>
    <w:rsid w:val="007F205E"/>
    <w:rsid w:val="007F4DB5"/>
    <w:rsid w:val="00805FB6"/>
    <w:rsid w:val="00806DC3"/>
    <w:rsid w:val="0081123D"/>
    <w:rsid w:val="0081258D"/>
    <w:rsid w:val="00822507"/>
    <w:rsid w:val="0082471C"/>
    <w:rsid w:val="0083611F"/>
    <w:rsid w:val="008403BB"/>
    <w:rsid w:val="0084263D"/>
    <w:rsid w:val="00862D96"/>
    <w:rsid w:val="0087178C"/>
    <w:rsid w:val="00876609"/>
    <w:rsid w:val="008842E8"/>
    <w:rsid w:val="00892C2E"/>
    <w:rsid w:val="008A6509"/>
    <w:rsid w:val="008A6E81"/>
    <w:rsid w:val="008B3261"/>
    <w:rsid w:val="008C218C"/>
    <w:rsid w:val="008D20C6"/>
    <w:rsid w:val="008D4DFC"/>
    <w:rsid w:val="008D6832"/>
    <w:rsid w:val="008D74A5"/>
    <w:rsid w:val="008E2B0B"/>
    <w:rsid w:val="008F0B5C"/>
    <w:rsid w:val="008F0EB8"/>
    <w:rsid w:val="008F62AA"/>
    <w:rsid w:val="00905DF3"/>
    <w:rsid w:val="009103EC"/>
    <w:rsid w:val="009149F4"/>
    <w:rsid w:val="00922E31"/>
    <w:rsid w:val="00926DA2"/>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C2C98"/>
    <w:rsid w:val="009E18B8"/>
    <w:rsid w:val="009E56CC"/>
    <w:rsid w:val="009F1B90"/>
    <w:rsid w:val="009F5A01"/>
    <w:rsid w:val="00A0159E"/>
    <w:rsid w:val="00A0280B"/>
    <w:rsid w:val="00A11F4A"/>
    <w:rsid w:val="00A1308C"/>
    <w:rsid w:val="00A269F6"/>
    <w:rsid w:val="00A26BB4"/>
    <w:rsid w:val="00A27B6C"/>
    <w:rsid w:val="00A33F37"/>
    <w:rsid w:val="00A35DDE"/>
    <w:rsid w:val="00A36F16"/>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13F0"/>
    <w:rsid w:val="00AA66EC"/>
    <w:rsid w:val="00AB1B38"/>
    <w:rsid w:val="00AB346E"/>
    <w:rsid w:val="00AC16CB"/>
    <w:rsid w:val="00AC5C85"/>
    <w:rsid w:val="00AD6768"/>
    <w:rsid w:val="00AE1F4E"/>
    <w:rsid w:val="00AE3433"/>
    <w:rsid w:val="00AE357F"/>
    <w:rsid w:val="00AE5D6A"/>
    <w:rsid w:val="00AE6A81"/>
    <w:rsid w:val="00AF031A"/>
    <w:rsid w:val="00AF220F"/>
    <w:rsid w:val="00B00D21"/>
    <w:rsid w:val="00B0406C"/>
    <w:rsid w:val="00B043CA"/>
    <w:rsid w:val="00B23044"/>
    <w:rsid w:val="00B23944"/>
    <w:rsid w:val="00B33D0D"/>
    <w:rsid w:val="00B43C80"/>
    <w:rsid w:val="00B449B5"/>
    <w:rsid w:val="00B513F0"/>
    <w:rsid w:val="00B52446"/>
    <w:rsid w:val="00B55C05"/>
    <w:rsid w:val="00B56BEA"/>
    <w:rsid w:val="00B64414"/>
    <w:rsid w:val="00B64D5D"/>
    <w:rsid w:val="00B71637"/>
    <w:rsid w:val="00B74584"/>
    <w:rsid w:val="00B96F96"/>
    <w:rsid w:val="00B97313"/>
    <w:rsid w:val="00BA1022"/>
    <w:rsid w:val="00BA5737"/>
    <w:rsid w:val="00BA7823"/>
    <w:rsid w:val="00BA7F95"/>
    <w:rsid w:val="00BB0779"/>
    <w:rsid w:val="00BB139E"/>
    <w:rsid w:val="00BB1BA7"/>
    <w:rsid w:val="00BB5959"/>
    <w:rsid w:val="00BB5BE8"/>
    <w:rsid w:val="00BB7E08"/>
    <w:rsid w:val="00BD26D0"/>
    <w:rsid w:val="00BD6C5E"/>
    <w:rsid w:val="00BE12CD"/>
    <w:rsid w:val="00BE16FC"/>
    <w:rsid w:val="00BF03E9"/>
    <w:rsid w:val="00BF2D89"/>
    <w:rsid w:val="00BF78AF"/>
    <w:rsid w:val="00C05A9C"/>
    <w:rsid w:val="00C066CB"/>
    <w:rsid w:val="00C13EE4"/>
    <w:rsid w:val="00C14D1C"/>
    <w:rsid w:val="00C177C5"/>
    <w:rsid w:val="00C22B6A"/>
    <w:rsid w:val="00C255C9"/>
    <w:rsid w:val="00C25676"/>
    <w:rsid w:val="00C3301D"/>
    <w:rsid w:val="00C34F10"/>
    <w:rsid w:val="00C43438"/>
    <w:rsid w:val="00C442F4"/>
    <w:rsid w:val="00C45851"/>
    <w:rsid w:val="00C50192"/>
    <w:rsid w:val="00C52655"/>
    <w:rsid w:val="00C616C5"/>
    <w:rsid w:val="00C65220"/>
    <w:rsid w:val="00C70B46"/>
    <w:rsid w:val="00C874ED"/>
    <w:rsid w:val="00C901A1"/>
    <w:rsid w:val="00C918D3"/>
    <w:rsid w:val="00C932CA"/>
    <w:rsid w:val="00C96169"/>
    <w:rsid w:val="00C97613"/>
    <w:rsid w:val="00CA6600"/>
    <w:rsid w:val="00CB0FE5"/>
    <w:rsid w:val="00CB4367"/>
    <w:rsid w:val="00CB5024"/>
    <w:rsid w:val="00CB511F"/>
    <w:rsid w:val="00CB7DD8"/>
    <w:rsid w:val="00CC2618"/>
    <w:rsid w:val="00CD32F4"/>
    <w:rsid w:val="00CE0859"/>
    <w:rsid w:val="00CE229D"/>
    <w:rsid w:val="00CE5815"/>
    <w:rsid w:val="00D04A3A"/>
    <w:rsid w:val="00D07A2E"/>
    <w:rsid w:val="00D11DD3"/>
    <w:rsid w:val="00D14C8F"/>
    <w:rsid w:val="00D23138"/>
    <w:rsid w:val="00D25F45"/>
    <w:rsid w:val="00D351F9"/>
    <w:rsid w:val="00D469FE"/>
    <w:rsid w:val="00D475C2"/>
    <w:rsid w:val="00D52DAB"/>
    <w:rsid w:val="00D55AF8"/>
    <w:rsid w:val="00D57C46"/>
    <w:rsid w:val="00D619CB"/>
    <w:rsid w:val="00D670B0"/>
    <w:rsid w:val="00D74CD2"/>
    <w:rsid w:val="00D807D2"/>
    <w:rsid w:val="00D8632C"/>
    <w:rsid w:val="00D9426D"/>
    <w:rsid w:val="00D95558"/>
    <w:rsid w:val="00D95BC3"/>
    <w:rsid w:val="00D97020"/>
    <w:rsid w:val="00DA16B9"/>
    <w:rsid w:val="00DB28BF"/>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6269"/>
    <w:rsid w:val="00E47BA3"/>
    <w:rsid w:val="00E50D25"/>
    <w:rsid w:val="00E52C4E"/>
    <w:rsid w:val="00E56998"/>
    <w:rsid w:val="00E644BF"/>
    <w:rsid w:val="00E73883"/>
    <w:rsid w:val="00E75B4A"/>
    <w:rsid w:val="00E76B8E"/>
    <w:rsid w:val="00E873DE"/>
    <w:rsid w:val="00E87A05"/>
    <w:rsid w:val="00E87D91"/>
    <w:rsid w:val="00E900D3"/>
    <w:rsid w:val="00EA4E2B"/>
    <w:rsid w:val="00EB6FA4"/>
    <w:rsid w:val="00EB79C5"/>
    <w:rsid w:val="00EC4F58"/>
    <w:rsid w:val="00EC5839"/>
    <w:rsid w:val="00ED19CF"/>
    <w:rsid w:val="00ED5F50"/>
    <w:rsid w:val="00ED6946"/>
    <w:rsid w:val="00ED7FBF"/>
    <w:rsid w:val="00EE2A8E"/>
    <w:rsid w:val="00EE3316"/>
    <w:rsid w:val="00EE41DE"/>
    <w:rsid w:val="00EF201F"/>
    <w:rsid w:val="00EF7000"/>
    <w:rsid w:val="00F00111"/>
    <w:rsid w:val="00F10DD2"/>
    <w:rsid w:val="00F114EF"/>
    <w:rsid w:val="00F17D9E"/>
    <w:rsid w:val="00F202B1"/>
    <w:rsid w:val="00F23366"/>
    <w:rsid w:val="00F24F89"/>
    <w:rsid w:val="00F2612C"/>
    <w:rsid w:val="00F30236"/>
    <w:rsid w:val="00F358A9"/>
    <w:rsid w:val="00F37DB6"/>
    <w:rsid w:val="00F424B2"/>
    <w:rsid w:val="00F452C4"/>
    <w:rsid w:val="00F62141"/>
    <w:rsid w:val="00F62F10"/>
    <w:rsid w:val="00F64F60"/>
    <w:rsid w:val="00F6674F"/>
    <w:rsid w:val="00F66D96"/>
    <w:rsid w:val="00F705CD"/>
    <w:rsid w:val="00F72BD0"/>
    <w:rsid w:val="00F75E2A"/>
    <w:rsid w:val="00F81AEE"/>
    <w:rsid w:val="00F85F24"/>
    <w:rsid w:val="00F87C46"/>
    <w:rsid w:val="00F903B5"/>
    <w:rsid w:val="00F92D4E"/>
    <w:rsid w:val="00F93CA0"/>
    <w:rsid w:val="00FA0C2E"/>
    <w:rsid w:val="00FA5DDD"/>
    <w:rsid w:val="00FA65F3"/>
    <w:rsid w:val="00FC0222"/>
    <w:rsid w:val="00FC101E"/>
    <w:rsid w:val="00FD1061"/>
    <w:rsid w:val="00FD339F"/>
    <w:rsid w:val="00FD3DE9"/>
    <w:rsid w:val="00FD56A5"/>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paragraph" w:styleId="Antrat5">
    <w:name w:val="heading 5"/>
    <w:basedOn w:val="prastasis"/>
    <w:next w:val="prastasis"/>
    <w:link w:val="Antrat5Diagrama"/>
    <w:uiPriority w:val="9"/>
    <w:semiHidden/>
    <w:unhideWhenUsed/>
    <w:qFormat/>
    <w:rsid w:val="00C52655"/>
    <w:pPr>
      <w:keepNext/>
      <w:keepLines/>
      <w:spacing w:before="40"/>
      <w:outlineLvl w:val="4"/>
    </w:pPr>
    <w:rPr>
      <w:rFonts w:ascii="Calibri Light" w:hAnsi="Calibri Light"/>
      <w:color w:val="2F549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character" w:customStyle="1" w:styleId="UnresolvedMention">
    <w:name w:val="Unresolved Mention"/>
    <w:basedOn w:val="Numatytasispastraiposriftas"/>
    <w:uiPriority w:val="99"/>
    <w:semiHidden/>
    <w:unhideWhenUsed/>
    <w:rsid w:val="003631BF"/>
    <w:rPr>
      <w:color w:val="605E5C"/>
      <w:shd w:val="clear" w:color="auto" w:fill="E1DFDD"/>
    </w:rPr>
  </w:style>
  <w:style w:type="paragraph" w:customStyle="1" w:styleId="Antrat51">
    <w:name w:val="Antraštė 51"/>
    <w:basedOn w:val="prastasis"/>
    <w:next w:val="prastasis"/>
    <w:uiPriority w:val="9"/>
    <w:unhideWhenUsed/>
    <w:qFormat/>
    <w:rsid w:val="00C52655"/>
    <w:pPr>
      <w:keepNext/>
      <w:keepLines/>
      <w:spacing w:before="40" w:line="276" w:lineRule="auto"/>
      <w:outlineLvl w:val="4"/>
    </w:pPr>
    <w:rPr>
      <w:rFonts w:ascii="Calibri Light" w:hAnsi="Calibri Light"/>
      <w:color w:val="2F5496"/>
      <w:sz w:val="22"/>
      <w:szCs w:val="22"/>
    </w:rPr>
  </w:style>
  <w:style w:type="paragraph" w:styleId="Puslapioinaostekstas">
    <w:name w:val="footnote text"/>
    <w:basedOn w:val="prastasis"/>
    <w:link w:val="PuslapioinaostekstasDiagrama"/>
    <w:uiPriority w:val="99"/>
    <w:unhideWhenUsed/>
    <w:rsid w:val="00C52655"/>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rsid w:val="00C52655"/>
    <w:rPr>
      <w:rFonts w:ascii="Calibri" w:eastAsia="Calibri" w:hAnsi="Calibri"/>
      <w:lang w:eastAsia="en-US"/>
    </w:rPr>
  </w:style>
  <w:style w:type="character" w:styleId="Puslapioinaosnuoroda">
    <w:name w:val="footnote reference"/>
    <w:basedOn w:val="Numatytasispastraiposriftas"/>
    <w:uiPriority w:val="99"/>
    <w:unhideWhenUsed/>
    <w:rsid w:val="00C52655"/>
    <w:rPr>
      <w:vertAlign w:val="superscript"/>
    </w:rPr>
  </w:style>
  <w:style w:type="character" w:customStyle="1" w:styleId="Antrat5Diagrama">
    <w:name w:val="Antraštė 5 Diagrama"/>
    <w:basedOn w:val="Numatytasispastraiposriftas"/>
    <w:link w:val="Antrat5"/>
    <w:uiPriority w:val="9"/>
    <w:semiHidden/>
    <w:rsid w:val="00C52655"/>
    <w:rPr>
      <w:rFonts w:ascii="Calibri Light" w:eastAsia="Times New Roman" w:hAnsi="Calibri Light" w:cs="Times New Roman"/>
      <w:color w:val="2F5496"/>
    </w:rPr>
  </w:style>
  <w:style w:type="character" w:customStyle="1" w:styleId="Antrat5Diagrama1">
    <w:name w:val="Antraštė 5 Diagrama1"/>
    <w:basedOn w:val="Numatytasispastraiposriftas"/>
    <w:semiHidden/>
    <w:rsid w:val="00C52655"/>
    <w:rPr>
      <w:rFonts w:asciiTheme="majorHAnsi" w:eastAsiaTheme="majorEastAsia" w:hAnsiTheme="majorHAnsi" w:cstheme="majorBidi"/>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CA229-5CBE-4AA3-8835-6F6DB8E2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4892</Words>
  <Characters>2790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5</cp:revision>
  <cp:lastPrinted>2017-04-05T07:57:00Z</cp:lastPrinted>
  <dcterms:created xsi:type="dcterms:W3CDTF">2020-02-18T12:27:00Z</dcterms:created>
  <dcterms:modified xsi:type="dcterms:W3CDTF">2020-02-18T13:11:00Z</dcterms:modified>
</cp:coreProperties>
</file>