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C6F7" w14:textId="77777777" w:rsidR="00847BBB" w:rsidRPr="0044330A" w:rsidRDefault="004B6A88" w:rsidP="00847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sz w:val="24"/>
          <w:szCs w:val="24"/>
        </w:rPr>
        <w:object w:dxaOrig="1440" w:dyaOrig="1440" w14:anchorId="7D86E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6" DrawAspect="Content" ObjectID="_1621753186" r:id="rId8"/>
        </w:object>
      </w:r>
    </w:p>
    <w:p w14:paraId="5EADC041" w14:textId="77777777" w:rsidR="00847BBB" w:rsidRPr="0044330A" w:rsidRDefault="00847BBB" w:rsidP="00847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B5653D" w14:textId="77777777" w:rsidR="00847BBB" w:rsidRPr="0044330A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BF9B705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5EEF6D6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0362C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AB2C4B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847BBB" w:rsidRPr="0044330A" w14:paraId="232BB1DA" w14:textId="77777777" w:rsidTr="00B311F9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1CF322F" w14:textId="77777777" w:rsidR="00847BBB" w:rsidRDefault="00CE3FE3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Klaipėdos miesto savivaldybės administracija</w:t>
            </w:r>
          </w:p>
          <w:p w14:paraId="24C4EEFF" w14:textId="77777777" w:rsidR="00847BBB" w:rsidRPr="0044330A" w:rsidRDefault="008B02FF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Liepų g. 11</w:t>
            </w:r>
          </w:p>
          <w:p w14:paraId="32116FC6" w14:textId="77777777" w:rsidR="00847BBB" w:rsidRDefault="008B02FF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91502 Klaipėda</w:t>
            </w:r>
          </w:p>
          <w:p w14:paraId="61F9CF2D" w14:textId="77777777" w:rsidR="007F29AE" w:rsidRPr="0044330A" w:rsidRDefault="007F29AE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DDFCB" w14:textId="77777777" w:rsidR="00847BBB" w:rsidRPr="0044330A" w:rsidRDefault="00847BBB" w:rsidP="00B311F9">
            <w:pPr>
              <w:spacing w:after="0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8B02FF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="008B02FF">
              <w:rPr>
                <w:rFonts w:ascii="Times New Roman" w:eastAsia="Times New Roman" w:hAnsi="Times New Roman" w:cs="Times New Roman"/>
                <w:sz w:val="24"/>
                <w:szCs w:val="24"/>
              </w:rPr>
              <w:t>klaipeda.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1620" w:type="dxa"/>
          </w:tcPr>
          <w:p w14:paraId="28CF3E8C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2019-0</w:t>
            </w:r>
            <w:r w:rsidR="007F29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19F457F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Į 2019-</w:t>
            </w:r>
            <w:r w:rsidR="007F29AE">
              <w:rPr>
                <w:rFonts w:ascii="Times New Roman" w:eastAsia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540" w:type="dxa"/>
          </w:tcPr>
          <w:p w14:paraId="4639DB4C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49EDB5C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D522FB6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4FD4A68" w14:textId="77777777" w:rsidR="00847BBB" w:rsidRPr="0044330A" w:rsidRDefault="00847BBB" w:rsidP="00B311F9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41C6A32" w14:textId="77777777" w:rsidR="00847BBB" w:rsidRPr="0044330A" w:rsidRDefault="00CE3FE3" w:rsidP="00B311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R2-1</w:t>
            </w:r>
            <w:r w:rsidR="007F29AE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  <w:p w14:paraId="3122E804" w14:textId="77777777" w:rsidR="00847BBB" w:rsidRPr="0044330A" w:rsidRDefault="00847BBB" w:rsidP="00B311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52CE36" w14:textId="77777777" w:rsidR="00847BBB" w:rsidRDefault="00847BBB" w:rsidP="00847BBB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9BDDB8A" w14:textId="77777777" w:rsidR="00847BBB" w:rsidRPr="0044330A" w:rsidRDefault="00847BBB" w:rsidP="00847BBB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39C0283" w14:textId="77777777" w:rsidR="00847BBB" w:rsidRDefault="008B02FF" w:rsidP="00847BB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F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Pr="00FB23F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4319636F" w14:textId="77777777" w:rsidR="00847BBB" w:rsidRDefault="00847BBB" w:rsidP="0084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87F4D" w14:textId="77777777" w:rsidR="008B02FF" w:rsidRPr="00110DA4" w:rsidRDefault="008B02FF" w:rsidP="0084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88EFB" w14:textId="3912B251" w:rsidR="008B02FF" w:rsidRDefault="00847BBB" w:rsidP="007143C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</w:t>
      </w:r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, išnagrinėjo Klaipėdos miesto savivaldybės administracijos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7F29AE">
        <w:rPr>
          <w:rFonts w:ascii="Times New Roman" w:eastAsia="Calibri" w:hAnsi="Times New Roman" w:cs="Times New Roman"/>
          <w:sz w:val="24"/>
          <w:szCs w:val="24"/>
        </w:rPr>
        <w:t>P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erkančioji organizacija) </w:t>
      </w:r>
      <w:bookmarkStart w:id="1" w:name="_Hlk7506313"/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prašymą </w:t>
      </w:r>
      <w:bookmarkStart w:id="2" w:name="_Hlk6996408"/>
      <w:r w:rsidR="009C4C27">
        <w:rPr>
          <w:rFonts w:ascii="Times New Roman" w:eastAsia="Calibri" w:hAnsi="Times New Roman" w:cs="Times New Roman"/>
          <w:i/>
          <w:sz w:val="24"/>
          <w:szCs w:val="24"/>
        </w:rPr>
        <w:t xml:space="preserve">Šiuolaikinio šokio </w:t>
      </w:r>
      <w:proofErr w:type="spellStart"/>
      <w:r w:rsidR="009C4C27">
        <w:rPr>
          <w:rFonts w:ascii="Times New Roman" w:eastAsia="Calibri" w:hAnsi="Times New Roman" w:cs="Times New Roman"/>
          <w:i/>
          <w:sz w:val="24"/>
          <w:szCs w:val="24"/>
        </w:rPr>
        <w:t>koprodukcinio</w:t>
      </w:r>
      <w:proofErr w:type="spellEnd"/>
      <w:r w:rsidR="009C4C27">
        <w:rPr>
          <w:rFonts w:ascii="Times New Roman" w:eastAsia="Calibri" w:hAnsi="Times New Roman" w:cs="Times New Roman"/>
          <w:i/>
          <w:sz w:val="24"/>
          <w:szCs w:val="24"/>
        </w:rPr>
        <w:t xml:space="preserve"> klaipėdiečių ir prancūzų spektaklio sklaidos, susitikimo su universitetinės šokio programos specialistais ir kūrybinių dirbtuvių su viešu rezultato pristatymu organizavimo paslaugų</w:t>
      </w:r>
      <w:r w:rsidR="008B02FF" w:rsidRPr="007143C9">
        <w:rPr>
          <w:rFonts w:ascii="Times New Roman" w:eastAsia="Calibri" w:hAnsi="Times New Roman" w:cs="Times New Roman"/>
          <w:i/>
          <w:sz w:val="24"/>
          <w:szCs w:val="24"/>
        </w:rPr>
        <w:t xml:space="preserve"> pirkimą</w:t>
      </w:r>
      <w:bookmarkEnd w:id="1"/>
      <w:bookmarkEnd w:id="2"/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 (toliau – Pirkimas) vykdyti </w:t>
      </w:r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</w:t>
      </w:r>
      <w:bookmarkStart w:id="3" w:name="_Hlk9933941"/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1 dalies </w:t>
      </w:r>
      <w:r w:rsidR="009C4C27">
        <w:rPr>
          <w:rFonts w:ascii="Times New Roman" w:eastAsia="Calibri" w:hAnsi="Times New Roman" w:cs="Times New Roman"/>
          <w:sz w:val="24"/>
          <w:szCs w:val="24"/>
        </w:rPr>
        <w:t>2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C27"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punkt</w:t>
      </w:r>
      <w:r w:rsidR="009C4C2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nuostatomis</w:t>
      </w:r>
      <w:bookmarkEnd w:id="3"/>
      <w:r w:rsidR="00500F66" w:rsidRPr="007143C9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.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Tarnybai pateiktame prašyme nurodyta, kad planuojamo </w:t>
      </w:r>
      <w:r w:rsidR="001E634B">
        <w:rPr>
          <w:rFonts w:ascii="Times New Roman" w:eastAsia="Calibri" w:hAnsi="Times New Roman" w:cs="Times New Roman"/>
          <w:sz w:val="24"/>
          <w:szCs w:val="24"/>
        </w:rPr>
        <w:t>P</w:t>
      </w:r>
      <w:r w:rsidR="000A4685">
        <w:rPr>
          <w:rFonts w:ascii="Times New Roman" w:eastAsia="Calibri" w:hAnsi="Times New Roman" w:cs="Times New Roman"/>
          <w:sz w:val="24"/>
          <w:szCs w:val="24"/>
        </w:rPr>
        <w:t>irkimo vertė – 43 200 Eur su PVM, 2019 m. birželio 10 d. Perkančioji organizacija pateikė</w:t>
      </w:r>
      <w:r w:rsidR="001E634B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papildomą informaciją, t. y. nurodė, jog planuojama vykdyti supaprastint</w:t>
      </w:r>
      <w:r w:rsidR="00183C98">
        <w:rPr>
          <w:rFonts w:ascii="Times New Roman" w:eastAsia="Calibri" w:hAnsi="Times New Roman" w:cs="Times New Roman"/>
          <w:sz w:val="24"/>
          <w:szCs w:val="24"/>
        </w:rPr>
        <w:t>ą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Pirkim</w:t>
      </w:r>
      <w:r w:rsidR="00183C98">
        <w:rPr>
          <w:rFonts w:ascii="Times New Roman" w:eastAsia="Calibri" w:hAnsi="Times New Roman" w:cs="Times New Roman"/>
          <w:sz w:val="24"/>
          <w:szCs w:val="24"/>
        </w:rPr>
        <w:t>ą neskelbiamų derybų būdu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4CD3D4" w14:textId="63CCCFE0" w:rsidR="003667A2" w:rsidRPr="00B7200A" w:rsidRDefault="003667A2" w:rsidP="002374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00A">
        <w:rPr>
          <w:rFonts w:ascii="Times New Roman" w:eastAsia="Times New Roman" w:hAnsi="Times New Roman" w:cs="Times New Roman"/>
          <w:sz w:val="24"/>
          <w:szCs w:val="24"/>
        </w:rPr>
        <w:t xml:space="preserve">Atkreipiame dėmesį, kad </w:t>
      </w:r>
      <w:r w:rsidRPr="00B7200A">
        <w:rPr>
          <w:rFonts w:ascii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B720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7200A">
        <w:rPr>
          <w:rFonts w:ascii="Times New Roman" w:hAnsi="Times New Roman" w:cs="Times New Roman"/>
          <w:sz w:val="24"/>
          <w:szCs w:val="24"/>
        </w:rPr>
        <w:t xml:space="preserve">straipsnio 2 dalies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200A">
        <w:rPr>
          <w:rFonts w:ascii="Times New Roman" w:hAnsi="Times New Roman" w:cs="Times New Roman"/>
          <w:sz w:val="24"/>
          <w:szCs w:val="24"/>
        </w:rPr>
        <w:t xml:space="preserve"> punkte Tarnybai nustatyta funkcija duoti sutikimą perkančiajai organizacijai atlikti pirkimą neskelbiamų derybų būdu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7143C9">
        <w:rPr>
          <w:rFonts w:ascii="Times New Roman" w:eastAsia="Times New Roman" w:hAnsi="Times New Roman" w:cs="Times New Roman"/>
          <w:sz w:val="24"/>
          <w:szCs w:val="24"/>
        </w:rPr>
        <w:t>Įstatymo 72 straipsnio 1 dalyje nu</w:t>
      </w:r>
      <w:r>
        <w:rPr>
          <w:rFonts w:ascii="Times New Roman" w:eastAsia="Times New Roman" w:hAnsi="Times New Roman" w:cs="Times New Roman"/>
          <w:sz w:val="24"/>
          <w:szCs w:val="24"/>
        </w:rPr>
        <w:t>rodyta, kad</w:t>
      </w:r>
      <w:r w:rsidRPr="0071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„Tarptautinis pirkimas neskelbiamų derybų būdu gali būti pradedamas tik gavus Viešųjų pirkimų tarnybos sutikimą dėl tokio pirkimo būdo pasirinkimo &lt;...&gt;</w:t>
      </w:r>
      <w:r w:rsidRPr="007143C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7200A">
        <w:rPr>
          <w:rFonts w:ascii="Times New Roman" w:hAnsi="Times New Roman" w:cs="Times New Roman"/>
          <w:sz w:val="24"/>
          <w:szCs w:val="24"/>
        </w:rPr>
        <w:t xml:space="preserve">Atsižvelgdama į tai, Tarnyba paaiškina, kad nurodytas Įstatymo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B7200A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200A">
        <w:rPr>
          <w:rFonts w:ascii="Times New Roman" w:hAnsi="Times New Roman" w:cs="Times New Roman"/>
          <w:sz w:val="24"/>
          <w:szCs w:val="24"/>
        </w:rPr>
        <w:t xml:space="preserve"> dalies reikalavimas taikomas tik tiems viešiesiems pirkimams, kurių vertė viršija tarptautinio viešojo pirkimo vertės ribą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1FD23" w14:textId="15AFA574" w:rsidR="00506697" w:rsidRDefault="00847BBB" w:rsidP="009E4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3C9">
        <w:rPr>
          <w:rFonts w:ascii="Times New Roman" w:eastAsia="Times New Roman" w:hAnsi="Times New Roman" w:cs="Times New Roman"/>
          <w:sz w:val="24"/>
          <w:szCs w:val="24"/>
        </w:rPr>
        <w:t xml:space="preserve">Tarnyba paaiškina, kad jeigu objektyviai susiklosto aplinkybės, tenkinančios Įstatymo sąlygas, reglamentuojančias neskelbiamų derybų vykdymą,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143C9">
        <w:rPr>
          <w:rFonts w:ascii="Times New Roman" w:eastAsia="Times New Roman" w:hAnsi="Times New Roman" w:cs="Times New Roman"/>
          <w:sz w:val="24"/>
          <w:szCs w:val="24"/>
        </w:rPr>
        <w:t>erkančioji organizacija pati turi teisę priimti sprendimą vykdyti pirkimą apie jį neskelbiant ir Tarnybos sutikimas tam nereikalingas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visais atvejais yra atsakinga už tinkamą pirkimo būdo ir visapusišką aplinkybių, lemiančių neskelbiamo pirkimo vykdymo pasirinkimą bei įvertinimą, t. y.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>erkančioji organizacija privalo įvertinti visas aplinkybes, kad tiek pasirenkant pirkimo būdą, tiek vykdant pirkimo procedūras</w:t>
      </w:r>
      <w:r w:rsidR="003D27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 būtų užtikrintas Įstatyme nustatytų pagrindinių viešųjų pirkimų principų laikymasis.</w:t>
      </w:r>
    </w:p>
    <w:p w14:paraId="2A390C45" w14:textId="77777777" w:rsidR="009E4DDA" w:rsidRDefault="00DD1A5F" w:rsidP="009E4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3C9">
        <w:rPr>
          <w:rFonts w:ascii="Times New Roman" w:hAnsi="Times New Roman" w:cs="Times New Roman"/>
          <w:sz w:val="24"/>
          <w:szCs w:val="24"/>
        </w:rPr>
        <w:t xml:space="preserve">Atkreiptinas dėmesys, kad pirkimo vykdymas neskelbiamų derybų būdu yra Įstatymo išimtis, todėl sąlygos, leidžiančios atlikti tokį pirkimą, turi būti 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aiškinamos siaurai jas grindžiant akivaizdžiais įrodymais.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 xml:space="preserve">Nagrinėjamu atveju techninių priežasčių egzistavimas grindžiamas tuo, kad </w:t>
      </w:r>
      <w:r w:rsidR="00FD087F">
        <w:rPr>
          <w:rFonts w:ascii="Times New Roman" w:eastAsia="Times New Roman" w:hAnsi="Times New Roman" w:cs="Times New Roman"/>
          <w:sz w:val="24"/>
          <w:szCs w:val="24"/>
        </w:rPr>
        <w:t xml:space="preserve">VšĮ „Šeiko šokio teatras“ yra vienintelis šiuolaikinio šokio teatras valstybės įgaliotos institucijos </w:t>
      </w:r>
      <w:r w:rsidR="00FD087F">
        <w:rPr>
          <w:rFonts w:ascii="Times New Roman" w:eastAsia="Times New Roman" w:hAnsi="Times New Roman" w:cs="Times New Roman"/>
          <w:sz w:val="24"/>
          <w:szCs w:val="24"/>
        </w:rPr>
        <w:lastRenderedPageBreak/>
        <w:t>(Kultūros ministerijos) pripažintas profesionaliojo scenos meno įstaiga (teatru)</w:t>
      </w:r>
      <w:r w:rsidR="00810343">
        <w:rPr>
          <w:rFonts w:ascii="Times New Roman" w:eastAsia="Times New Roman" w:hAnsi="Times New Roman" w:cs="Times New Roman"/>
          <w:sz w:val="24"/>
          <w:szCs w:val="24"/>
        </w:rPr>
        <w:t xml:space="preserve"> veikiantis Klaipėdoje, todėl Klaipėdos miesto savivaldybė, Klaipėdos universitetas ir Prancūzijos ambasada Lietuvoje, pasirašydamos trišalę bendradarbiavimo sutartį</w:t>
      </w:r>
      <w:r w:rsidR="0081034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810343">
        <w:rPr>
          <w:rFonts w:ascii="Times New Roman" w:eastAsia="Times New Roman" w:hAnsi="Times New Roman" w:cs="Times New Roman"/>
          <w:sz w:val="24"/>
          <w:szCs w:val="24"/>
        </w:rPr>
        <w:t xml:space="preserve"> dėl bendradarbiavimo </w:t>
      </w:r>
      <w:r w:rsidR="00A83739">
        <w:rPr>
          <w:rFonts w:ascii="Times New Roman" w:eastAsia="Times New Roman" w:hAnsi="Times New Roman" w:cs="Times New Roman"/>
          <w:sz w:val="24"/>
          <w:szCs w:val="24"/>
        </w:rPr>
        <w:t xml:space="preserve">šiuolaikinio šokio, kino sklaidos ir istorinės atminties aktualizavimo Klaipėdos srityje, į sutarties nuostatas įtraukė būtent minėtąjį profesionalųjį šiuolaikinio šokio teatrą. </w:t>
      </w:r>
    </w:p>
    <w:p w14:paraId="699883C3" w14:textId="290FD6FA" w:rsidR="009E4DDA" w:rsidRDefault="001414D2" w:rsidP="00DD1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Pažymėtina, kad </w:t>
      </w:r>
      <w:r w:rsidR="00ED659E" w:rsidRPr="007143C9">
        <w:rPr>
          <w:rFonts w:ascii="Times New Roman" w:eastAsia="Calibri" w:hAnsi="Times New Roman" w:cs="Times New Roman"/>
          <w:sz w:val="24"/>
          <w:szCs w:val="24"/>
        </w:rPr>
        <w:t>pirkimas neskelbiamų derybų būdu gali būti vykdomas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 tik tada, </w:t>
      </w:r>
      <w:r w:rsidR="00ED659E" w:rsidRPr="007143C9">
        <w:rPr>
          <w:rFonts w:ascii="Times New Roman" w:eastAsia="Calibri" w:hAnsi="Times New Roman" w:cs="Times New Roman"/>
          <w:sz w:val="24"/>
          <w:szCs w:val="24"/>
        </w:rPr>
        <w:t>jei</w:t>
      </w:r>
      <w:r w:rsidRPr="007143C9">
        <w:rPr>
          <w:rFonts w:ascii="Times New Roman" w:eastAsia="Calibri" w:hAnsi="Times New Roman" w:cs="Times New Roman"/>
          <w:sz w:val="24"/>
          <w:szCs w:val="24"/>
        </w:rPr>
        <w:t>gu</w:t>
      </w:r>
      <w:r w:rsidR="00ED659E" w:rsidRPr="007143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ED659E" w:rsidRPr="007143C9">
        <w:rPr>
          <w:rFonts w:ascii="Times New Roman" w:eastAsia="Calibri" w:hAnsi="Times New Roman" w:cs="Times New Roman"/>
          <w:sz w:val="24"/>
          <w:szCs w:val="24"/>
        </w:rPr>
        <w:t xml:space="preserve">išpildomos 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visos Įstatymo konkrečiame straipsnyje </w:t>
      </w:r>
      <w:r w:rsidR="00ED659E" w:rsidRPr="007143C9">
        <w:rPr>
          <w:rFonts w:ascii="Times New Roman" w:eastAsia="Calibri" w:hAnsi="Times New Roman" w:cs="Times New Roman"/>
          <w:sz w:val="24"/>
          <w:szCs w:val="24"/>
        </w:rPr>
        <w:t>nurodytos sąlygos.</w:t>
      </w:r>
      <w:r w:rsidR="00DD1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DDA" w:rsidRPr="00945661">
        <w:rPr>
          <w:rFonts w:ascii="Times New Roman" w:hAnsi="Times New Roman" w:cs="Times New Roman"/>
          <w:sz w:val="24"/>
          <w:szCs w:val="24"/>
        </w:rPr>
        <w:t xml:space="preserve">Vadovaujantis Europos </w:t>
      </w:r>
      <w:r w:rsidR="009E4DDA">
        <w:rPr>
          <w:rFonts w:ascii="Times New Roman" w:hAnsi="Times New Roman" w:cs="Times New Roman"/>
          <w:sz w:val="24"/>
          <w:szCs w:val="24"/>
        </w:rPr>
        <w:t xml:space="preserve">Sąjungos </w:t>
      </w:r>
      <w:r w:rsidR="009E4DDA" w:rsidRPr="00945661">
        <w:rPr>
          <w:rFonts w:ascii="Times New Roman" w:hAnsi="Times New Roman" w:cs="Times New Roman"/>
          <w:sz w:val="24"/>
          <w:szCs w:val="24"/>
        </w:rPr>
        <w:t xml:space="preserve">Teisingumo Teismo </w:t>
      </w:r>
      <w:r w:rsidR="009E4DDA">
        <w:rPr>
          <w:rFonts w:ascii="Times New Roman" w:hAnsi="Times New Roman" w:cs="Times New Roman"/>
          <w:sz w:val="24"/>
          <w:szCs w:val="24"/>
        </w:rPr>
        <w:t xml:space="preserve">(toliau – ESTT) </w:t>
      </w:r>
      <w:r w:rsidR="009E4DDA" w:rsidRPr="00945661">
        <w:rPr>
          <w:rFonts w:ascii="Times New Roman" w:hAnsi="Times New Roman" w:cs="Times New Roman"/>
          <w:sz w:val="24"/>
          <w:szCs w:val="24"/>
        </w:rPr>
        <w:t>praktika, neskelbiamos derybos prašyme nurodytu pagrindu</w:t>
      </w:r>
      <w:r w:rsidR="009E4DDA">
        <w:rPr>
          <w:rFonts w:ascii="Times New Roman" w:hAnsi="Times New Roman" w:cs="Times New Roman"/>
          <w:sz w:val="24"/>
          <w:szCs w:val="24"/>
        </w:rPr>
        <w:t xml:space="preserve"> – konkurencijos nėra dėl techninių priežasčių,</w:t>
      </w:r>
      <w:r w:rsidR="009E4DDA" w:rsidRPr="00945661">
        <w:rPr>
          <w:rFonts w:ascii="Times New Roman" w:hAnsi="Times New Roman" w:cs="Times New Roman"/>
          <w:sz w:val="24"/>
          <w:szCs w:val="24"/>
        </w:rPr>
        <w:t xml:space="preserve"> gali būti vykdomos tik tuo atveju, jei egzistuoja ne tik techninės priežastys, bet kartu turi būti tik vienintelis potencialus tiekėjas, o </w:t>
      </w:r>
      <w:r w:rsidR="009E4DDA" w:rsidRPr="00945661">
        <w:rPr>
          <w:rFonts w:ascii="Times New Roman" w:hAnsi="Times New Roman" w:cs="Times New Roman"/>
          <w:iCs/>
          <w:sz w:val="24"/>
          <w:szCs w:val="24"/>
        </w:rPr>
        <w:t>techninės  priežastys, dėl kurių pirkimo objektą gali pateikti vienintelis tiekėjas,</w:t>
      </w:r>
      <w:r w:rsidR="009E4DDA" w:rsidRPr="00945661">
        <w:rPr>
          <w:rFonts w:ascii="Times New Roman" w:hAnsi="Times New Roman" w:cs="Times New Roman"/>
          <w:sz w:val="24"/>
          <w:szCs w:val="24"/>
        </w:rPr>
        <w:t xml:space="preserve"> turi įrodyti, kad joks kitas tiekėjas objektyviai negali pateikti perkančiajai organizacijai reikalingo pirkimo objekto (1994 m. gegužės 3 d. sprendimas byloje C-328/92, 2005 m. birželio 2 d. sprendimas byloje C-394/02). </w:t>
      </w:r>
    </w:p>
    <w:p w14:paraId="1B03C1BC" w14:textId="78070C36" w:rsidR="009E4DDA" w:rsidRDefault="009E4DDA" w:rsidP="0023746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Tarnybos vertinimu, p</w:t>
      </w:r>
      <w:r w:rsidR="00153179">
        <w:rPr>
          <w:rFonts w:ascii="Times New Roman" w:hAnsi="Times New Roman" w:cs="Times New Roman"/>
          <w:sz w:val="24"/>
          <w:szCs w:val="24"/>
        </w:rPr>
        <w:t>rašyme nurodytos aplinkybės bei</w:t>
      </w:r>
      <w:r>
        <w:rPr>
          <w:rFonts w:ascii="Times New Roman" w:hAnsi="Times New Roman" w:cs="Times New Roman"/>
          <w:sz w:val="24"/>
          <w:szCs w:val="24"/>
        </w:rPr>
        <w:t xml:space="preserve"> argumentai negali būti vertinam</w:t>
      </w:r>
      <w:r w:rsidR="0015317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kaip techninės priežastys, dėl kurių joks kitas tiekėjas negali pateikti </w:t>
      </w:r>
      <w:r w:rsidR="00DD1A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irkimo objekto. Pažymėtina, kad vadovaujantis ESTT išaiškinimais, techninėmis priežastimis gali būti laikomos tokios priežastys, kaip techninių žinių turėjimas tam tikriems darbams atlikti, tam tikrų įrenginių ar technologijų turėjimas ir pan.</w:t>
      </w:r>
      <w:r w:rsidR="0023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Atsižvelgiant į nurodytą, Tarnybos nuomone, šiuo atveju </w:t>
      </w:r>
      <w:r w:rsidR="0001456B">
        <w:rPr>
          <w:rFonts w:ascii="Times New Roman" w:hAnsi="Times New Roman" w:cs="Times New Roman"/>
          <w:sz w:val="24"/>
          <w:szCs w:val="24"/>
        </w:rPr>
        <w:t>n</w:t>
      </w:r>
      <w:r w:rsidR="00153179">
        <w:rPr>
          <w:rFonts w:ascii="Times New Roman" w:hAnsi="Times New Roman" w:cs="Times New Roman"/>
          <w:sz w:val="24"/>
          <w:szCs w:val="24"/>
        </w:rPr>
        <w:t>ėra</w:t>
      </w:r>
      <w:r>
        <w:rPr>
          <w:rFonts w:ascii="Times New Roman" w:hAnsi="Times New Roman" w:cs="Times New Roman"/>
          <w:sz w:val="24"/>
          <w:szCs w:val="24"/>
        </w:rPr>
        <w:t xml:space="preserve"> tenkinamos </w:t>
      </w:r>
      <w:r w:rsidRPr="00F65875">
        <w:rPr>
          <w:rFonts w:ascii="Times New Roman" w:eastAsia="Calibri" w:hAnsi="Times New Roman" w:cs="Times New Roman"/>
          <w:sz w:val="24"/>
          <w:szCs w:val="24"/>
        </w:rPr>
        <w:t>Įstatymo 71 straipsnio 1 dalies 2 punkto (b) papunk</w:t>
      </w:r>
      <w:r>
        <w:rPr>
          <w:rFonts w:ascii="Times New Roman" w:eastAsia="Calibri" w:hAnsi="Times New Roman" w:cs="Times New Roman"/>
          <w:sz w:val="24"/>
          <w:szCs w:val="24"/>
        </w:rPr>
        <w:t>tyje įtvirtintos neskelbiamų derybų sąlygos</w:t>
      </w:r>
      <w:r w:rsidR="00E25381">
        <w:rPr>
          <w:rFonts w:ascii="Times New Roman" w:eastAsia="Calibri" w:hAnsi="Times New Roman" w:cs="Times New Roman"/>
          <w:sz w:val="24"/>
          <w:szCs w:val="24"/>
        </w:rPr>
        <w:t>, todėl vykdyti pirkimo šiuo pagrindu Perkančioji organizacija negali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2C005E" w14:textId="77777777" w:rsidR="009E4DDA" w:rsidRDefault="009E4DDA" w:rsidP="007143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170366" w14:textId="77777777" w:rsidR="00847BBB" w:rsidRPr="00393B0C" w:rsidRDefault="00847BBB" w:rsidP="00847B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sz w:val="24"/>
          <w:szCs w:val="24"/>
        </w:rPr>
        <w:tab/>
      </w:r>
      <w:r w:rsidRPr="0044330A">
        <w:rPr>
          <w:rFonts w:ascii="Times New Roman" w:eastAsia="Times New Roman" w:hAnsi="Times New Roman" w:cs="Times New Roman"/>
          <w:sz w:val="24"/>
          <w:szCs w:val="24"/>
        </w:rPr>
        <w:tab/>
      </w:r>
      <w:r w:rsidRPr="0044330A">
        <w:rPr>
          <w:rFonts w:ascii="Times New Roman" w:eastAsia="Times New Roman" w:hAnsi="Times New Roman" w:cs="Times New Roman"/>
          <w:sz w:val="24"/>
          <w:szCs w:val="24"/>
        </w:rPr>
        <w:tab/>
      </w:r>
      <w:r w:rsidRPr="0044330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EA0D3C" w14:textId="77777777" w:rsidR="00847BBB" w:rsidRPr="00393B0C" w:rsidRDefault="00847BBB" w:rsidP="0084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0C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Diana Vilytė</w:t>
      </w:r>
    </w:p>
    <w:p w14:paraId="540AA4F1" w14:textId="77777777" w:rsidR="00847BBB" w:rsidRPr="0044330A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668BD7" w14:textId="77777777" w:rsidR="00847BBB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0F8C39" w14:textId="77777777" w:rsidR="00847BBB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834DBD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49F5D9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69436C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4C6BEA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D4B623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5C5D85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7C7402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7B4F83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A625CF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057281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06A5D0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140C6F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DE643A" w14:textId="416C7A0A" w:rsidR="007143C9" w:rsidRDefault="007143C9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286377" w14:textId="77777777" w:rsidR="0023746F" w:rsidRDefault="0023746F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14:paraId="03B7B8A0" w14:textId="77777777" w:rsidR="007143C9" w:rsidRDefault="007143C9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328467" w14:textId="77777777" w:rsidR="007143C9" w:rsidRDefault="007143C9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0E38B0" w14:textId="77777777" w:rsidR="007143C9" w:rsidRDefault="007143C9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A1868A" w14:textId="77777777" w:rsidR="00C36058" w:rsidRDefault="00C36058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B3245E" w14:textId="77777777" w:rsidR="00BB74D4" w:rsidRPr="0001456B" w:rsidRDefault="0001456B" w:rsidP="000145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>
        <w:t xml:space="preserve"> </w:t>
      </w:r>
    </w:p>
    <w:sectPr w:rsidR="00BB74D4" w:rsidRPr="0001456B" w:rsidSect="0002306C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9C125" w14:textId="77777777" w:rsidR="004B6A88" w:rsidRDefault="004B6A88">
      <w:pPr>
        <w:spacing w:after="0" w:line="240" w:lineRule="auto"/>
      </w:pPr>
      <w:r>
        <w:separator/>
      </w:r>
    </w:p>
  </w:endnote>
  <w:endnote w:type="continuationSeparator" w:id="0">
    <w:p w14:paraId="70C79DD8" w14:textId="77777777" w:rsidR="004B6A88" w:rsidRDefault="004B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40DC" w14:textId="77777777" w:rsidR="003D2F85" w:rsidRPr="001E27BC" w:rsidRDefault="00D80952" w:rsidP="00A5651B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</w:r>
    <w:r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  <w:t xml:space="preserve"> 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</w:t>
    </w:r>
  </w:p>
  <w:p w14:paraId="06D5FC56" w14:textId="77777777" w:rsidR="003D2F85" w:rsidRPr="001E27BC" w:rsidRDefault="00D80952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1E27BC">
      <w:rPr>
        <w:rFonts w:ascii="Times New Roman" w:eastAsia="Times New Roman" w:hAnsi="Times New Roman" w:cs="Times New Roman"/>
        <w:sz w:val="18"/>
        <w:szCs w:val="20"/>
      </w:rPr>
      <w:t>08221 Vilnius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</w:r>
    <w:r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  <w:t xml:space="preserve"> 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Juridinių asmenų registre</w:t>
    </w:r>
  </w:p>
  <w:p w14:paraId="5A3E1C7F" w14:textId="77777777" w:rsidR="003D2F85" w:rsidRPr="004A296F" w:rsidRDefault="004B6A88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D80952" w:rsidRPr="004A296F">
        <w:rPr>
          <w:rStyle w:val="Hyperlink"/>
          <w:rFonts w:ascii="Times New Roman" w:eastAsia="Times New Roman" w:hAnsi="Times New Roman" w:cs="Times New Roman"/>
          <w:sz w:val="18"/>
        </w:rPr>
        <w:t>www.vpt.lrv.lt</w:t>
      </w:r>
    </w:hyperlink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>
      <w:rPr>
        <w:rFonts w:ascii="Times New Roman" w:eastAsia="Times New Roman" w:hAnsi="Times New Roman" w:cs="Times New Roman"/>
        <w:sz w:val="18"/>
        <w:szCs w:val="20"/>
      </w:rPr>
      <w:tab/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El. p. </w:t>
    </w:r>
    <w:hyperlink r:id="rId2" w:history="1">
      <w:r w:rsidR="00D80952" w:rsidRPr="004A296F">
        <w:rPr>
          <w:rStyle w:val="Hyperlink"/>
          <w:rFonts w:ascii="Times New Roman" w:eastAsia="Times New Roman" w:hAnsi="Times New Roman" w:cs="Times New Roman"/>
          <w:sz w:val="18"/>
        </w:rPr>
        <w:t>info@vpt.lt</w:t>
      </w:r>
    </w:hyperlink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>
      <w:rPr>
        <w:rFonts w:ascii="Times New Roman" w:eastAsia="Times New Roman" w:hAnsi="Times New Roman" w:cs="Times New Roman"/>
        <w:sz w:val="18"/>
        <w:szCs w:val="20"/>
      </w:rPr>
      <w:t xml:space="preserve">                 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545D3" w14:textId="77777777" w:rsidR="004B6A88" w:rsidRDefault="004B6A88">
      <w:pPr>
        <w:spacing w:after="0" w:line="240" w:lineRule="auto"/>
      </w:pPr>
      <w:r>
        <w:separator/>
      </w:r>
    </w:p>
  </w:footnote>
  <w:footnote w:type="continuationSeparator" w:id="0">
    <w:p w14:paraId="1411B492" w14:textId="77777777" w:rsidR="004B6A88" w:rsidRDefault="004B6A88">
      <w:pPr>
        <w:spacing w:after="0" w:line="240" w:lineRule="auto"/>
      </w:pPr>
      <w:r>
        <w:continuationSeparator/>
      </w:r>
    </w:p>
  </w:footnote>
  <w:footnote w:id="1">
    <w:p w14:paraId="506DA85D" w14:textId="77777777" w:rsidR="00500F66" w:rsidRPr="00A83739" w:rsidRDefault="00500F66" w:rsidP="00A83739">
      <w:pPr>
        <w:pStyle w:val="FootnoteText"/>
        <w:jc w:val="both"/>
        <w:rPr>
          <w:rFonts w:ascii="Times New Roman" w:hAnsi="Times New Roman" w:cs="Times New Roman"/>
        </w:rPr>
      </w:pPr>
      <w:r w:rsidRPr="00A83739">
        <w:rPr>
          <w:rStyle w:val="FootnoteReference"/>
          <w:rFonts w:ascii="Times New Roman" w:hAnsi="Times New Roman" w:cs="Times New Roman"/>
        </w:rPr>
        <w:footnoteRef/>
      </w:r>
      <w:r w:rsidRPr="00A83739">
        <w:rPr>
          <w:rFonts w:ascii="Times New Roman" w:hAnsi="Times New Roman" w:cs="Times New Roman"/>
        </w:rPr>
        <w:t xml:space="preserve"> „</w:t>
      </w:r>
      <w:r w:rsidR="001E634B" w:rsidRPr="00A83739">
        <w:rPr>
          <w:rFonts w:ascii="Times New Roman" w:hAnsi="Times New Roman" w:cs="Times New Roman"/>
          <w:i/>
          <w:iCs/>
        </w:rPr>
        <w:t>konkurencijos nėra dėl techninių priežasčių</w:t>
      </w:r>
      <w:r w:rsidR="001E634B" w:rsidRPr="00A83739">
        <w:rPr>
          <w:rFonts w:ascii="Times New Roman" w:hAnsi="Times New Roman" w:cs="Times New Roman"/>
        </w:rPr>
        <w:t xml:space="preserve">“; </w:t>
      </w:r>
    </w:p>
  </w:footnote>
  <w:footnote w:id="2">
    <w:p w14:paraId="19E0DB4B" w14:textId="77777777" w:rsidR="001E634B" w:rsidRPr="00A83739" w:rsidRDefault="001E634B" w:rsidP="00A83739">
      <w:pPr>
        <w:pStyle w:val="FootnoteText"/>
        <w:jc w:val="both"/>
        <w:rPr>
          <w:rFonts w:ascii="Times New Roman" w:hAnsi="Times New Roman" w:cs="Times New Roman"/>
        </w:rPr>
      </w:pPr>
      <w:r w:rsidRPr="00A83739">
        <w:rPr>
          <w:rStyle w:val="FootnoteReference"/>
          <w:rFonts w:ascii="Times New Roman" w:hAnsi="Times New Roman" w:cs="Times New Roman"/>
        </w:rPr>
        <w:footnoteRef/>
      </w:r>
      <w:r w:rsidRPr="00A83739">
        <w:rPr>
          <w:rFonts w:ascii="Times New Roman" w:hAnsi="Times New Roman" w:cs="Times New Roman"/>
        </w:rPr>
        <w:t xml:space="preserve"> 2019 m. birželio 10 d. el. paštu pateikta informacija; </w:t>
      </w:r>
    </w:p>
  </w:footnote>
  <w:footnote w:id="3">
    <w:p w14:paraId="6249881D" w14:textId="77777777" w:rsidR="00810343" w:rsidRPr="00A83739" w:rsidRDefault="00810343" w:rsidP="00A83739">
      <w:pPr>
        <w:pStyle w:val="FootnoteText"/>
        <w:jc w:val="both"/>
        <w:rPr>
          <w:rFonts w:ascii="Times New Roman" w:hAnsi="Times New Roman" w:cs="Times New Roman"/>
        </w:rPr>
      </w:pPr>
      <w:r w:rsidRPr="00A83739">
        <w:rPr>
          <w:rStyle w:val="FootnoteReference"/>
          <w:rFonts w:ascii="Times New Roman" w:hAnsi="Times New Roman" w:cs="Times New Roman"/>
        </w:rPr>
        <w:footnoteRef/>
      </w:r>
      <w:r w:rsidRPr="00A83739">
        <w:rPr>
          <w:rFonts w:ascii="Times New Roman" w:hAnsi="Times New Roman" w:cs="Times New Roman"/>
        </w:rPr>
        <w:t xml:space="preserve"> Prancūzijos ambasados Lietuvoje, Klaipėdos miesto savivaldybės ir Klaipėdos universiteto 2017 m. spalio 19 d. </w:t>
      </w:r>
      <w:r w:rsidR="00A83739" w:rsidRPr="00A83739">
        <w:rPr>
          <w:rFonts w:ascii="Times New Roman" w:hAnsi="Times New Roman" w:cs="Times New Roman"/>
        </w:rPr>
        <w:t xml:space="preserve">bendradarbiavimo </w:t>
      </w:r>
      <w:r w:rsidRPr="00A83739">
        <w:rPr>
          <w:rFonts w:ascii="Times New Roman" w:hAnsi="Times New Roman" w:cs="Times New Roman"/>
        </w:rPr>
        <w:t>sutartis Nr. J9-2296</w:t>
      </w:r>
      <w:r w:rsidR="00A83739" w:rsidRPr="00A8373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260F" w14:textId="77777777" w:rsidR="003156C8" w:rsidRDefault="00D809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51BADB" w14:textId="77777777" w:rsidR="003156C8" w:rsidRDefault="004B6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7ED1" w14:textId="77777777" w:rsidR="003156C8" w:rsidRDefault="00D809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0C7CD" w14:textId="77777777" w:rsidR="003156C8" w:rsidRDefault="004B6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7124" w14:textId="77777777" w:rsidR="00DE7265" w:rsidRPr="00AE7111" w:rsidRDefault="00D80952" w:rsidP="00DE7265">
    <w:pPr>
      <w:pStyle w:val="Header"/>
      <w:jc w:val="right"/>
      <w:rPr>
        <w:b/>
        <w:sz w:val="24"/>
        <w:szCs w:val="24"/>
      </w:rPr>
    </w:pPr>
    <w:r>
      <w:tab/>
    </w:r>
    <w:r w:rsidRPr="00AE7111">
      <w:rPr>
        <w:b/>
        <w:sz w:val="24"/>
        <w:szCs w:val="24"/>
      </w:rPr>
      <w:t>Originalas siunčiamas nebus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B"/>
    <w:rsid w:val="0001456B"/>
    <w:rsid w:val="000A4685"/>
    <w:rsid w:val="000C5966"/>
    <w:rsid w:val="001414D2"/>
    <w:rsid w:val="00153179"/>
    <w:rsid w:val="00183C98"/>
    <w:rsid w:val="001A667E"/>
    <w:rsid w:val="001E634B"/>
    <w:rsid w:val="0023746F"/>
    <w:rsid w:val="0025372A"/>
    <w:rsid w:val="003667A2"/>
    <w:rsid w:val="0039504A"/>
    <w:rsid w:val="003D1F03"/>
    <w:rsid w:val="003D27E1"/>
    <w:rsid w:val="004311F6"/>
    <w:rsid w:val="004939F1"/>
    <w:rsid w:val="004B6A88"/>
    <w:rsid w:val="00500F66"/>
    <w:rsid w:val="00506697"/>
    <w:rsid w:val="005A0EC1"/>
    <w:rsid w:val="005A3F3B"/>
    <w:rsid w:val="007143C9"/>
    <w:rsid w:val="00767359"/>
    <w:rsid w:val="007F29AE"/>
    <w:rsid w:val="00810343"/>
    <w:rsid w:val="00847BBB"/>
    <w:rsid w:val="008B02FF"/>
    <w:rsid w:val="008C083C"/>
    <w:rsid w:val="009853EC"/>
    <w:rsid w:val="009B5DC6"/>
    <w:rsid w:val="009C4C27"/>
    <w:rsid w:val="009E4DDA"/>
    <w:rsid w:val="00A32E16"/>
    <w:rsid w:val="00A5158E"/>
    <w:rsid w:val="00A83739"/>
    <w:rsid w:val="00AF6822"/>
    <w:rsid w:val="00BB74D4"/>
    <w:rsid w:val="00BC350E"/>
    <w:rsid w:val="00C027EC"/>
    <w:rsid w:val="00C36058"/>
    <w:rsid w:val="00CA5F34"/>
    <w:rsid w:val="00CE3FE3"/>
    <w:rsid w:val="00D80952"/>
    <w:rsid w:val="00DD1A5F"/>
    <w:rsid w:val="00E24891"/>
    <w:rsid w:val="00E25381"/>
    <w:rsid w:val="00E978AC"/>
    <w:rsid w:val="00EB712E"/>
    <w:rsid w:val="00ED659E"/>
    <w:rsid w:val="00FD087F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C1501"/>
  <w15:chartTrackingRefBased/>
  <w15:docId w15:val="{E0EA1043-54C8-4C2A-8BCC-C6C6ED9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BB"/>
  </w:style>
  <w:style w:type="character" w:styleId="PageNumber">
    <w:name w:val="page number"/>
    <w:basedOn w:val="DefaultParagraphFont"/>
    <w:rsid w:val="00847BBB"/>
  </w:style>
  <w:style w:type="character" w:styleId="Hyperlink">
    <w:name w:val="Hyperlink"/>
    <w:basedOn w:val="DefaultParagraphFont"/>
    <w:uiPriority w:val="99"/>
    <w:unhideWhenUsed/>
    <w:rsid w:val="00847BB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F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0F66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locked/>
    <w:rsid w:val="001414D2"/>
  </w:style>
  <w:style w:type="paragraph" w:customStyle="1" w:styleId="Normal12pt">
    <w:name w:val="Normal + 12 pt"/>
    <w:basedOn w:val="Normal"/>
    <w:link w:val="Normal12ptChar"/>
    <w:rsid w:val="001414D2"/>
    <w:pPr>
      <w:spacing w:after="0" w:line="240" w:lineRule="auto"/>
      <w:ind w:right="-283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014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2012-28C5-4047-B34E-5EF84ECD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dcterms:created xsi:type="dcterms:W3CDTF">2019-06-11T07:08:00Z</dcterms:created>
  <dcterms:modified xsi:type="dcterms:W3CDTF">2019-06-11T07:13:00Z</dcterms:modified>
</cp:coreProperties>
</file>