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51956295"/>
    <w:bookmarkEnd w:id="0"/>
    <w:p w:rsidR="009B1E78" w:rsidRPr="001111E0" w:rsidRDefault="009B1E78" w:rsidP="009B1E78">
      <w:pPr>
        <w:spacing w:after="0" w:line="240" w:lineRule="auto"/>
        <w:jc w:val="center"/>
        <w:rPr>
          <w:rFonts w:ascii="CG Times" w:eastAsia="Times New Roman" w:hAnsi="CG Times" w:cs="Times New Roman"/>
          <w:sz w:val="24"/>
          <w:szCs w:val="24"/>
        </w:rPr>
      </w:pPr>
      <w:r w:rsidRPr="001111E0">
        <w:rPr>
          <w:rFonts w:ascii="CG Times" w:eastAsia="Times New Roman" w:hAnsi="CG Times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48.2pt" o:ole="" fillcolor="window">
            <v:imagedata r:id="rId7" o:title=""/>
          </v:shape>
          <o:OLEObject Type="Embed" ProgID="Word.Picture.8" ShapeID="_x0000_i1025" DrawAspect="Content" ObjectID="_1567419034" r:id="rId8"/>
        </w:object>
      </w:r>
    </w:p>
    <w:p w:rsidR="009B1E78" w:rsidRPr="001111E0" w:rsidRDefault="009B1E78" w:rsidP="009B1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B1E78" w:rsidRPr="00684F1E" w:rsidRDefault="009B1E78" w:rsidP="00853C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sz w:val="24"/>
          <w:szCs w:val="24"/>
        </w:rPr>
        <w:t>VIEŠŲJŲ PIRKIMŲ TARNYBA</w:t>
      </w:r>
    </w:p>
    <w:p w:rsidR="009B1E78" w:rsidRPr="00684F1E" w:rsidRDefault="009B1E78" w:rsidP="00853CEE">
      <w:pPr>
        <w:keepLines/>
        <w:suppressAutoHyphens/>
        <w:autoSpaceDE w:val="0"/>
        <w:autoSpaceDN w:val="0"/>
        <w:adjustRightInd w:val="0"/>
        <w:spacing w:after="0" w:line="240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9B1E78" w:rsidRPr="001111E0" w:rsidRDefault="009B1E78" w:rsidP="00853CEE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B1E78" w:rsidRDefault="009B1E78" w:rsidP="00853CEE">
      <w:pPr>
        <w:keepLines/>
        <w:suppressAutoHyphens/>
        <w:autoSpaceDE w:val="0"/>
        <w:autoSpaceDN w:val="0"/>
        <w:adjustRightInd w:val="0"/>
        <w:spacing w:after="0" w:line="240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9B1E78" w:rsidRPr="009B523F" w:rsidRDefault="009B1E78" w:rsidP="00531D65">
      <w:pPr>
        <w:keepLines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SPRENDIMAS dėl sutikimo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Pr="009B523F">
        <w:rPr>
          <w:rFonts w:ascii="Times New Roman" w:eastAsia="Calibri" w:hAnsi="Times New Roman" w:cs="Times New Roman"/>
          <w:b/>
          <w:bCs/>
          <w:sz w:val="24"/>
        </w:rPr>
        <w:t>VYKDYTI PIRKIMĄ</w:t>
      </w:r>
      <w:r w:rsidR="00531D65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9B523F">
        <w:rPr>
          <w:rFonts w:ascii="Times New Roman" w:eastAsia="Calibri" w:hAnsi="Times New Roman" w:cs="Times New Roman"/>
          <w:b/>
          <w:bCs/>
          <w:sz w:val="24"/>
        </w:rPr>
        <w:t>NESKELBIAMŲ DERYBŲ BŪDU</w:t>
      </w:r>
    </w:p>
    <w:p w:rsidR="009B1E78" w:rsidRDefault="009B1E78" w:rsidP="00853CEE">
      <w:pPr>
        <w:suppressAutoHyphens/>
        <w:autoSpaceDE w:val="0"/>
        <w:autoSpaceDN w:val="0"/>
        <w:adjustRightInd w:val="0"/>
        <w:spacing w:after="0" w:line="240" w:lineRule="auto"/>
        <w:ind w:firstLine="31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9B1E78" w:rsidRPr="00684F1E" w:rsidRDefault="009B1E78" w:rsidP="00853CEE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2017-0</w:t>
      </w:r>
      <w:r w:rsidR="002242E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F06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</w:t>
      </w:r>
      <w:r w:rsidRPr="00684F1E">
        <w:rPr>
          <w:rFonts w:ascii="Times New Roman" w:eastAsia="Times New Roman" w:hAnsi="Times New Roman" w:cs="Times New Roman"/>
          <w:color w:val="000000"/>
          <w:sz w:val="24"/>
          <w:szCs w:val="24"/>
        </w:rPr>
        <w:t>Nr. 4S-</w:t>
      </w:r>
    </w:p>
    <w:p w:rsidR="009B1E78" w:rsidRPr="00684F1E" w:rsidRDefault="009B1E78" w:rsidP="00853CEE">
      <w:pPr>
        <w:keepLines/>
        <w:suppressAutoHyphens/>
        <w:autoSpaceDE w:val="0"/>
        <w:autoSpaceDN w:val="0"/>
        <w:adjustRightInd w:val="0"/>
        <w:spacing w:after="0" w:line="240" w:lineRule="auto"/>
        <w:ind w:left="3888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84F1E">
        <w:rPr>
          <w:rFonts w:ascii="Times New Roman" w:eastAsia="Times New Roman" w:hAnsi="Times New Roman" w:cs="Times New Roman"/>
          <w:sz w:val="24"/>
          <w:szCs w:val="24"/>
        </w:rPr>
        <w:t xml:space="preserve"> Vilnius</w:t>
      </w:r>
    </w:p>
    <w:p w:rsidR="009B1E78" w:rsidRDefault="009B1E78" w:rsidP="00853C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240E" w:rsidRDefault="0081240E" w:rsidP="00853C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1240E" w:rsidRDefault="0081240E" w:rsidP="00853C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45680" w:rsidRDefault="00A45680" w:rsidP="00853C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005D" w:rsidRPr="0081240E" w:rsidRDefault="0081240E" w:rsidP="00812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8005D" w:rsidRPr="0081240E">
        <w:rPr>
          <w:rFonts w:ascii="Times New Roman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</w:t>
      </w:r>
      <w:r w:rsidR="00B8005D" w:rsidRPr="0081240E">
        <w:rPr>
          <w:rFonts w:ascii="Times New Roman" w:eastAsia="Times New Roman" w:hAnsi="Times New Roman" w:cs="Times New Roman"/>
          <w:sz w:val="24"/>
          <w:szCs w:val="24"/>
        </w:rPr>
        <w:t>95 straipsnio 2 dalies 6 punkto nuostatomis</w:t>
      </w:r>
      <w:r w:rsidR="00B8005D" w:rsidRPr="0081240E">
        <w:rPr>
          <w:rFonts w:ascii="Times New Roman" w:hAnsi="Times New Roman" w:cs="Times New Roman"/>
          <w:sz w:val="24"/>
          <w:szCs w:val="24"/>
        </w:rPr>
        <w:t>, išnagrinėjo</w:t>
      </w:r>
      <w:r w:rsidR="00A45680" w:rsidRPr="0081240E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4E157B" w:rsidRPr="0081240E">
        <w:rPr>
          <w:rFonts w:ascii="Times New Roman" w:eastAsia="Times New Roman" w:hAnsi="Times New Roman" w:cs="Times New Roman"/>
          <w:sz w:val="24"/>
          <w:szCs w:val="24"/>
        </w:rPr>
        <w:t>Lietuvos Respublikos ūkio ministerijos</w:t>
      </w:r>
      <w:r w:rsidR="00A45680" w:rsidRPr="0081240E">
        <w:rPr>
          <w:rFonts w:ascii="Times New Roman" w:eastAsia="Times New Roman" w:hAnsi="Times New Roman" w:cs="Times New Roman"/>
          <w:sz w:val="24"/>
          <w:szCs w:val="24"/>
        </w:rPr>
        <w:t xml:space="preserve"> (toliau – Perkančioji organizacija) prašymą ir jį pagrindžiančią informaciją dėl sutikimo viešąjį pirkimą </w:t>
      </w:r>
      <w:r w:rsidR="00A45680" w:rsidRPr="0081240E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 w:rsidR="004E157B" w:rsidRPr="0081240E">
        <w:rPr>
          <w:rFonts w:ascii="Times New Roman" w:eastAsia="Times New Roman" w:hAnsi="Times New Roman" w:cs="Times New Roman"/>
          <w:i/>
          <w:sz w:val="24"/>
          <w:szCs w:val="24"/>
        </w:rPr>
        <w:t>Dokumentų valdymo sistemos „</w:t>
      </w:r>
      <w:proofErr w:type="spellStart"/>
      <w:r w:rsidR="004E157B" w:rsidRPr="0081240E">
        <w:rPr>
          <w:rFonts w:ascii="Times New Roman" w:eastAsia="Times New Roman" w:hAnsi="Times New Roman" w:cs="Times New Roman"/>
          <w:i/>
          <w:sz w:val="24"/>
          <w:szCs w:val="24"/>
        </w:rPr>
        <w:t>Doclogix</w:t>
      </w:r>
      <w:proofErr w:type="spellEnd"/>
      <w:r w:rsidR="004E157B" w:rsidRPr="0081240E">
        <w:rPr>
          <w:rFonts w:ascii="Times New Roman" w:eastAsia="Times New Roman" w:hAnsi="Times New Roman" w:cs="Times New Roman"/>
          <w:i/>
          <w:sz w:val="24"/>
          <w:szCs w:val="24"/>
        </w:rPr>
        <w:t>“ priežiūros ir tobulinimo paslaugos</w:t>
      </w:r>
      <w:r w:rsidR="00597483" w:rsidRPr="0081240E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="00A45680" w:rsidRPr="0081240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8005D" w:rsidRPr="0081240E">
        <w:rPr>
          <w:rFonts w:ascii="Times New Roman" w:hAnsi="Times New Roman" w:cs="Times New Roman"/>
          <w:sz w:val="24"/>
          <w:szCs w:val="24"/>
        </w:rPr>
        <w:t xml:space="preserve">(toliau – Pirkimas) </w:t>
      </w:r>
      <w:r w:rsidR="00B8005D" w:rsidRPr="0081240E">
        <w:rPr>
          <w:rFonts w:ascii="Times New Roman" w:eastAsia="Times New Roman" w:hAnsi="Times New Roman" w:cs="Times New Roman"/>
          <w:sz w:val="24"/>
          <w:szCs w:val="24"/>
        </w:rPr>
        <w:t xml:space="preserve">vykdyti neskelbiamų derybų būdu, vadovaujantis Įstatymo 71 straipsnio </w:t>
      </w:r>
      <w:r w:rsidR="00B8005D" w:rsidRPr="0081240E">
        <w:rPr>
          <w:rFonts w:ascii="Times New Roman" w:hAnsi="Times New Roman" w:cs="Times New Roman"/>
          <w:sz w:val="24"/>
          <w:szCs w:val="24"/>
        </w:rPr>
        <w:t>1 dalies 2 punkto (c) papunkčio nuostatomis.</w:t>
      </w:r>
    </w:p>
    <w:p w:rsidR="004E157B" w:rsidRPr="0081240E" w:rsidRDefault="0081240E" w:rsidP="00812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2242E2" w:rsidRPr="0081240E">
        <w:rPr>
          <w:rFonts w:ascii="Times New Roman" w:eastAsia="Times New Roman" w:hAnsi="Times New Roman" w:cs="Times New Roman"/>
          <w:sz w:val="24"/>
          <w:szCs w:val="24"/>
        </w:rPr>
        <w:t xml:space="preserve">Prašyme nurodyta, kad Perkančioji organizacija numato neskelbiamų derybų būdu įsigyti </w:t>
      </w:r>
      <w:r w:rsidR="004E157B" w:rsidRPr="0081240E">
        <w:rPr>
          <w:rFonts w:ascii="Times New Roman" w:eastAsia="Times New Roman" w:hAnsi="Times New Roman" w:cs="Times New Roman"/>
          <w:sz w:val="24"/>
          <w:szCs w:val="24"/>
        </w:rPr>
        <w:t xml:space="preserve">dokumentų valdymo </w:t>
      </w:r>
      <w:proofErr w:type="spellStart"/>
      <w:r w:rsidR="004E157B" w:rsidRPr="0081240E">
        <w:rPr>
          <w:rFonts w:ascii="Times New Roman" w:eastAsia="Times New Roman" w:hAnsi="Times New Roman" w:cs="Times New Roman"/>
          <w:sz w:val="24"/>
          <w:szCs w:val="24"/>
        </w:rPr>
        <w:t>Doclogix</w:t>
      </w:r>
      <w:proofErr w:type="spellEnd"/>
      <w:r w:rsidR="004E157B" w:rsidRPr="0081240E">
        <w:rPr>
          <w:rFonts w:ascii="Times New Roman" w:eastAsia="Times New Roman" w:hAnsi="Times New Roman" w:cs="Times New Roman"/>
          <w:sz w:val="24"/>
          <w:szCs w:val="24"/>
        </w:rPr>
        <w:t xml:space="preserve"> priežiūros ir tobulinimo paslaugas </w:t>
      </w:r>
      <w:r w:rsidR="002242E2" w:rsidRPr="0081240E">
        <w:rPr>
          <w:rFonts w:ascii="Times New Roman" w:eastAsia="Times New Roman" w:hAnsi="Times New Roman" w:cs="Times New Roman"/>
          <w:sz w:val="24"/>
          <w:szCs w:val="24"/>
        </w:rPr>
        <w:t>iš vienintelio galimo j</w:t>
      </w:r>
      <w:r w:rsidR="001B47FF">
        <w:rPr>
          <w:rFonts w:ascii="Times New Roman" w:eastAsia="Times New Roman" w:hAnsi="Times New Roman" w:cs="Times New Roman"/>
          <w:sz w:val="24"/>
          <w:szCs w:val="24"/>
        </w:rPr>
        <w:t>ų</w:t>
      </w:r>
      <w:r w:rsidR="002242E2" w:rsidRPr="0081240E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DE3F93" w:rsidRPr="0081240E">
        <w:rPr>
          <w:rFonts w:ascii="Times New Roman" w:eastAsia="Times New Roman" w:hAnsi="Times New Roman" w:cs="Times New Roman"/>
          <w:sz w:val="24"/>
          <w:szCs w:val="24"/>
        </w:rPr>
        <w:t>ei</w:t>
      </w:r>
      <w:r w:rsidR="002242E2" w:rsidRPr="0081240E">
        <w:rPr>
          <w:rFonts w:ascii="Times New Roman" w:eastAsia="Times New Roman" w:hAnsi="Times New Roman" w:cs="Times New Roman"/>
          <w:sz w:val="24"/>
          <w:szCs w:val="24"/>
        </w:rPr>
        <w:t xml:space="preserve">kėjo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E157B" w:rsidRPr="0081240E">
        <w:rPr>
          <w:rFonts w:ascii="Times New Roman" w:eastAsia="Times New Roman" w:hAnsi="Times New Roman" w:cs="Times New Roman"/>
          <w:sz w:val="24"/>
          <w:szCs w:val="24"/>
        </w:rPr>
        <w:t>U</w:t>
      </w:r>
      <w:r w:rsidR="002242E2" w:rsidRPr="0081240E">
        <w:rPr>
          <w:rFonts w:ascii="Times New Roman" w:eastAsia="Times New Roman" w:hAnsi="Times New Roman" w:cs="Times New Roman"/>
          <w:sz w:val="24"/>
          <w:szCs w:val="24"/>
        </w:rPr>
        <w:t>AB „</w:t>
      </w:r>
      <w:proofErr w:type="spellStart"/>
      <w:r w:rsidR="004E157B" w:rsidRPr="0081240E">
        <w:rPr>
          <w:rFonts w:ascii="Times New Roman" w:eastAsia="Times New Roman" w:hAnsi="Times New Roman" w:cs="Times New Roman"/>
          <w:sz w:val="24"/>
          <w:szCs w:val="24"/>
        </w:rPr>
        <w:t>Doclogix</w:t>
      </w:r>
      <w:proofErr w:type="spellEnd"/>
      <w:r w:rsidR="002242E2" w:rsidRPr="0081240E">
        <w:rPr>
          <w:rFonts w:ascii="Times New Roman" w:eastAsia="Times New Roman" w:hAnsi="Times New Roman" w:cs="Times New Roman"/>
          <w:sz w:val="24"/>
          <w:szCs w:val="24"/>
        </w:rPr>
        <w:t xml:space="preserve">“. 2017 m. </w:t>
      </w:r>
      <w:r w:rsidR="004E157B" w:rsidRPr="0081240E">
        <w:rPr>
          <w:rFonts w:ascii="Times New Roman" w:eastAsia="Times New Roman" w:hAnsi="Times New Roman" w:cs="Times New Roman"/>
          <w:sz w:val="24"/>
          <w:szCs w:val="24"/>
        </w:rPr>
        <w:t xml:space="preserve">rugsėjo 4 d. buvo gautas tarnybinis pranešimas </w:t>
      </w:r>
      <w:r w:rsidR="007E3DF8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4E157B" w:rsidRPr="0081240E">
        <w:rPr>
          <w:rFonts w:ascii="Times New Roman" w:eastAsia="Times New Roman" w:hAnsi="Times New Roman" w:cs="Times New Roman"/>
          <w:sz w:val="24"/>
          <w:szCs w:val="24"/>
        </w:rPr>
        <w:t xml:space="preserve"> 121-110</w:t>
      </w:r>
      <w:r w:rsidR="007E3DF8" w:rsidRPr="007E3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DF8" w:rsidRPr="0081240E">
        <w:rPr>
          <w:rFonts w:ascii="Times New Roman" w:eastAsia="Times New Roman" w:hAnsi="Times New Roman" w:cs="Times New Roman"/>
          <w:sz w:val="24"/>
          <w:szCs w:val="24"/>
        </w:rPr>
        <w:t>dėl viešojo pirkimo</w:t>
      </w:r>
      <w:r w:rsidR="004E157B" w:rsidRPr="0081240E">
        <w:rPr>
          <w:rFonts w:ascii="Times New Roman" w:eastAsia="Times New Roman" w:hAnsi="Times New Roman" w:cs="Times New Roman"/>
          <w:sz w:val="24"/>
          <w:szCs w:val="24"/>
        </w:rPr>
        <w:t xml:space="preserve">, kuriame siūloma pirkti paslaugas neskelbiamų derybų būdu. Planuojama paslaugų pirkimo vertė 93 303 </w:t>
      </w:r>
      <w:proofErr w:type="spellStart"/>
      <w:r w:rsidR="004E157B" w:rsidRPr="0081240E">
        <w:rPr>
          <w:rFonts w:ascii="Times New Roman" w:eastAsia="Times New Roman" w:hAnsi="Times New Roman" w:cs="Times New Roman"/>
          <w:sz w:val="24"/>
          <w:szCs w:val="24"/>
        </w:rPr>
        <w:t>Eur</w:t>
      </w:r>
      <w:proofErr w:type="spellEnd"/>
      <w:r w:rsidR="004E157B" w:rsidRPr="0081240E">
        <w:rPr>
          <w:rFonts w:ascii="Times New Roman" w:eastAsia="Times New Roman" w:hAnsi="Times New Roman" w:cs="Times New Roman"/>
          <w:sz w:val="24"/>
          <w:szCs w:val="24"/>
        </w:rPr>
        <w:t xml:space="preserve"> su PVM</w:t>
      </w:r>
      <w:r w:rsidR="007E3DF8">
        <w:rPr>
          <w:rFonts w:ascii="Times New Roman" w:eastAsia="Times New Roman" w:hAnsi="Times New Roman" w:cs="Times New Roman"/>
          <w:sz w:val="24"/>
          <w:szCs w:val="24"/>
        </w:rPr>
        <w:t>, trejų metų laikotarpiui.</w:t>
      </w:r>
    </w:p>
    <w:p w:rsidR="002242E2" w:rsidRPr="0081240E" w:rsidRDefault="0081240E" w:rsidP="00812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242E2" w:rsidRPr="0081240E">
        <w:rPr>
          <w:rFonts w:ascii="Times New Roman" w:eastAsia="Times New Roman" w:hAnsi="Times New Roman" w:cs="Times New Roman"/>
          <w:sz w:val="24"/>
          <w:szCs w:val="24"/>
        </w:rPr>
        <w:t xml:space="preserve">Atsižvelgdama į tai, kad yra teisinis pagrindas, nustatytas Įstatymo </w:t>
      </w:r>
      <w:r w:rsidR="00DE3F93" w:rsidRPr="007926BF">
        <w:rPr>
          <w:rFonts w:ascii="Times New Roman" w:eastAsia="Times New Roman" w:hAnsi="Times New Roman" w:cs="Times New Roman"/>
          <w:sz w:val="24"/>
          <w:szCs w:val="24"/>
        </w:rPr>
        <w:t xml:space="preserve">71 straipsnio 1 dalies 2 punkto </w:t>
      </w:r>
      <w:r w:rsidR="00DE3F93" w:rsidRPr="007926BF">
        <w:rPr>
          <w:rFonts w:ascii="Times New Roman" w:eastAsia="Calibri" w:hAnsi="Times New Roman" w:cs="Times New Roman"/>
          <w:sz w:val="24"/>
          <w:szCs w:val="24"/>
        </w:rPr>
        <w:t>(c) papunkčio</w:t>
      </w:r>
      <w:r w:rsidR="00DE3F93" w:rsidRPr="007926BF">
        <w:rPr>
          <w:rFonts w:ascii="Times New Roman" w:eastAsia="Times New Roman" w:hAnsi="Times New Roman" w:cs="Times New Roman"/>
          <w:sz w:val="24"/>
          <w:szCs w:val="24"/>
        </w:rPr>
        <w:t xml:space="preserve"> nuostatas: „</w:t>
      </w:r>
      <w:r w:rsidR="00DE3F93" w:rsidRPr="007926BF">
        <w:rPr>
          <w:rFonts w:ascii="Times New Roman" w:eastAsia="Times New Roman" w:hAnsi="Times New Roman" w:cs="Times New Roman"/>
          <w:i/>
          <w:sz w:val="24"/>
          <w:szCs w:val="24"/>
        </w:rPr>
        <w:t>paslaugas teikti &lt;...&gt; gali tik konkretus tiekėjas &lt;...&gt; dėl išimtinių teisių, įskaitant intelektinės nuosavybės teises, apsaugos</w:t>
      </w:r>
      <w:r w:rsidR="00DE3F93" w:rsidRPr="0081240E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DE3F93" w:rsidRPr="0081240E">
        <w:rPr>
          <w:rFonts w:ascii="Times New Roman" w:eastAsia="Times New Roman" w:hAnsi="Times New Roman" w:cs="Times New Roman"/>
          <w:sz w:val="24"/>
          <w:szCs w:val="24"/>
        </w:rPr>
        <w:t xml:space="preserve">nes minėtas paslaugas gali teikti </w:t>
      </w:r>
      <w:r w:rsidR="00DE3F93" w:rsidRPr="0081240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DE3F93" w:rsidRPr="0081240E">
        <w:rPr>
          <w:rFonts w:ascii="Times New Roman" w:eastAsia="Times New Roman" w:hAnsi="Times New Roman" w:cs="Times New Roman"/>
          <w:sz w:val="24"/>
          <w:szCs w:val="24"/>
        </w:rPr>
        <w:t>tik vienas teikėjas (UAB „</w:t>
      </w:r>
      <w:proofErr w:type="spellStart"/>
      <w:r w:rsidR="00DE3F93" w:rsidRPr="0081240E">
        <w:rPr>
          <w:rFonts w:ascii="Times New Roman" w:eastAsia="Times New Roman" w:hAnsi="Times New Roman" w:cs="Times New Roman"/>
          <w:sz w:val="24"/>
          <w:szCs w:val="24"/>
        </w:rPr>
        <w:t>Doclogix</w:t>
      </w:r>
      <w:proofErr w:type="spellEnd"/>
      <w:r w:rsidR="00DE3F93" w:rsidRPr="0081240E">
        <w:rPr>
          <w:rFonts w:ascii="Times New Roman" w:eastAsia="Times New Roman" w:hAnsi="Times New Roman" w:cs="Times New Roman"/>
          <w:sz w:val="24"/>
          <w:szCs w:val="24"/>
        </w:rPr>
        <w:t>“),</w:t>
      </w:r>
      <w:r w:rsidR="002242E2" w:rsidRPr="0081240E">
        <w:rPr>
          <w:rFonts w:ascii="Times New Roman" w:eastAsia="Times New Roman" w:hAnsi="Times New Roman" w:cs="Times New Roman"/>
          <w:sz w:val="24"/>
          <w:szCs w:val="24"/>
        </w:rPr>
        <w:t xml:space="preserve"> Perkančioji organizacija priėmė sprendimą vadovaujantis Įstatymo </w:t>
      </w:r>
      <w:r w:rsidR="00DE3F93" w:rsidRPr="0081240E">
        <w:rPr>
          <w:rFonts w:ascii="Times New Roman" w:eastAsia="Times New Roman" w:hAnsi="Times New Roman" w:cs="Times New Roman"/>
          <w:sz w:val="24"/>
          <w:szCs w:val="24"/>
        </w:rPr>
        <w:t>72</w:t>
      </w:r>
      <w:r w:rsidR="002242E2" w:rsidRPr="0081240E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DE3F93" w:rsidRPr="0081240E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42E2" w:rsidRPr="0081240E">
        <w:rPr>
          <w:rFonts w:ascii="Times New Roman" w:eastAsia="Times New Roman" w:hAnsi="Times New Roman" w:cs="Times New Roman"/>
          <w:sz w:val="24"/>
          <w:szCs w:val="24"/>
        </w:rPr>
        <w:t xml:space="preserve"> dalies nuostatomis kreiptis į Tarnybą sutikimo </w:t>
      </w:r>
      <w:r w:rsidR="00DE3F93" w:rsidRPr="0081240E">
        <w:rPr>
          <w:rFonts w:ascii="Times New Roman" w:eastAsia="Times New Roman" w:hAnsi="Times New Roman" w:cs="Times New Roman"/>
          <w:sz w:val="24"/>
          <w:szCs w:val="24"/>
        </w:rPr>
        <w:t xml:space="preserve">dokumentų valdymo </w:t>
      </w:r>
      <w:proofErr w:type="spellStart"/>
      <w:r w:rsidR="00DE3F93" w:rsidRPr="0081240E">
        <w:rPr>
          <w:rFonts w:ascii="Times New Roman" w:eastAsia="Times New Roman" w:hAnsi="Times New Roman" w:cs="Times New Roman"/>
          <w:sz w:val="24"/>
          <w:szCs w:val="24"/>
        </w:rPr>
        <w:t>Doclogix</w:t>
      </w:r>
      <w:proofErr w:type="spellEnd"/>
      <w:r w:rsidR="00DE3F93" w:rsidRPr="0081240E">
        <w:rPr>
          <w:rFonts w:ascii="Times New Roman" w:eastAsia="Times New Roman" w:hAnsi="Times New Roman" w:cs="Times New Roman"/>
          <w:sz w:val="24"/>
          <w:szCs w:val="24"/>
        </w:rPr>
        <w:t xml:space="preserve"> priežiūros ir tobulinimo paslaugų </w:t>
      </w:r>
      <w:r w:rsidR="002242E2" w:rsidRPr="0081240E">
        <w:rPr>
          <w:rFonts w:ascii="Times New Roman" w:eastAsia="Times New Roman" w:hAnsi="Times New Roman" w:cs="Times New Roman"/>
          <w:sz w:val="24"/>
          <w:szCs w:val="24"/>
        </w:rPr>
        <w:t>viešąjį pirkimą vykdyti neskelbiamų derybų būdu</w:t>
      </w:r>
      <w:r w:rsidR="00423276">
        <w:rPr>
          <w:rFonts w:ascii="Times New Roman" w:eastAsia="Times New Roman" w:hAnsi="Times New Roman" w:cs="Times New Roman"/>
          <w:sz w:val="24"/>
          <w:szCs w:val="24"/>
        </w:rPr>
        <w:t xml:space="preserve">, į derybas </w:t>
      </w:r>
      <w:r w:rsidR="002242E2" w:rsidRPr="0081240E">
        <w:rPr>
          <w:rFonts w:ascii="Times New Roman" w:eastAsia="Times New Roman" w:hAnsi="Times New Roman" w:cs="Times New Roman"/>
          <w:sz w:val="24"/>
          <w:szCs w:val="24"/>
        </w:rPr>
        <w:t xml:space="preserve">kviečiant </w:t>
      </w:r>
      <w:r w:rsidR="00DE3F93" w:rsidRPr="0081240E"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 w:rsidR="00DE3F93" w:rsidRPr="0081240E">
        <w:rPr>
          <w:rFonts w:ascii="Times New Roman" w:eastAsia="Times New Roman" w:hAnsi="Times New Roman" w:cs="Times New Roman"/>
          <w:sz w:val="24"/>
          <w:szCs w:val="24"/>
        </w:rPr>
        <w:t>Doclogix</w:t>
      </w:r>
      <w:proofErr w:type="spellEnd"/>
      <w:r w:rsidR="00DE3F93" w:rsidRPr="0081240E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="002242E2" w:rsidRPr="0081240E">
        <w:rPr>
          <w:rFonts w:ascii="Times New Roman" w:eastAsia="Times New Roman" w:hAnsi="Times New Roman" w:cs="Times New Roman"/>
          <w:sz w:val="24"/>
          <w:szCs w:val="24"/>
        </w:rPr>
        <w:t xml:space="preserve">(2017  m. </w:t>
      </w:r>
      <w:r w:rsidR="00DE3F93" w:rsidRPr="0081240E">
        <w:rPr>
          <w:rFonts w:ascii="Times New Roman" w:eastAsia="Times New Roman" w:hAnsi="Times New Roman" w:cs="Times New Roman"/>
          <w:sz w:val="24"/>
          <w:szCs w:val="24"/>
        </w:rPr>
        <w:t>rugsėjo 11</w:t>
      </w:r>
      <w:r w:rsidR="002242E2" w:rsidRPr="0081240E">
        <w:rPr>
          <w:rFonts w:ascii="Times New Roman" w:eastAsia="Times New Roman" w:hAnsi="Times New Roman" w:cs="Times New Roman"/>
          <w:sz w:val="24"/>
          <w:szCs w:val="24"/>
        </w:rPr>
        <w:t xml:space="preserve"> d.  </w:t>
      </w:r>
      <w:r w:rsidR="00DE3F93" w:rsidRPr="0081240E">
        <w:rPr>
          <w:rFonts w:ascii="Times New Roman" w:eastAsia="Times New Roman" w:hAnsi="Times New Roman" w:cs="Times New Roman"/>
          <w:sz w:val="24"/>
          <w:szCs w:val="24"/>
        </w:rPr>
        <w:t xml:space="preserve">Lietuvos Respublikos ūkio ministerijos informacinių technologijų </w:t>
      </w:r>
      <w:r w:rsidR="002242E2" w:rsidRPr="0081240E">
        <w:rPr>
          <w:rFonts w:ascii="Times New Roman" w:eastAsia="Times New Roman" w:hAnsi="Times New Roman" w:cs="Times New Roman"/>
          <w:sz w:val="24"/>
          <w:szCs w:val="24"/>
        </w:rPr>
        <w:t>vieš</w:t>
      </w:r>
      <w:r w:rsidR="00DE3F93" w:rsidRPr="0081240E">
        <w:rPr>
          <w:rFonts w:ascii="Times New Roman" w:eastAsia="Times New Roman" w:hAnsi="Times New Roman" w:cs="Times New Roman"/>
          <w:sz w:val="24"/>
          <w:szCs w:val="24"/>
        </w:rPr>
        <w:t>ų</w:t>
      </w:r>
      <w:r w:rsidR="002242E2" w:rsidRPr="0081240E">
        <w:rPr>
          <w:rFonts w:ascii="Times New Roman" w:eastAsia="Times New Roman" w:hAnsi="Times New Roman" w:cs="Times New Roman"/>
          <w:sz w:val="24"/>
          <w:szCs w:val="24"/>
        </w:rPr>
        <w:t>j</w:t>
      </w:r>
      <w:r w:rsidR="00DE3F93" w:rsidRPr="0081240E">
        <w:rPr>
          <w:rFonts w:ascii="Times New Roman" w:eastAsia="Times New Roman" w:hAnsi="Times New Roman" w:cs="Times New Roman"/>
          <w:sz w:val="24"/>
          <w:szCs w:val="24"/>
        </w:rPr>
        <w:t>ų</w:t>
      </w:r>
      <w:r w:rsidR="002242E2" w:rsidRPr="0081240E">
        <w:rPr>
          <w:rFonts w:ascii="Times New Roman" w:eastAsia="Times New Roman" w:hAnsi="Times New Roman" w:cs="Times New Roman"/>
          <w:sz w:val="24"/>
          <w:szCs w:val="24"/>
        </w:rPr>
        <w:t xml:space="preserve"> pirkim</w:t>
      </w:r>
      <w:r w:rsidR="00DE3F93" w:rsidRPr="0081240E">
        <w:rPr>
          <w:rFonts w:ascii="Times New Roman" w:eastAsia="Times New Roman" w:hAnsi="Times New Roman" w:cs="Times New Roman"/>
          <w:sz w:val="24"/>
          <w:szCs w:val="24"/>
        </w:rPr>
        <w:t>ų</w:t>
      </w:r>
      <w:r w:rsidR="002242E2" w:rsidRPr="0081240E">
        <w:rPr>
          <w:rFonts w:ascii="Times New Roman" w:eastAsia="Times New Roman" w:hAnsi="Times New Roman" w:cs="Times New Roman"/>
          <w:sz w:val="24"/>
          <w:szCs w:val="24"/>
        </w:rPr>
        <w:t xml:space="preserve"> komisijos posėdžio protokolas Nr. </w:t>
      </w:r>
      <w:r w:rsidR="00DE3F93" w:rsidRPr="0081240E">
        <w:rPr>
          <w:rFonts w:ascii="Times New Roman" w:eastAsia="Times New Roman" w:hAnsi="Times New Roman" w:cs="Times New Roman"/>
          <w:sz w:val="24"/>
          <w:szCs w:val="24"/>
        </w:rPr>
        <w:t>51-143</w:t>
      </w:r>
      <w:r w:rsidR="002242E2" w:rsidRPr="0081240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E3F93" w:rsidRPr="007926BF" w:rsidRDefault="0081240E" w:rsidP="008124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E3F93" w:rsidRPr="007926BF">
        <w:rPr>
          <w:rFonts w:ascii="Times New Roman" w:eastAsia="Times New Roman" w:hAnsi="Times New Roman" w:cs="Times New Roman"/>
          <w:sz w:val="24"/>
          <w:szCs w:val="24"/>
        </w:rPr>
        <w:t xml:space="preserve">Įstatymo 71 straipsnio 1 dalies 2 punkto </w:t>
      </w:r>
      <w:r w:rsidR="00DE3F93" w:rsidRPr="007926BF">
        <w:rPr>
          <w:rFonts w:ascii="Times New Roman" w:eastAsia="Calibri" w:hAnsi="Times New Roman" w:cs="Times New Roman"/>
          <w:sz w:val="24"/>
          <w:szCs w:val="24"/>
        </w:rPr>
        <w:t>(c) papunkčio</w:t>
      </w:r>
      <w:r w:rsidR="00DE3F93" w:rsidRPr="007926BF">
        <w:rPr>
          <w:rFonts w:ascii="Times New Roman" w:eastAsia="Times New Roman" w:hAnsi="Times New Roman" w:cs="Times New Roman"/>
          <w:sz w:val="24"/>
          <w:szCs w:val="24"/>
        </w:rPr>
        <w:t xml:space="preserve"> nuostatos numato, kad paslaugos neskelbiamų derybų būdu gali būti perkamos: </w:t>
      </w:r>
      <w:r w:rsidR="00DE3F93" w:rsidRPr="007926BF">
        <w:rPr>
          <w:rFonts w:ascii="Times New Roman" w:eastAsia="Times New Roman" w:hAnsi="Times New Roman" w:cs="Times New Roman"/>
          <w:i/>
          <w:sz w:val="24"/>
          <w:szCs w:val="24"/>
        </w:rPr>
        <w:t>„2) jeigu prekes patiekti, paslaugas teikti ar darbus atlikti gali tik konkretus tiekėjas dėl vienos iš šių priežasčių: &lt;...&gt;</w:t>
      </w:r>
    </w:p>
    <w:p w:rsidR="00DE3F93" w:rsidRPr="007926BF" w:rsidRDefault="008118A2" w:rsidP="00811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</w:t>
      </w:r>
      <w:r w:rsidR="00DE3F93" w:rsidRPr="007926BF">
        <w:rPr>
          <w:rFonts w:ascii="Times New Roman" w:eastAsia="Times New Roman" w:hAnsi="Times New Roman" w:cs="Times New Roman"/>
          <w:i/>
          <w:sz w:val="24"/>
          <w:szCs w:val="24"/>
        </w:rPr>
        <w:t>c) dėl išimtinių teisių, įskaitant intelektinės nuosavybės teises, apsaugos“</w:t>
      </w:r>
      <w:r w:rsidR="00DE3F93" w:rsidRPr="007926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42E2" w:rsidRPr="0081240E" w:rsidRDefault="0081240E" w:rsidP="00812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242E2" w:rsidRPr="0081240E">
        <w:rPr>
          <w:rFonts w:ascii="Times New Roman" w:eastAsia="Times New Roman" w:hAnsi="Times New Roman" w:cs="Times New Roman"/>
          <w:sz w:val="24"/>
          <w:szCs w:val="24"/>
        </w:rPr>
        <w:t xml:space="preserve">Perkančiosios organizacijos prašyme nurodytos aplinkybės ir pateikti dokumentai patvirtina, jog </w:t>
      </w:r>
      <w:r w:rsidR="00DE3F93" w:rsidRPr="0081240E">
        <w:rPr>
          <w:rFonts w:ascii="Times New Roman" w:eastAsia="Times New Roman" w:hAnsi="Times New Roman" w:cs="Times New Roman"/>
          <w:sz w:val="24"/>
          <w:szCs w:val="24"/>
        </w:rPr>
        <w:t xml:space="preserve">dokumentų valdymo </w:t>
      </w:r>
      <w:proofErr w:type="spellStart"/>
      <w:r w:rsidR="00DE3F93" w:rsidRPr="0081240E">
        <w:rPr>
          <w:rFonts w:ascii="Times New Roman" w:eastAsia="Times New Roman" w:hAnsi="Times New Roman" w:cs="Times New Roman"/>
          <w:sz w:val="24"/>
          <w:szCs w:val="24"/>
        </w:rPr>
        <w:t>Doclogix</w:t>
      </w:r>
      <w:proofErr w:type="spellEnd"/>
      <w:r w:rsidR="00DE3F93" w:rsidRPr="0081240E">
        <w:rPr>
          <w:rFonts w:ascii="Times New Roman" w:eastAsia="Times New Roman" w:hAnsi="Times New Roman" w:cs="Times New Roman"/>
          <w:sz w:val="24"/>
          <w:szCs w:val="24"/>
        </w:rPr>
        <w:t xml:space="preserve"> priežiūros ir tobulinimo paslaugas teikti </w:t>
      </w:r>
      <w:r w:rsidR="002242E2" w:rsidRPr="0081240E">
        <w:rPr>
          <w:rFonts w:ascii="Times New Roman" w:eastAsia="Times New Roman" w:hAnsi="Times New Roman" w:cs="Times New Roman"/>
          <w:sz w:val="24"/>
          <w:szCs w:val="24"/>
        </w:rPr>
        <w:t xml:space="preserve"> gali tik konkretus  t</w:t>
      </w:r>
      <w:r w:rsidR="007E3DF8">
        <w:rPr>
          <w:rFonts w:ascii="Times New Roman" w:eastAsia="Times New Roman" w:hAnsi="Times New Roman" w:cs="Times New Roman"/>
          <w:sz w:val="24"/>
          <w:szCs w:val="24"/>
        </w:rPr>
        <w:t>ei</w:t>
      </w:r>
      <w:r w:rsidR="002242E2" w:rsidRPr="0081240E">
        <w:rPr>
          <w:rFonts w:ascii="Times New Roman" w:eastAsia="Times New Roman" w:hAnsi="Times New Roman" w:cs="Times New Roman"/>
          <w:sz w:val="24"/>
          <w:szCs w:val="24"/>
        </w:rPr>
        <w:t>kėjas, kuri</w:t>
      </w:r>
      <w:r w:rsidR="00DE3F93" w:rsidRPr="0081240E">
        <w:rPr>
          <w:rFonts w:ascii="Times New Roman" w:eastAsia="Times New Roman" w:hAnsi="Times New Roman" w:cs="Times New Roman"/>
          <w:sz w:val="24"/>
          <w:szCs w:val="24"/>
        </w:rPr>
        <w:t xml:space="preserve">s yra </w:t>
      </w:r>
      <w:proofErr w:type="spellStart"/>
      <w:r w:rsidR="00DE3F93" w:rsidRPr="0081240E">
        <w:rPr>
          <w:rFonts w:ascii="Times New Roman" w:eastAsia="Times New Roman" w:hAnsi="Times New Roman" w:cs="Times New Roman"/>
          <w:sz w:val="24"/>
          <w:szCs w:val="24"/>
        </w:rPr>
        <w:t>DocLogix</w:t>
      </w:r>
      <w:proofErr w:type="spellEnd"/>
      <w:r w:rsidR="00DE3F93" w:rsidRPr="0081240E">
        <w:rPr>
          <w:rFonts w:ascii="Times New Roman" w:eastAsia="Times New Roman" w:hAnsi="Times New Roman" w:cs="Times New Roman"/>
          <w:sz w:val="24"/>
          <w:szCs w:val="24"/>
        </w:rPr>
        <w:t xml:space="preserve"> dokumentų valdymo sistemos autorius ir vienintelis teikėjas, galintis Lietuvoje prižiūrėti, palaikyti, </w:t>
      </w:r>
      <w:r w:rsidRPr="0081240E">
        <w:rPr>
          <w:rFonts w:ascii="Times New Roman" w:eastAsia="Times New Roman" w:hAnsi="Times New Roman" w:cs="Times New Roman"/>
          <w:sz w:val="24"/>
          <w:szCs w:val="24"/>
        </w:rPr>
        <w:t xml:space="preserve">plėsti </w:t>
      </w:r>
      <w:proofErr w:type="spellStart"/>
      <w:r w:rsidRPr="0081240E">
        <w:rPr>
          <w:rFonts w:ascii="Times New Roman" w:eastAsia="Times New Roman" w:hAnsi="Times New Roman" w:cs="Times New Roman"/>
          <w:sz w:val="24"/>
          <w:szCs w:val="24"/>
        </w:rPr>
        <w:t>Doclogix</w:t>
      </w:r>
      <w:proofErr w:type="spellEnd"/>
      <w:r w:rsidRPr="0081240E">
        <w:rPr>
          <w:rFonts w:ascii="Times New Roman" w:eastAsia="Times New Roman" w:hAnsi="Times New Roman" w:cs="Times New Roman"/>
          <w:sz w:val="24"/>
          <w:szCs w:val="24"/>
        </w:rPr>
        <w:t xml:space="preserve"> programinę įrangą bei vykdyti jos licencijų atnaujinimą ir kuriam išskirtinai į programinę įrangą suteiktos autorinės ir turtinės teisės</w:t>
      </w:r>
      <w:r w:rsidR="002242E2" w:rsidRPr="0081240E">
        <w:rPr>
          <w:rFonts w:ascii="Times New Roman" w:eastAsia="Times New Roman" w:hAnsi="Times New Roman" w:cs="Times New Roman"/>
          <w:sz w:val="24"/>
          <w:szCs w:val="24"/>
        </w:rPr>
        <w:t xml:space="preserve">,  t. y. tenkinamos neskelbiamų derybų sąlygos, nurodytos Įstatymo </w:t>
      </w:r>
      <w:r w:rsidRPr="007926BF">
        <w:rPr>
          <w:rFonts w:ascii="Times New Roman" w:eastAsia="Times New Roman" w:hAnsi="Times New Roman" w:cs="Times New Roman"/>
          <w:sz w:val="24"/>
          <w:szCs w:val="24"/>
        </w:rPr>
        <w:t xml:space="preserve">71 straipsnio 1 dalies 2 punkto </w:t>
      </w:r>
      <w:r w:rsidRPr="007926BF">
        <w:rPr>
          <w:rFonts w:ascii="Times New Roman" w:eastAsia="Calibri" w:hAnsi="Times New Roman" w:cs="Times New Roman"/>
          <w:sz w:val="24"/>
          <w:szCs w:val="24"/>
        </w:rPr>
        <w:t>(c) papunk</w:t>
      </w:r>
      <w:r w:rsidRPr="0081240E">
        <w:rPr>
          <w:rFonts w:ascii="Times New Roman" w:eastAsia="Calibri" w:hAnsi="Times New Roman" w:cs="Times New Roman"/>
          <w:sz w:val="24"/>
          <w:szCs w:val="24"/>
        </w:rPr>
        <w:t>tyje</w:t>
      </w:r>
      <w:r w:rsidR="002242E2" w:rsidRPr="0081240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926BF" w:rsidRPr="007926BF" w:rsidRDefault="007926BF" w:rsidP="008124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6B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1240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926BF">
        <w:rPr>
          <w:rFonts w:ascii="Times New Roman" w:eastAsia="Times New Roman" w:hAnsi="Times New Roman" w:cs="Times New Roman"/>
          <w:sz w:val="24"/>
          <w:szCs w:val="24"/>
        </w:rPr>
        <w:t xml:space="preserve">  Įvertinus aukščiau nurodytą, konstatuotina, kad šiuo atveju Perkančiosios organizacijos priimtas sprendimas ir pasirinktas paslaugų pirkimo būdas atitinka Įstatymo 71 straipsnio 1 dalies 2 punkto </w:t>
      </w:r>
      <w:r w:rsidRPr="007926BF">
        <w:rPr>
          <w:rFonts w:ascii="Times New Roman" w:eastAsia="Calibri" w:hAnsi="Times New Roman" w:cs="Times New Roman"/>
          <w:sz w:val="24"/>
          <w:szCs w:val="24"/>
        </w:rPr>
        <w:t>(c) papunkčio</w:t>
      </w:r>
      <w:r w:rsidRPr="007926BF">
        <w:rPr>
          <w:rFonts w:ascii="Times New Roman" w:eastAsia="Times New Roman" w:hAnsi="Times New Roman" w:cs="Times New Roman"/>
          <w:sz w:val="24"/>
          <w:szCs w:val="24"/>
        </w:rPr>
        <w:t xml:space="preserve"> nuostatas, todėl Tarnyba, vadovaudamasi Įstatymo 95 straipsnio 2 dalies 6 punkto nuostatomis, </w:t>
      </w:r>
      <w:r w:rsidRPr="007926BF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Pr="007926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926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926BF"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="0081240E" w:rsidRPr="0081240E">
        <w:rPr>
          <w:rFonts w:ascii="Times New Roman" w:eastAsia="Times New Roman" w:hAnsi="Times New Roman" w:cs="Times New Roman"/>
          <w:sz w:val="24"/>
          <w:szCs w:val="24"/>
        </w:rPr>
        <w:t>Lietuvos Respublikos ūkio ministerij</w:t>
      </w:r>
      <w:r w:rsidR="00B7383C">
        <w:rPr>
          <w:rFonts w:ascii="Times New Roman" w:eastAsia="Times New Roman" w:hAnsi="Times New Roman" w:cs="Times New Roman"/>
          <w:sz w:val="24"/>
          <w:szCs w:val="24"/>
        </w:rPr>
        <w:t>a</w:t>
      </w:r>
      <w:bookmarkStart w:id="1" w:name="_GoBack"/>
      <w:bookmarkEnd w:id="1"/>
      <w:r w:rsidR="0081240E" w:rsidRPr="0081240E">
        <w:rPr>
          <w:rFonts w:ascii="Times New Roman" w:eastAsia="Times New Roman" w:hAnsi="Times New Roman" w:cs="Times New Roman"/>
          <w:sz w:val="24"/>
          <w:szCs w:val="24"/>
        </w:rPr>
        <w:t xml:space="preserve"> viešąjį pirkimą </w:t>
      </w:r>
      <w:r w:rsidR="0081240E" w:rsidRPr="0081240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„Dokumentų valdymo sistemos „</w:t>
      </w:r>
      <w:proofErr w:type="spellStart"/>
      <w:r w:rsidR="0081240E" w:rsidRPr="0081240E">
        <w:rPr>
          <w:rFonts w:ascii="Times New Roman" w:eastAsia="Times New Roman" w:hAnsi="Times New Roman" w:cs="Times New Roman"/>
          <w:i/>
          <w:sz w:val="24"/>
          <w:szCs w:val="24"/>
        </w:rPr>
        <w:t>Doclogix</w:t>
      </w:r>
      <w:proofErr w:type="spellEnd"/>
      <w:r w:rsidR="0081240E" w:rsidRPr="0081240E">
        <w:rPr>
          <w:rFonts w:ascii="Times New Roman" w:eastAsia="Times New Roman" w:hAnsi="Times New Roman" w:cs="Times New Roman"/>
          <w:i/>
          <w:sz w:val="24"/>
          <w:szCs w:val="24"/>
        </w:rPr>
        <w:t xml:space="preserve">“ priežiūros ir tobulinimo paslaugos“ </w:t>
      </w:r>
      <w:r w:rsidRPr="007926BF">
        <w:rPr>
          <w:rFonts w:ascii="Times New Roman" w:eastAsia="Times New Roman" w:hAnsi="Times New Roman" w:cs="Times New Roman"/>
          <w:sz w:val="24"/>
          <w:szCs w:val="24"/>
        </w:rPr>
        <w:t xml:space="preserve">vykdytų neskelbiamų derybų būdu, vadovaudamasi 71 straipsnio 1 dalies 2 punkto </w:t>
      </w:r>
      <w:r w:rsidRPr="007926BF">
        <w:rPr>
          <w:rFonts w:ascii="Times New Roman" w:eastAsia="Calibri" w:hAnsi="Times New Roman" w:cs="Times New Roman"/>
          <w:sz w:val="24"/>
          <w:szCs w:val="24"/>
        </w:rPr>
        <w:t>(c) papunkčio</w:t>
      </w:r>
      <w:r w:rsidRPr="007926BF">
        <w:rPr>
          <w:rFonts w:ascii="Times New Roman" w:eastAsia="Times New Roman" w:hAnsi="Times New Roman" w:cs="Times New Roman"/>
          <w:sz w:val="24"/>
          <w:szCs w:val="24"/>
        </w:rPr>
        <w:t xml:space="preserve"> nuostatomis, į derybas kviečiant </w:t>
      </w:r>
      <w:r w:rsidR="0081240E" w:rsidRPr="0081240E"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 w:rsidR="0081240E" w:rsidRPr="0081240E">
        <w:rPr>
          <w:rFonts w:ascii="Times New Roman" w:eastAsia="Times New Roman" w:hAnsi="Times New Roman" w:cs="Times New Roman"/>
          <w:sz w:val="24"/>
          <w:szCs w:val="24"/>
        </w:rPr>
        <w:t>Doclogix</w:t>
      </w:r>
      <w:proofErr w:type="spellEnd"/>
      <w:r w:rsidR="0081240E" w:rsidRPr="0081240E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7926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3191" w:rsidRPr="0081240E" w:rsidRDefault="0081240E" w:rsidP="008124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F03191" w:rsidRPr="0081240E">
        <w:rPr>
          <w:rFonts w:ascii="Times New Roman" w:eastAsia="Times New Roman" w:hAnsi="Times New Roman" w:cs="Times New Roman"/>
          <w:sz w:val="24"/>
          <w:szCs w:val="24"/>
        </w:rPr>
        <w:t>Atkreipiame Jūsų dėmesį į tai, kad vadovaujantis Įstatymo 17 straipsnio nuostatomis, Perkančioji organizacija vykdydama pirkimą turi siekti, kad prekėms, paslaugoms ar darbams įsigyti skirtos lėšos būtų naudojamos racionaliai.</w:t>
      </w:r>
    </w:p>
    <w:p w:rsidR="00F03191" w:rsidRDefault="00F03191" w:rsidP="00F0319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40DB5" w:rsidRDefault="00640DB5" w:rsidP="00F0319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40DB5" w:rsidRDefault="00640DB5" w:rsidP="00F0319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40DB5" w:rsidRDefault="00640DB5" w:rsidP="00F0319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E3DF8" w:rsidRDefault="007E3DF8" w:rsidP="00F0319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E3DF8" w:rsidRDefault="007E3DF8" w:rsidP="00F0319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35860" w:rsidRDefault="00035860" w:rsidP="00F0319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35860" w:rsidRDefault="00035860" w:rsidP="00F0319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4393"/>
      </w:tblGrid>
      <w:tr w:rsidR="00035860" w:rsidRPr="00381DD6" w:rsidTr="0075192C">
        <w:tc>
          <w:tcPr>
            <w:tcW w:w="5245" w:type="dxa"/>
            <w:hideMark/>
          </w:tcPr>
          <w:p w:rsidR="00035860" w:rsidRPr="00381DD6" w:rsidRDefault="00035860" w:rsidP="0075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DD6">
              <w:rPr>
                <w:rFonts w:ascii="Times New Roman" w:eastAsia="Times New Roman" w:hAnsi="Times New Roman" w:cs="Times New Roman"/>
                <w:sz w:val="24"/>
                <w:szCs w:val="24"/>
              </w:rPr>
              <w:t>Prevencijos ir pirkimo sutarčių priežiūros skyriaus</w:t>
            </w:r>
          </w:p>
          <w:p w:rsidR="00035860" w:rsidRPr="00381DD6" w:rsidRDefault="00035860" w:rsidP="0075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vyriausioji specialistė                                                                         </w:t>
            </w:r>
          </w:p>
        </w:tc>
        <w:tc>
          <w:tcPr>
            <w:tcW w:w="4393" w:type="dxa"/>
            <w:hideMark/>
          </w:tcPr>
          <w:p w:rsidR="00035860" w:rsidRPr="00381DD6" w:rsidRDefault="00035860" w:rsidP="0075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:rsidR="00035860" w:rsidRPr="00381DD6" w:rsidRDefault="00035860" w:rsidP="00751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Laimutė Tautvaišienė</w:t>
            </w:r>
          </w:p>
        </w:tc>
      </w:tr>
    </w:tbl>
    <w:p w:rsidR="00035860" w:rsidRDefault="00035860" w:rsidP="0003586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35860" w:rsidRDefault="00035860" w:rsidP="0003586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35860" w:rsidRDefault="00035860" w:rsidP="0003586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35860" w:rsidRDefault="00035860" w:rsidP="0003586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35860" w:rsidRDefault="00035860" w:rsidP="0003586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35860" w:rsidRDefault="00035860" w:rsidP="0003586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35860" w:rsidRDefault="00035860" w:rsidP="0003586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35860" w:rsidRDefault="00035860" w:rsidP="0003586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35860" w:rsidRDefault="00035860" w:rsidP="0003586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1240E" w:rsidRDefault="0081240E" w:rsidP="0003586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1240E" w:rsidRDefault="0081240E" w:rsidP="0003586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1240E" w:rsidRDefault="0081240E" w:rsidP="0003586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1240E" w:rsidRDefault="0081240E" w:rsidP="0003586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1240E" w:rsidRDefault="0081240E" w:rsidP="0003586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1240E" w:rsidRDefault="0081240E" w:rsidP="0003586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1240E" w:rsidRDefault="0081240E" w:rsidP="0003586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1240E" w:rsidRDefault="0081240E" w:rsidP="0003586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1240E" w:rsidRDefault="0081240E" w:rsidP="0003586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1240E" w:rsidRDefault="0081240E" w:rsidP="0003586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423276" w:rsidRDefault="00423276" w:rsidP="0003586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1240E" w:rsidRDefault="0081240E" w:rsidP="0003586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1240E" w:rsidRDefault="0081240E" w:rsidP="0003586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1240E" w:rsidRDefault="0081240E" w:rsidP="0003586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1240E" w:rsidRDefault="0081240E" w:rsidP="0003586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81240E" w:rsidRDefault="0081240E" w:rsidP="00035860">
      <w:pPr>
        <w:spacing w:after="0" w:line="360" w:lineRule="auto"/>
        <w:ind w:right="142"/>
        <w:jc w:val="both"/>
        <w:rPr>
          <w:rFonts w:ascii="Times New Roman" w:eastAsia="Times New Roman" w:hAnsi="Times New Roman" w:cs="Times New Roman"/>
        </w:rPr>
      </w:pPr>
    </w:p>
    <w:p w:rsidR="00035860" w:rsidRPr="00926C4F" w:rsidRDefault="00035860" w:rsidP="00035860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26C4F">
        <w:rPr>
          <w:rFonts w:ascii="Times New Roman" w:eastAsia="Times New Roman" w:hAnsi="Times New Roman" w:cs="Times New Roman"/>
          <w:sz w:val="24"/>
          <w:szCs w:val="24"/>
        </w:rPr>
        <w:t>. Tautvaišienė, tel. (8 5) 219 7036, faks. (8 5) 213 6213, el. p. Laimute.Tautvaisiene@vpt.lt</w:t>
      </w:r>
    </w:p>
    <w:sectPr w:rsidR="00035860" w:rsidRPr="00926C4F" w:rsidSect="00BF0718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8" w:right="562" w:bottom="562" w:left="1699" w:header="562" w:footer="46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5E8" w:rsidRDefault="00E225E8">
      <w:pPr>
        <w:spacing w:after="0" w:line="240" w:lineRule="auto"/>
      </w:pPr>
      <w:r>
        <w:separator/>
      </w:r>
    </w:p>
  </w:endnote>
  <w:endnote w:type="continuationSeparator" w:id="0">
    <w:p w:rsidR="00E225E8" w:rsidRDefault="00E22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E225E8">
    <w:pPr>
      <w:pStyle w:val="Porat"/>
    </w:pPr>
  </w:p>
  <w:p w:rsidR="00B23540" w:rsidRDefault="00E225E8">
    <w:pPr>
      <w:pStyle w:val="Porat"/>
    </w:pPr>
  </w:p>
  <w:p w:rsidR="00B23540" w:rsidRDefault="00E225E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61" w:rsidRPr="001E27BC" w:rsidRDefault="00022993" w:rsidP="00737361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noProof/>
        <w:sz w:val="20"/>
        <w:szCs w:val="20"/>
        <w:lang w:eastAsia="lt-LT"/>
      </w:rPr>
      <w:drawing>
        <wp:anchor distT="0" distB="0" distL="114300" distR="114300" simplePos="0" relativeHeight="251659264" behindDoc="0" locked="0" layoutInCell="1" allowOverlap="1" wp14:anchorId="19E58463" wp14:editId="151499FE">
          <wp:simplePos x="0" y="0"/>
          <wp:positionH relativeFrom="column">
            <wp:posOffset>4685030</wp:posOffset>
          </wp:positionH>
          <wp:positionV relativeFrom="paragraph">
            <wp:posOffset>-302260</wp:posOffset>
          </wp:positionV>
          <wp:extent cx="1440180" cy="1071245"/>
          <wp:effectExtent l="0" t="0" r="0" b="0"/>
          <wp:wrapNone/>
          <wp:docPr id="1" name="Paveikslėlis 1" descr="C:\Users\AAndrulioniene\AppData\Local\Microsoft\Windows\INetCache\Content.Word\atkurtailietuvai100-horizontalus-logo-tamsus-rg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ndrulioniene\AppData\Local\Microsoft\Windows\INetCache\Content.Word\atkurtailietuvai100-horizontalus-logo-tamsus-rg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7BC">
      <w:rPr>
        <w:rFonts w:ascii="Times New Roman" w:eastAsia="Times New Roman" w:hAnsi="Times New Roman" w:cs="Times New Roman"/>
        <w:sz w:val="18"/>
        <w:szCs w:val="20"/>
      </w:rPr>
      <w:t>Biudžetinė įstaiga                                 Tel.  (8 5) 219 7001            Duomenys kaupiami ir saugomi </w:t>
    </w:r>
  </w:p>
  <w:p w:rsidR="00737361" w:rsidRPr="001E27BC" w:rsidRDefault="00022993" w:rsidP="00737361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Kareivių g. 1, LT-08221 Vilnius          Faks. (8 5) 213 6213          Juridinių asmenų registre </w:t>
    </w:r>
  </w:p>
  <w:p w:rsidR="00737361" w:rsidRPr="001E27BC" w:rsidRDefault="00022993" w:rsidP="00737361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 xml:space="preserve">http://www.vpt.lt                                 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El.p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. </w:t>
    </w:r>
    <w:proofErr w:type="spellStart"/>
    <w:r w:rsidRPr="001E27BC">
      <w:rPr>
        <w:rFonts w:ascii="Times New Roman" w:eastAsia="Times New Roman" w:hAnsi="Times New Roman" w:cs="Times New Roman"/>
        <w:sz w:val="18"/>
        <w:szCs w:val="20"/>
      </w:rPr>
      <w:t>info@vpt.lt</w:t>
    </w:r>
    <w:proofErr w:type="spellEnd"/>
    <w:r w:rsidRPr="001E27BC">
      <w:rPr>
        <w:rFonts w:ascii="Times New Roman" w:eastAsia="Times New Roman" w:hAnsi="Times New Roman" w:cs="Times New Roman"/>
        <w:sz w:val="18"/>
        <w:szCs w:val="20"/>
      </w:rPr>
      <w:t xml:space="preserve">                 Kodas 188656261</w:t>
    </w:r>
  </w:p>
  <w:p w:rsidR="00737361" w:rsidRPr="001E27BC" w:rsidRDefault="00E225E8" w:rsidP="00737361">
    <w:pPr>
      <w:pStyle w:val="Porat"/>
    </w:pPr>
  </w:p>
  <w:p w:rsidR="00B23540" w:rsidRPr="00737361" w:rsidRDefault="00E225E8" w:rsidP="0073736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5E8" w:rsidRDefault="00E225E8">
      <w:pPr>
        <w:spacing w:after="0" w:line="240" w:lineRule="auto"/>
      </w:pPr>
      <w:r>
        <w:separator/>
      </w:r>
    </w:p>
  </w:footnote>
  <w:footnote w:type="continuationSeparator" w:id="0">
    <w:p w:rsidR="00E225E8" w:rsidRDefault="00E22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Default="0002299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540" w:rsidRDefault="00E225E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40" w:rsidRPr="00853CEE" w:rsidRDefault="00022993">
    <w:pPr>
      <w:pStyle w:val="Antrats"/>
      <w:framePr w:wrap="around" w:vAnchor="text" w:hAnchor="margin" w:xAlign="center" w:y="1"/>
      <w:rPr>
        <w:rStyle w:val="Puslapionumeris"/>
        <w:rFonts w:ascii="Times New Roman" w:hAnsi="Times New Roman" w:cs="Times New Roman"/>
      </w:rPr>
    </w:pPr>
    <w:r w:rsidRPr="00853CEE">
      <w:rPr>
        <w:rStyle w:val="Puslapionumeris"/>
        <w:rFonts w:ascii="Times New Roman" w:hAnsi="Times New Roman" w:cs="Times New Roman"/>
      </w:rPr>
      <w:fldChar w:fldCharType="begin"/>
    </w:r>
    <w:r w:rsidRPr="00853CEE">
      <w:rPr>
        <w:rStyle w:val="Puslapionumeris"/>
        <w:rFonts w:ascii="Times New Roman" w:hAnsi="Times New Roman" w:cs="Times New Roman"/>
      </w:rPr>
      <w:instrText xml:space="preserve">PAGE  </w:instrText>
    </w:r>
    <w:r w:rsidRPr="00853CEE">
      <w:rPr>
        <w:rStyle w:val="Puslapionumeris"/>
        <w:rFonts w:ascii="Times New Roman" w:hAnsi="Times New Roman" w:cs="Times New Roman"/>
      </w:rPr>
      <w:fldChar w:fldCharType="separate"/>
    </w:r>
    <w:r w:rsidR="00B7383C">
      <w:rPr>
        <w:rStyle w:val="Puslapionumeris"/>
        <w:rFonts w:ascii="Times New Roman" w:hAnsi="Times New Roman" w:cs="Times New Roman"/>
        <w:noProof/>
      </w:rPr>
      <w:t>2</w:t>
    </w:r>
    <w:r w:rsidRPr="00853CEE">
      <w:rPr>
        <w:rStyle w:val="Puslapionumeris"/>
        <w:rFonts w:ascii="Times New Roman" w:hAnsi="Times New Roman" w:cs="Times New Roman"/>
      </w:rPr>
      <w:fldChar w:fldCharType="end"/>
    </w:r>
  </w:p>
  <w:p w:rsidR="00B23540" w:rsidRPr="00853CEE" w:rsidRDefault="00E225E8">
    <w:pPr>
      <w:pStyle w:val="Antrats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78"/>
    <w:rsid w:val="00005EB1"/>
    <w:rsid w:val="00022993"/>
    <w:rsid w:val="00035860"/>
    <w:rsid w:val="00062579"/>
    <w:rsid w:val="0006257F"/>
    <w:rsid w:val="0007788C"/>
    <w:rsid w:val="00095B58"/>
    <w:rsid w:val="000B0A16"/>
    <w:rsid w:val="000B14EE"/>
    <w:rsid w:val="000B7A13"/>
    <w:rsid w:val="000D794A"/>
    <w:rsid w:val="000E3D9A"/>
    <w:rsid w:val="000F7AD1"/>
    <w:rsid w:val="00105EC1"/>
    <w:rsid w:val="00190FD7"/>
    <w:rsid w:val="001B47FF"/>
    <w:rsid w:val="00214848"/>
    <w:rsid w:val="002242E2"/>
    <w:rsid w:val="002525CB"/>
    <w:rsid w:val="00254CBA"/>
    <w:rsid w:val="002803E4"/>
    <w:rsid w:val="002859A6"/>
    <w:rsid w:val="002D2553"/>
    <w:rsid w:val="00310010"/>
    <w:rsid w:val="00372C51"/>
    <w:rsid w:val="00382EBD"/>
    <w:rsid w:val="00394FB8"/>
    <w:rsid w:val="003A6A53"/>
    <w:rsid w:val="003B14CA"/>
    <w:rsid w:val="003E6B10"/>
    <w:rsid w:val="003F592C"/>
    <w:rsid w:val="00410D01"/>
    <w:rsid w:val="00414BEA"/>
    <w:rsid w:val="00423276"/>
    <w:rsid w:val="0044098C"/>
    <w:rsid w:val="0044506D"/>
    <w:rsid w:val="00465EB0"/>
    <w:rsid w:val="004735BE"/>
    <w:rsid w:val="00494AA1"/>
    <w:rsid w:val="004E157B"/>
    <w:rsid w:val="005138D3"/>
    <w:rsid w:val="005149C1"/>
    <w:rsid w:val="00526577"/>
    <w:rsid w:val="00531D65"/>
    <w:rsid w:val="0054241C"/>
    <w:rsid w:val="00565D5F"/>
    <w:rsid w:val="00597483"/>
    <w:rsid w:val="005A0FB5"/>
    <w:rsid w:val="006049AA"/>
    <w:rsid w:val="0062146B"/>
    <w:rsid w:val="00624295"/>
    <w:rsid w:val="00631E12"/>
    <w:rsid w:val="00640DB5"/>
    <w:rsid w:val="00651789"/>
    <w:rsid w:val="00675B17"/>
    <w:rsid w:val="006A3B16"/>
    <w:rsid w:val="006B433D"/>
    <w:rsid w:val="007926BF"/>
    <w:rsid w:val="007A02FC"/>
    <w:rsid w:val="007A0362"/>
    <w:rsid w:val="007C6891"/>
    <w:rsid w:val="007E3DF8"/>
    <w:rsid w:val="007E499E"/>
    <w:rsid w:val="008118A2"/>
    <w:rsid w:val="0081240E"/>
    <w:rsid w:val="0083360E"/>
    <w:rsid w:val="00844C9E"/>
    <w:rsid w:val="00850FBB"/>
    <w:rsid w:val="00852767"/>
    <w:rsid w:val="00853CEE"/>
    <w:rsid w:val="008673C0"/>
    <w:rsid w:val="00884C15"/>
    <w:rsid w:val="00934DFB"/>
    <w:rsid w:val="00937F06"/>
    <w:rsid w:val="00942D59"/>
    <w:rsid w:val="00977FDA"/>
    <w:rsid w:val="009B1E78"/>
    <w:rsid w:val="00A45680"/>
    <w:rsid w:val="00A525DF"/>
    <w:rsid w:val="00AD1E17"/>
    <w:rsid w:val="00B722EC"/>
    <w:rsid w:val="00B7383C"/>
    <w:rsid w:val="00B73BFC"/>
    <w:rsid w:val="00B8005D"/>
    <w:rsid w:val="00BE5A9E"/>
    <w:rsid w:val="00BF0718"/>
    <w:rsid w:val="00C20DFD"/>
    <w:rsid w:val="00C2361C"/>
    <w:rsid w:val="00C26FCE"/>
    <w:rsid w:val="00CC6379"/>
    <w:rsid w:val="00D26A96"/>
    <w:rsid w:val="00D45E2C"/>
    <w:rsid w:val="00D808A2"/>
    <w:rsid w:val="00DA2122"/>
    <w:rsid w:val="00DE3F93"/>
    <w:rsid w:val="00E225E8"/>
    <w:rsid w:val="00E77D80"/>
    <w:rsid w:val="00EA4F7C"/>
    <w:rsid w:val="00EB30FE"/>
    <w:rsid w:val="00EC5587"/>
    <w:rsid w:val="00EE6ED8"/>
    <w:rsid w:val="00EF1631"/>
    <w:rsid w:val="00F03191"/>
    <w:rsid w:val="00F03507"/>
    <w:rsid w:val="00F053B4"/>
    <w:rsid w:val="00F06003"/>
    <w:rsid w:val="00F07BD9"/>
    <w:rsid w:val="00F2305C"/>
    <w:rsid w:val="00F41295"/>
    <w:rsid w:val="00F85A6B"/>
    <w:rsid w:val="00FA62FA"/>
    <w:rsid w:val="00FC260F"/>
    <w:rsid w:val="00FD2520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B1E7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B1E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1E78"/>
  </w:style>
  <w:style w:type="paragraph" w:styleId="Porat">
    <w:name w:val="footer"/>
    <w:basedOn w:val="prastasis"/>
    <w:link w:val="PoratDiagrama"/>
    <w:uiPriority w:val="99"/>
    <w:unhideWhenUsed/>
    <w:rsid w:val="009B1E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B1E78"/>
  </w:style>
  <w:style w:type="character" w:styleId="Puslapionumeris">
    <w:name w:val="page number"/>
    <w:basedOn w:val="Numatytasispastraiposriftas"/>
    <w:rsid w:val="009B1E78"/>
  </w:style>
  <w:style w:type="character" w:styleId="Hipersaitas">
    <w:name w:val="Hyperlink"/>
    <w:basedOn w:val="Numatytasispastraiposriftas"/>
    <w:uiPriority w:val="99"/>
    <w:unhideWhenUsed/>
    <w:rsid w:val="00977F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B1E7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B1E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1E78"/>
  </w:style>
  <w:style w:type="paragraph" w:styleId="Porat">
    <w:name w:val="footer"/>
    <w:basedOn w:val="prastasis"/>
    <w:link w:val="PoratDiagrama"/>
    <w:uiPriority w:val="99"/>
    <w:unhideWhenUsed/>
    <w:rsid w:val="009B1E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B1E78"/>
  </w:style>
  <w:style w:type="character" w:styleId="Puslapionumeris">
    <w:name w:val="page number"/>
    <w:basedOn w:val="Numatytasispastraiposriftas"/>
    <w:rsid w:val="009B1E78"/>
  </w:style>
  <w:style w:type="character" w:styleId="Hipersaitas">
    <w:name w:val="Hyperlink"/>
    <w:basedOn w:val="Numatytasispastraiposriftas"/>
    <w:uiPriority w:val="99"/>
    <w:unhideWhenUsed/>
    <w:rsid w:val="00977F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3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2628</Words>
  <Characters>1499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Laimutė Tautvaišienė</cp:lastModifiedBy>
  <cp:revision>11</cp:revision>
  <cp:lastPrinted>2017-09-20T10:23:00Z</cp:lastPrinted>
  <dcterms:created xsi:type="dcterms:W3CDTF">2017-08-07T11:40:00Z</dcterms:created>
  <dcterms:modified xsi:type="dcterms:W3CDTF">2017-09-20T10:24:00Z</dcterms:modified>
</cp:coreProperties>
</file>