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53572C" w:rsidRPr="006C6718" w:rsidRDefault="0053572C" w:rsidP="0053572C">
      <w:pPr>
        <w:jc w:val="center"/>
        <w:rPr>
          <w:sz w:val="24"/>
          <w:szCs w:val="24"/>
        </w:rPr>
      </w:pPr>
      <w:r w:rsidRPr="006C6718">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555483644" r:id="rId8"/>
        </w:object>
      </w:r>
    </w:p>
    <w:p w:rsidR="0053572C" w:rsidRPr="006C6718" w:rsidRDefault="0053572C" w:rsidP="0053572C">
      <w:pPr>
        <w:rPr>
          <w:sz w:val="24"/>
          <w:szCs w:val="24"/>
        </w:rPr>
      </w:pPr>
    </w:p>
    <w:p w:rsidR="0053572C" w:rsidRPr="006C6718" w:rsidRDefault="0053572C" w:rsidP="0053572C">
      <w:pPr>
        <w:pStyle w:val="Antrat1"/>
        <w:tabs>
          <w:tab w:val="left" w:pos="2625"/>
          <w:tab w:val="center" w:pos="4819"/>
        </w:tabs>
        <w:rPr>
          <w:sz w:val="24"/>
          <w:szCs w:val="24"/>
        </w:rPr>
      </w:pPr>
      <w:r w:rsidRPr="006C6718">
        <w:rPr>
          <w:sz w:val="24"/>
          <w:szCs w:val="24"/>
        </w:rPr>
        <w:tab/>
      </w:r>
      <w:r w:rsidRPr="006C6718">
        <w:rPr>
          <w:sz w:val="24"/>
          <w:szCs w:val="24"/>
        </w:rPr>
        <w:tab/>
        <w:t>VIEŠŲJŲ PIRKIMŲ TARNYBA</w:t>
      </w:r>
    </w:p>
    <w:p w:rsidR="0053572C" w:rsidRPr="006C6718" w:rsidRDefault="0053572C" w:rsidP="0053572C">
      <w:pPr>
        <w:jc w:val="center"/>
        <w:rPr>
          <w:b/>
          <w:sz w:val="24"/>
          <w:szCs w:val="24"/>
        </w:rPr>
      </w:pPr>
      <w:r w:rsidRPr="006C6718">
        <w:rPr>
          <w:b/>
          <w:sz w:val="24"/>
          <w:szCs w:val="24"/>
        </w:rPr>
        <w:t>PREVENCIJOS IR PIRKIMO SUTARČIŲ PRIEŽIŪROS SKYRIUS</w:t>
      </w:r>
    </w:p>
    <w:p w:rsidR="0053572C" w:rsidRPr="006C6718" w:rsidRDefault="0053572C" w:rsidP="0053572C">
      <w:pPr>
        <w:ind w:left="-284" w:firstLine="284"/>
        <w:jc w:val="center"/>
        <w:rPr>
          <w:b/>
          <w:bCs/>
          <w:sz w:val="24"/>
          <w:szCs w:val="24"/>
        </w:rPr>
      </w:pPr>
    </w:p>
    <w:p w:rsidR="0053572C" w:rsidRPr="006C6718" w:rsidRDefault="0053572C" w:rsidP="0053572C">
      <w:pPr>
        <w:ind w:left="-284" w:firstLine="284"/>
        <w:jc w:val="center"/>
        <w:rPr>
          <w:b/>
          <w:bCs/>
          <w:sz w:val="24"/>
          <w:szCs w:val="24"/>
        </w:rPr>
      </w:pPr>
      <w:r w:rsidRPr="006C6718">
        <w:rPr>
          <w:b/>
          <w:bCs/>
          <w:sz w:val="24"/>
          <w:szCs w:val="24"/>
        </w:rPr>
        <w:t>SPRENDIMAS DĖL SUTIKIMO ATLIKTI PIRKIMĄ NESKELBIAMŲ DERYBŲ BŪDU</w:t>
      </w:r>
    </w:p>
    <w:tbl>
      <w:tblPr>
        <w:tblW w:w="6588" w:type="dxa"/>
        <w:tblInd w:w="2799" w:type="dxa"/>
        <w:tblLayout w:type="fixed"/>
        <w:tblLook w:val="0000" w:firstRow="0" w:lastRow="0" w:firstColumn="0" w:lastColumn="0" w:noHBand="0" w:noVBand="0"/>
      </w:tblPr>
      <w:tblGrid>
        <w:gridCol w:w="3594"/>
        <w:gridCol w:w="1182"/>
        <w:gridCol w:w="386"/>
        <w:gridCol w:w="1426"/>
      </w:tblGrid>
      <w:tr w:rsidR="0053572C" w:rsidRPr="006C6718" w:rsidTr="008D2357">
        <w:trPr>
          <w:cantSplit/>
          <w:trHeight w:val="671"/>
        </w:trPr>
        <w:tc>
          <w:tcPr>
            <w:tcW w:w="3594" w:type="dxa"/>
          </w:tcPr>
          <w:p w:rsidR="0053572C" w:rsidRPr="006C6718" w:rsidRDefault="0053572C" w:rsidP="008D2357">
            <w:pPr>
              <w:pStyle w:val="Default"/>
              <w:jc w:val="center"/>
              <w:rPr>
                <w:lang w:val="lt-LT"/>
              </w:rPr>
            </w:pPr>
          </w:p>
          <w:p w:rsidR="0053572C" w:rsidRPr="006C6718" w:rsidRDefault="007749A6" w:rsidP="008D2357">
            <w:pPr>
              <w:pStyle w:val="Default"/>
              <w:jc w:val="center"/>
              <w:rPr>
                <w:lang w:val="lt-LT"/>
              </w:rPr>
            </w:pPr>
            <w:r>
              <w:rPr>
                <w:u w:val="single"/>
                <w:lang w:val="lt-LT"/>
              </w:rPr>
              <w:t>2017-05</w:t>
            </w:r>
            <w:r w:rsidR="0053572C" w:rsidRPr="006C6718">
              <w:rPr>
                <w:u w:val="single"/>
                <w:lang w:val="lt-LT"/>
              </w:rPr>
              <w:t xml:space="preserve">-    </w:t>
            </w:r>
            <w:r w:rsidR="0053572C" w:rsidRPr="006C6718">
              <w:rPr>
                <w:lang w:val="lt-LT"/>
              </w:rPr>
              <w:t>Nr. 4S-______</w:t>
            </w:r>
          </w:p>
          <w:p w:rsidR="0053572C" w:rsidRDefault="0053572C" w:rsidP="008D2357">
            <w:pPr>
              <w:pStyle w:val="Default"/>
              <w:jc w:val="center"/>
              <w:rPr>
                <w:lang w:val="lt-LT"/>
              </w:rPr>
            </w:pPr>
          </w:p>
          <w:p w:rsidR="0053572C" w:rsidRPr="006C6718" w:rsidRDefault="0053572C" w:rsidP="008D2357">
            <w:pPr>
              <w:pStyle w:val="Default"/>
              <w:jc w:val="center"/>
              <w:rPr>
                <w:lang w:val="lt-LT"/>
              </w:rPr>
            </w:pPr>
            <w:r w:rsidRPr="006C6718">
              <w:rPr>
                <w:lang w:val="lt-LT"/>
              </w:rPr>
              <w:t>Vilnius</w:t>
            </w:r>
          </w:p>
          <w:p w:rsidR="0053572C" w:rsidRPr="006C6718" w:rsidRDefault="0053572C" w:rsidP="008D2357">
            <w:pPr>
              <w:jc w:val="center"/>
              <w:rPr>
                <w:sz w:val="24"/>
                <w:szCs w:val="24"/>
              </w:rPr>
            </w:pPr>
          </w:p>
        </w:tc>
        <w:tc>
          <w:tcPr>
            <w:tcW w:w="1182" w:type="dxa"/>
          </w:tcPr>
          <w:p w:rsidR="0053572C" w:rsidRPr="006C6718" w:rsidRDefault="0053572C" w:rsidP="008D2357">
            <w:pPr>
              <w:rPr>
                <w:sz w:val="24"/>
                <w:szCs w:val="24"/>
              </w:rPr>
            </w:pPr>
          </w:p>
        </w:tc>
        <w:tc>
          <w:tcPr>
            <w:tcW w:w="386" w:type="dxa"/>
          </w:tcPr>
          <w:p w:rsidR="0053572C" w:rsidRPr="006C6718" w:rsidRDefault="0053572C" w:rsidP="008D2357">
            <w:pPr>
              <w:rPr>
                <w:sz w:val="24"/>
                <w:szCs w:val="24"/>
              </w:rPr>
            </w:pPr>
          </w:p>
        </w:tc>
        <w:tc>
          <w:tcPr>
            <w:tcW w:w="1426" w:type="dxa"/>
          </w:tcPr>
          <w:p w:rsidR="0053572C" w:rsidRPr="006C6718" w:rsidRDefault="0053572C" w:rsidP="008D2357">
            <w:pPr>
              <w:rPr>
                <w:sz w:val="24"/>
                <w:szCs w:val="24"/>
              </w:rPr>
            </w:pPr>
          </w:p>
        </w:tc>
      </w:tr>
    </w:tbl>
    <w:p w:rsidR="0053572C" w:rsidRPr="006C6718" w:rsidRDefault="0053572C" w:rsidP="0053572C">
      <w:pPr>
        <w:ind w:firstLine="851"/>
        <w:jc w:val="both"/>
        <w:rPr>
          <w:sz w:val="24"/>
          <w:szCs w:val="24"/>
        </w:rPr>
      </w:pPr>
      <w:r w:rsidRPr="006C6718">
        <w:rPr>
          <w:sz w:val="24"/>
          <w:szCs w:val="24"/>
        </w:rPr>
        <w:t>Viešųjų pirkimų tarnyba (toliau – Tarnyba), vadovaudamasi Lietuvos Respublikos viešųjų pirkimų įstatymo (toliau – Įstatymas) 8</w:t>
      </w:r>
      <w:r w:rsidRPr="006C6718">
        <w:rPr>
          <w:sz w:val="24"/>
          <w:szCs w:val="24"/>
          <w:vertAlign w:val="superscript"/>
        </w:rPr>
        <w:t>2</w:t>
      </w:r>
      <w:r w:rsidRPr="006C6718">
        <w:rPr>
          <w:sz w:val="24"/>
          <w:szCs w:val="24"/>
        </w:rPr>
        <w:t xml:space="preserve"> straipsnio 2 dalies 7 punkto nuostatomis, išnagrinėjo Valstybinės ligonių kasos prie Sveikatos apsaugos ministerijos (toliau – Perkančioji organizacija) prašymą ir jį pagrindžiančią informaciją dėl sutikimo </w:t>
      </w:r>
      <w:r w:rsidR="006C1FA4">
        <w:rPr>
          <w:i/>
          <w:sz w:val="24"/>
          <w:szCs w:val="24"/>
        </w:rPr>
        <w:t xml:space="preserve">revizinių klubo, </w:t>
      </w:r>
      <w:r w:rsidRPr="006C6718">
        <w:rPr>
          <w:i/>
          <w:sz w:val="24"/>
          <w:szCs w:val="24"/>
        </w:rPr>
        <w:t xml:space="preserve">kelio </w:t>
      </w:r>
      <w:r w:rsidR="006C1FA4">
        <w:rPr>
          <w:i/>
          <w:sz w:val="24"/>
          <w:szCs w:val="24"/>
        </w:rPr>
        <w:t xml:space="preserve">bei kitų </w:t>
      </w:r>
      <w:r w:rsidRPr="006C6718">
        <w:rPr>
          <w:i/>
          <w:sz w:val="24"/>
          <w:szCs w:val="24"/>
        </w:rPr>
        <w:t>sąnarių endoprotezų</w:t>
      </w:r>
      <w:r w:rsidR="006C1FA4">
        <w:rPr>
          <w:i/>
          <w:sz w:val="24"/>
          <w:szCs w:val="24"/>
        </w:rPr>
        <w:t xml:space="preserve"> </w:t>
      </w:r>
      <w:r w:rsidRPr="006C6718">
        <w:rPr>
          <w:i/>
          <w:sz w:val="24"/>
          <w:szCs w:val="24"/>
        </w:rPr>
        <w:t xml:space="preserve">komponentų </w:t>
      </w:r>
      <w:r w:rsidR="00DF55F9">
        <w:rPr>
          <w:i/>
          <w:sz w:val="24"/>
          <w:szCs w:val="24"/>
        </w:rPr>
        <w:t>ir jų</w:t>
      </w:r>
      <w:r w:rsidRPr="006C6718">
        <w:rPr>
          <w:i/>
          <w:sz w:val="24"/>
          <w:szCs w:val="24"/>
        </w:rPr>
        <w:t xml:space="preserve"> dalių</w:t>
      </w:r>
      <w:r w:rsidR="006C1FA4">
        <w:rPr>
          <w:i/>
          <w:sz w:val="24"/>
          <w:szCs w:val="24"/>
        </w:rPr>
        <w:t xml:space="preserve"> </w:t>
      </w:r>
      <w:r w:rsidR="00DF55F9">
        <w:rPr>
          <w:i/>
          <w:sz w:val="24"/>
          <w:szCs w:val="24"/>
        </w:rPr>
        <w:t>bei papildomų medicinos priemonių, reikalingų revizinėms sąnarių keitimo operacijoms atlikti</w:t>
      </w:r>
      <w:r w:rsidR="00A02C05">
        <w:rPr>
          <w:i/>
          <w:sz w:val="24"/>
          <w:szCs w:val="24"/>
        </w:rPr>
        <w:t>,</w:t>
      </w:r>
      <w:r w:rsidRPr="006C6718">
        <w:rPr>
          <w:i/>
          <w:sz w:val="24"/>
          <w:szCs w:val="24"/>
        </w:rPr>
        <w:t xml:space="preserve"> </w:t>
      </w:r>
      <w:r w:rsidRPr="006C6718">
        <w:rPr>
          <w:sz w:val="24"/>
          <w:szCs w:val="24"/>
        </w:rPr>
        <w:t>viešąjį pirkimą vykdyti neskelbiamų derybų būdu, vadovaujantis Įstatymo 56 straipsnio 1 dalies 3 punkto nuostatomis.</w:t>
      </w:r>
    </w:p>
    <w:p w:rsidR="006C1FA4" w:rsidRDefault="0053572C" w:rsidP="0053572C">
      <w:pPr>
        <w:ind w:firstLine="851"/>
        <w:jc w:val="both"/>
        <w:rPr>
          <w:sz w:val="24"/>
          <w:szCs w:val="24"/>
        </w:rPr>
      </w:pPr>
      <w:r w:rsidRPr="006C6718">
        <w:rPr>
          <w:sz w:val="24"/>
          <w:szCs w:val="24"/>
        </w:rPr>
        <w:t xml:space="preserve">Perkančioji organizacija nurodo, kad per Centrinę perkančiąją organizaciją (toliau - </w:t>
      </w:r>
      <w:r w:rsidR="006C1FA4">
        <w:rPr>
          <w:sz w:val="24"/>
          <w:szCs w:val="24"/>
        </w:rPr>
        <w:t xml:space="preserve">CPO) centralizuotai perka klubo, </w:t>
      </w:r>
      <w:r w:rsidRPr="006C6718">
        <w:rPr>
          <w:sz w:val="24"/>
          <w:szCs w:val="24"/>
        </w:rPr>
        <w:t xml:space="preserve">kelio </w:t>
      </w:r>
      <w:r w:rsidR="006C1FA4">
        <w:rPr>
          <w:sz w:val="24"/>
          <w:szCs w:val="24"/>
        </w:rPr>
        <w:t xml:space="preserve"> bei kitų </w:t>
      </w:r>
      <w:r w:rsidRPr="006C6718">
        <w:rPr>
          <w:sz w:val="24"/>
          <w:szCs w:val="24"/>
        </w:rPr>
        <w:t>sąnarių</w:t>
      </w:r>
      <w:r w:rsidR="006C1FA4">
        <w:rPr>
          <w:sz w:val="24"/>
          <w:szCs w:val="24"/>
        </w:rPr>
        <w:t xml:space="preserve"> (peties, alkūnės, čiurnos)</w:t>
      </w:r>
      <w:r w:rsidRPr="006C6718">
        <w:rPr>
          <w:sz w:val="24"/>
          <w:szCs w:val="24"/>
        </w:rPr>
        <w:t xml:space="preserve"> endoprotezus pirminėms sąnarių keitimo operacijoms atlikti. Lietuvos gydymo įstaigos naudoja šiuos pirminius </w:t>
      </w:r>
      <w:r w:rsidRPr="006C1FA4">
        <w:rPr>
          <w:b/>
          <w:sz w:val="24"/>
          <w:szCs w:val="24"/>
        </w:rPr>
        <w:t>klubo sąnario endoprotezus</w:t>
      </w:r>
      <w:r w:rsidRPr="006C6718">
        <w:rPr>
          <w:sz w:val="24"/>
          <w:szCs w:val="24"/>
        </w:rPr>
        <w:t xml:space="preserve">: </w:t>
      </w:r>
      <w:r w:rsidRPr="006C6718">
        <w:rPr>
          <w:i/>
          <w:sz w:val="24"/>
          <w:szCs w:val="24"/>
          <w:lang w:val="en-IE"/>
        </w:rPr>
        <w:t>Institution</w:t>
      </w:r>
      <w:r w:rsidRPr="006C6718">
        <w:rPr>
          <w:sz w:val="24"/>
          <w:szCs w:val="24"/>
        </w:rPr>
        <w:t xml:space="preserve"> (tiekėjas UAB „Chirurgijos technologijos“), </w:t>
      </w:r>
      <w:r w:rsidRPr="006C6718">
        <w:rPr>
          <w:i/>
          <w:sz w:val="24"/>
          <w:szCs w:val="24"/>
          <w:lang w:val="en-IE"/>
        </w:rPr>
        <w:t>Twinsys</w:t>
      </w:r>
      <w:r w:rsidRPr="006C6718">
        <w:rPr>
          <w:sz w:val="24"/>
          <w:szCs w:val="24"/>
        </w:rPr>
        <w:t xml:space="preserve"> (tiekėjas – UAB „Medicinos projektai“), </w:t>
      </w:r>
      <w:r w:rsidRPr="006C6718">
        <w:rPr>
          <w:i/>
          <w:sz w:val="24"/>
          <w:szCs w:val="24"/>
        </w:rPr>
        <w:t>BiContact</w:t>
      </w:r>
      <w:r w:rsidRPr="006C6718">
        <w:rPr>
          <w:sz w:val="24"/>
          <w:szCs w:val="24"/>
        </w:rPr>
        <w:t xml:space="preserve"> (tiekėjas – UAB „B. Braun</w:t>
      </w:r>
      <w:r w:rsidR="00F65FB0">
        <w:rPr>
          <w:sz w:val="24"/>
          <w:szCs w:val="24"/>
        </w:rPr>
        <w:t xml:space="preserve"> Medical</w:t>
      </w:r>
      <w:r w:rsidRPr="006C6718">
        <w:rPr>
          <w:sz w:val="24"/>
          <w:szCs w:val="24"/>
        </w:rPr>
        <w:t xml:space="preserve">“), </w:t>
      </w:r>
      <w:r w:rsidRPr="006C6718">
        <w:rPr>
          <w:i/>
          <w:sz w:val="24"/>
          <w:szCs w:val="24"/>
        </w:rPr>
        <w:t>Exeter</w:t>
      </w:r>
      <w:r w:rsidRPr="006C6718">
        <w:rPr>
          <w:sz w:val="24"/>
          <w:szCs w:val="24"/>
        </w:rPr>
        <w:t xml:space="preserve"> (tiekėjas – UAB „Limeta“), </w:t>
      </w:r>
      <w:r w:rsidRPr="006C6718">
        <w:rPr>
          <w:i/>
          <w:sz w:val="24"/>
          <w:szCs w:val="24"/>
        </w:rPr>
        <w:t>MS30</w:t>
      </w:r>
      <w:r w:rsidRPr="006C6718">
        <w:rPr>
          <w:sz w:val="24"/>
          <w:szCs w:val="24"/>
        </w:rPr>
        <w:t xml:space="preserve"> (Tiekėjas – UAB „SK Impex Service Center“), </w:t>
      </w:r>
      <w:r w:rsidRPr="006C6718">
        <w:rPr>
          <w:i/>
          <w:sz w:val="24"/>
          <w:szCs w:val="24"/>
        </w:rPr>
        <w:t>Lubinus</w:t>
      </w:r>
      <w:r w:rsidRPr="006C6718">
        <w:rPr>
          <w:sz w:val="24"/>
          <w:szCs w:val="24"/>
        </w:rPr>
        <w:t xml:space="preserve"> (tiekėjas – UAB „Gameda“), </w:t>
      </w:r>
      <w:r w:rsidRPr="006C6718">
        <w:rPr>
          <w:i/>
          <w:sz w:val="24"/>
          <w:szCs w:val="24"/>
        </w:rPr>
        <w:t>CS Plus</w:t>
      </w:r>
      <w:r w:rsidRPr="006C6718">
        <w:rPr>
          <w:sz w:val="24"/>
          <w:szCs w:val="24"/>
        </w:rPr>
        <w:t xml:space="preserve"> (tiekėjas – UAB „Osteca“), </w:t>
      </w:r>
      <w:r w:rsidRPr="006C6718">
        <w:rPr>
          <w:i/>
          <w:sz w:val="24"/>
          <w:szCs w:val="24"/>
        </w:rPr>
        <w:t>Bi-Metric</w:t>
      </w:r>
      <w:r w:rsidR="006C1FA4">
        <w:rPr>
          <w:i/>
          <w:sz w:val="24"/>
          <w:szCs w:val="24"/>
        </w:rPr>
        <w:t>/Taperloc</w:t>
      </w:r>
      <w:r w:rsidRPr="006C6718">
        <w:rPr>
          <w:sz w:val="24"/>
          <w:szCs w:val="24"/>
        </w:rPr>
        <w:t xml:space="preserve"> (tiekėjas – UAB „Biomedika“), </w:t>
      </w:r>
      <w:r w:rsidRPr="006C6718">
        <w:rPr>
          <w:i/>
          <w:sz w:val="24"/>
          <w:szCs w:val="24"/>
        </w:rPr>
        <w:t>Cortina</w:t>
      </w:r>
      <w:r w:rsidRPr="006C6718">
        <w:rPr>
          <w:sz w:val="24"/>
          <w:szCs w:val="24"/>
        </w:rPr>
        <w:t xml:space="preserve"> (tiekėjas – UAB „Baltic Medica“),</w:t>
      </w:r>
      <w:r w:rsidR="006C1FA4">
        <w:rPr>
          <w:sz w:val="24"/>
          <w:szCs w:val="24"/>
        </w:rPr>
        <w:t xml:space="preserve"> </w:t>
      </w:r>
      <w:r w:rsidR="006C1FA4" w:rsidRPr="006C1FA4">
        <w:rPr>
          <w:i/>
          <w:sz w:val="24"/>
          <w:szCs w:val="24"/>
        </w:rPr>
        <w:t>Corail</w:t>
      </w:r>
      <w:r w:rsidR="006C1FA4">
        <w:rPr>
          <w:sz w:val="24"/>
          <w:szCs w:val="24"/>
        </w:rPr>
        <w:t xml:space="preserve"> (tiekėjas – UAB „Johnson</w:t>
      </w:r>
      <w:r w:rsidR="006C1FA4">
        <w:rPr>
          <w:sz w:val="24"/>
          <w:szCs w:val="24"/>
          <w:lang w:val="en-US"/>
        </w:rPr>
        <w:t xml:space="preserve"> &amp;</w:t>
      </w:r>
      <w:r w:rsidR="006C1FA4">
        <w:rPr>
          <w:sz w:val="24"/>
          <w:szCs w:val="24"/>
        </w:rPr>
        <w:t xml:space="preserve"> Johnson“); </w:t>
      </w:r>
      <w:r w:rsidR="006C1FA4" w:rsidRPr="006C1FA4">
        <w:rPr>
          <w:b/>
          <w:sz w:val="24"/>
          <w:szCs w:val="24"/>
        </w:rPr>
        <w:t>kelio sąnario pirminius endoprotezus</w:t>
      </w:r>
      <w:r w:rsidR="006C1FA4">
        <w:rPr>
          <w:sz w:val="24"/>
          <w:szCs w:val="24"/>
        </w:rPr>
        <w:t xml:space="preserve">: </w:t>
      </w:r>
      <w:r w:rsidR="006C1FA4" w:rsidRPr="006C1FA4">
        <w:rPr>
          <w:i/>
          <w:sz w:val="24"/>
          <w:szCs w:val="24"/>
        </w:rPr>
        <w:t>PFC Sigma</w:t>
      </w:r>
      <w:r w:rsidR="006C1FA4">
        <w:rPr>
          <w:sz w:val="24"/>
          <w:szCs w:val="24"/>
        </w:rPr>
        <w:t xml:space="preserve"> (tiekėjas – UAB „Johnson</w:t>
      </w:r>
      <w:r w:rsidR="006C1FA4">
        <w:rPr>
          <w:sz w:val="24"/>
          <w:szCs w:val="24"/>
          <w:lang w:val="en-US"/>
        </w:rPr>
        <w:t xml:space="preserve"> &amp;</w:t>
      </w:r>
      <w:r w:rsidR="006C1FA4">
        <w:rPr>
          <w:sz w:val="24"/>
          <w:szCs w:val="24"/>
        </w:rPr>
        <w:t xml:space="preserve"> Johnson“), </w:t>
      </w:r>
      <w:r w:rsidR="006C1FA4" w:rsidRPr="006C1FA4">
        <w:rPr>
          <w:i/>
          <w:sz w:val="24"/>
          <w:szCs w:val="24"/>
        </w:rPr>
        <w:t>Vanguard</w:t>
      </w:r>
      <w:r w:rsidR="006C1FA4">
        <w:rPr>
          <w:sz w:val="24"/>
          <w:szCs w:val="24"/>
        </w:rPr>
        <w:t xml:space="preserve"> (tiekėjas – UAB „Biomedika“), </w:t>
      </w:r>
      <w:r w:rsidR="006C1FA4" w:rsidRPr="006C1FA4">
        <w:rPr>
          <w:i/>
          <w:sz w:val="24"/>
          <w:szCs w:val="24"/>
        </w:rPr>
        <w:t>Scorpio</w:t>
      </w:r>
      <w:r w:rsidR="006C1FA4">
        <w:rPr>
          <w:sz w:val="24"/>
          <w:szCs w:val="24"/>
        </w:rPr>
        <w:t xml:space="preserve"> (tiekėjas – UAB „Limeta“), </w:t>
      </w:r>
      <w:r w:rsidR="006C1FA4" w:rsidRPr="00453E7C">
        <w:rPr>
          <w:i/>
          <w:sz w:val="24"/>
          <w:szCs w:val="24"/>
        </w:rPr>
        <w:t>NexGen</w:t>
      </w:r>
      <w:r w:rsidR="006C1FA4">
        <w:rPr>
          <w:sz w:val="24"/>
          <w:szCs w:val="24"/>
        </w:rPr>
        <w:t xml:space="preserve"> (tiekėjas – UAB „SK Impex Service Center“), New Wave (tiekėjas </w:t>
      </w:r>
      <w:r w:rsidR="006C1FA4" w:rsidRPr="006C6718">
        <w:rPr>
          <w:sz w:val="24"/>
          <w:szCs w:val="24"/>
        </w:rPr>
        <w:t xml:space="preserve">– UAB „Chirurgijos technologijos“), </w:t>
      </w:r>
      <w:r w:rsidR="006C1FA4" w:rsidRPr="006C6718">
        <w:rPr>
          <w:i/>
          <w:sz w:val="24"/>
          <w:szCs w:val="24"/>
        </w:rPr>
        <w:t xml:space="preserve">Genesis II </w:t>
      </w:r>
      <w:r w:rsidR="006C1FA4" w:rsidRPr="006C6718">
        <w:rPr>
          <w:sz w:val="24"/>
          <w:szCs w:val="24"/>
        </w:rPr>
        <w:t xml:space="preserve">(tiekėjas – UAB „Osteca“), </w:t>
      </w:r>
      <w:r w:rsidR="006C1FA4" w:rsidRPr="006C6718">
        <w:rPr>
          <w:i/>
          <w:sz w:val="24"/>
          <w:szCs w:val="24"/>
        </w:rPr>
        <w:t>Gemini</w:t>
      </w:r>
      <w:r w:rsidR="006C1FA4" w:rsidRPr="006C6718">
        <w:rPr>
          <w:sz w:val="24"/>
          <w:szCs w:val="24"/>
        </w:rPr>
        <w:t xml:space="preserve"> (tiekėjas – UAB „Gameda“), </w:t>
      </w:r>
      <w:r w:rsidR="006C1FA4" w:rsidRPr="006C6718">
        <w:rPr>
          <w:i/>
          <w:sz w:val="24"/>
          <w:szCs w:val="24"/>
        </w:rPr>
        <w:t>Balansys</w:t>
      </w:r>
      <w:r w:rsidR="006C1FA4" w:rsidRPr="006C6718">
        <w:rPr>
          <w:sz w:val="24"/>
          <w:szCs w:val="24"/>
        </w:rPr>
        <w:t xml:space="preserve"> (tiekėjas – UAB „Medicinos projektai“) ir </w:t>
      </w:r>
      <w:r w:rsidR="006C1FA4" w:rsidRPr="006C6718">
        <w:rPr>
          <w:i/>
          <w:sz w:val="24"/>
          <w:szCs w:val="24"/>
        </w:rPr>
        <w:t>Columbus</w:t>
      </w:r>
      <w:r w:rsidR="006C1FA4">
        <w:rPr>
          <w:sz w:val="24"/>
          <w:szCs w:val="24"/>
        </w:rPr>
        <w:t xml:space="preserve"> (tiekėjas – UAB „B. Braun“); </w:t>
      </w:r>
      <w:r w:rsidR="006C1FA4" w:rsidRPr="00453E7C">
        <w:rPr>
          <w:b/>
          <w:sz w:val="24"/>
          <w:szCs w:val="24"/>
        </w:rPr>
        <w:t>peties sąnario pirminius endoprotezus</w:t>
      </w:r>
      <w:r w:rsidR="006C1FA4">
        <w:rPr>
          <w:sz w:val="24"/>
          <w:szCs w:val="24"/>
        </w:rPr>
        <w:t xml:space="preserve">: </w:t>
      </w:r>
      <w:r w:rsidR="006C1FA4" w:rsidRPr="006C1FA4">
        <w:rPr>
          <w:i/>
          <w:sz w:val="24"/>
          <w:szCs w:val="24"/>
        </w:rPr>
        <w:t>Global</w:t>
      </w:r>
      <w:r w:rsidR="006C1FA4">
        <w:rPr>
          <w:sz w:val="24"/>
          <w:szCs w:val="24"/>
        </w:rPr>
        <w:t xml:space="preserve"> (tiekėjas – UAB „Johnson</w:t>
      </w:r>
      <w:r w:rsidR="006C1FA4">
        <w:rPr>
          <w:sz w:val="24"/>
          <w:szCs w:val="24"/>
          <w:lang w:val="en-US"/>
        </w:rPr>
        <w:t xml:space="preserve"> &amp;</w:t>
      </w:r>
      <w:r w:rsidR="006C1FA4">
        <w:rPr>
          <w:sz w:val="24"/>
          <w:szCs w:val="24"/>
        </w:rPr>
        <w:t xml:space="preserve"> Johnson“)</w:t>
      </w:r>
      <w:r w:rsidR="00453E7C">
        <w:rPr>
          <w:sz w:val="24"/>
          <w:szCs w:val="24"/>
        </w:rPr>
        <w:t xml:space="preserve">, </w:t>
      </w:r>
      <w:r w:rsidR="00453E7C" w:rsidRPr="00453E7C">
        <w:rPr>
          <w:i/>
          <w:sz w:val="24"/>
          <w:szCs w:val="24"/>
        </w:rPr>
        <w:t>Delta</w:t>
      </w:r>
      <w:r w:rsidR="00453E7C">
        <w:rPr>
          <w:sz w:val="24"/>
          <w:szCs w:val="24"/>
        </w:rPr>
        <w:t xml:space="preserve"> (tiekėjas - UAB „Johnson</w:t>
      </w:r>
      <w:r w:rsidR="00453E7C">
        <w:rPr>
          <w:sz w:val="24"/>
          <w:szCs w:val="24"/>
          <w:lang w:val="en-US"/>
        </w:rPr>
        <w:t xml:space="preserve"> &amp;</w:t>
      </w:r>
      <w:r w:rsidR="00453E7C">
        <w:rPr>
          <w:sz w:val="24"/>
          <w:szCs w:val="24"/>
        </w:rPr>
        <w:t xml:space="preserve"> Johnson“), </w:t>
      </w:r>
      <w:r w:rsidR="00453E7C" w:rsidRPr="00453E7C">
        <w:rPr>
          <w:i/>
          <w:sz w:val="24"/>
          <w:szCs w:val="24"/>
        </w:rPr>
        <w:t>Arrow</w:t>
      </w:r>
      <w:r w:rsidR="00453E7C">
        <w:rPr>
          <w:sz w:val="24"/>
          <w:szCs w:val="24"/>
        </w:rPr>
        <w:t xml:space="preserve"> (tiekėjas – UAB „Gameda“), </w:t>
      </w:r>
      <w:r w:rsidR="00453E7C" w:rsidRPr="00453E7C">
        <w:rPr>
          <w:i/>
          <w:sz w:val="24"/>
          <w:szCs w:val="24"/>
        </w:rPr>
        <w:t>Anatomical shoulder</w:t>
      </w:r>
      <w:r w:rsidR="00453E7C">
        <w:rPr>
          <w:sz w:val="24"/>
          <w:szCs w:val="24"/>
        </w:rPr>
        <w:t xml:space="preserve"> (tiekėjas – UAB „SK Impex Service Center“), </w:t>
      </w:r>
      <w:r w:rsidR="00453E7C" w:rsidRPr="00453E7C">
        <w:rPr>
          <w:i/>
          <w:sz w:val="24"/>
          <w:szCs w:val="24"/>
        </w:rPr>
        <w:t>Ulys</w:t>
      </w:r>
      <w:r w:rsidR="00453E7C">
        <w:rPr>
          <w:sz w:val="24"/>
          <w:szCs w:val="24"/>
        </w:rPr>
        <w:t xml:space="preserve"> (tiekėjas – UAB „Formedics“); </w:t>
      </w:r>
      <w:r w:rsidR="00453E7C" w:rsidRPr="00453E7C">
        <w:rPr>
          <w:b/>
          <w:sz w:val="24"/>
          <w:szCs w:val="24"/>
        </w:rPr>
        <w:t>čiurnos sąnario pirminius endprotezus</w:t>
      </w:r>
      <w:r w:rsidR="00453E7C">
        <w:rPr>
          <w:sz w:val="24"/>
          <w:szCs w:val="24"/>
        </w:rPr>
        <w:t xml:space="preserve">: </w:t>
      </w:r>
      <w:r w:rsidR="00453E7C" w:rsidRPr="00453E7C">
        <w:rPr>
          <w:i/>
          <w:sz w:val="24"/>
          <w:szCs w:val="24"/>
        </w:rPr>
        <w:t>Hintegra</w:t>
      </w:r>
      <w:r w:rsidR="00453E7C">
        <w:rPr>
          <w:sz w:val="24"/>
          <w:szCs w:val="24"/>
        </w:rPr>
        <w:t xml:space="preserve"> (tiekėjas – UAB „Osteca“), </w:t>
      </w:r>
      <w:r w:rsidR="00453E7C" w:rsidRPr="00453E7C">
        <w:rPr>
          <w:i/>
          <w:sz w:val="24"/>
          <w:szCs w:val="24"/>
        </w:rPr>
        <w:t xml:space="preserve">STAR </w:t>
      </w:r>
      <w:r w:rsidR="00453E7C">
        <w:rPr>
          <w:sz w:val="24"/>
          <w:szCs w:val="24"/>
        </w:rPr>
        <w:t xml:space="preserve">(tiekėjas – UAB „Limeta“); </w:t>
      </w:r>
      <w:r w:rsidR="00453E7C" w:rsidRPr="00453E7C">
        <w:rPr>
          <w:b/>
          <w:sz w:val="24"/>
          <w:szCs w:val="24"/>
        </w:rPr>
        <w:t>alkūnės sąnario pirminį endoprotezą</w:t>
      </w:r>
      <w:r w:rsidR="00453E7C">
        <w:rPr>
          <w:sz w:val="24"/>
          <w:szCs w:val="24"/>
        </w:rPr>
        <w:t xml:space="preserve"> – </w:t>
      </w:r>
      <w:r w:rsidR="00453E7C" w:rsidRPr="00453E7C">
        <w:rPr>
          <w:i/>
          <w:sz w:val="24"/>
          <w:szCs w:val="24"/>
        </w:rPr>
        <w:t>Coonrad/Morrey</w:t>
      </w:r>
      <w:r w:rsidR="00453E7C">
        <w:rPr>
          <w:sz w:val="24"/>
          <w:szCs w:val="24"/>
        </w:rPr>
        <w:t xml:space="preserve"> (tiekėjas – UAB „SK Impex Service Center“).</w:t>
      </w:r>
    </w:p>
    <w:p w:rsidR="0053572C" w:rsidRPr="006C6718" w:rsidRDefault="0053572C" w:rsidP="0053572C">
      <w:pPr>
        <w:ind w:firstLine="851"/>
        <w:jc w:val="both"/>
        <w:rPr>
          <w:sz w:val="24"/>
          <w:szCs w:val="24"/>
        </w:rPr>
      </w:pPr>
      <w:r w:rsidRPr="006C6718">
        <w:rPr>
          <w:sz w:val="24"/>
          <w:szCs w:val="24"/>
        </w:rPr>
        <w:t>Revizinių endoprotezavimo operacijų metu dažnai tenka keisti ne visą pirminį endoprotezą, o vieną ar kelis jo komponentus. Dalinės revizijos atveju, lyginant su pilnos revizijos atvejais, operacija būna mažesnė, pacientai mažiau žalojami, nešalinamas nepakenktas kaulas ir / ar pirminio endoprotezo dalis, be to, keisti vieną ar kelis komponentus yra žymiai pigiau, nei keisti visą endoprotezą. Pacientui parenkant revizinius klubo ir kelio sąnarių endoprotezus, vadovaujamasi revizinių klubo ir kelio sąnarių endoprotezavimo algoritmu, kuriame nurodyta, kokiais atvejais keičiamas visas pirminis endoprotezas, o kokiais galėtų būti keičiami tik pirminio endoprotezo atskiri komponentai. Keičiant ir revizuojant vieną ar kelis komponentus, tinka tik to paties gamintojo (tiekėjo) revizinis komponentas. Nupirkus kito gamintojo (tiekėjo) revizin</w:t>
      </w:r>
      <w:r w:rsidR="00FA7063">
        <w:rPr>
          <w:sz w:val="24"/>
          <w:szCs w:val="24"/>
        </w:rPr>
        <w:t xml:space="preserve">ius endoprotezų komponentus, </w:t>
      </w:r>
      <w:r w:rsidRPr="006C6718">
        <w:rPr>
          <w:sz w:val="24"/>
          <w:szCs w:val="24"/>
        </w:rPr>
        <w:t xml:space="preserve">atsirastų specifinis techninis nesuderinamumas ir tektų keisti ne vieną ar kelis komponentus, bet šalinti visą pirminį endoprotezą ir vietoj jo implantuoti visą revizinį endoprotezą. </w:t>
      </w:r>
      <w:r w:rsidRPr="006C6718">
        <w:rPr>
          <w:sz w:val="24"/>
          <w:szCs w:val="24"/>
        </w:rPr>
        <w:lastRenderedPageBreak/>
        <w:t>Tai būtų žymiai brangiau, o pacientai patirtų didesnės apimties operacijas, būtų ilgesnis ir sunkesnis pooperacinis laikotarpis. Reviziniai endoprotezai iš esmės yra skirtingos priemonės nei pirminiai endoprotezai (reviziniai yra didesni, sudėtingesni), tačiau jie yra techniškai suderinami tik su konkretaus gamintojo (tiekėjo) konkrečiu pirminiu endoprotezu.</w:t>
      </w:r>
    </w:p>
    <w:p w:rsidR="00FA7063" w:rsidRDefault="003859A0" w:rsidP="0053572C">
      <w:pPr>
        <w:ind w:firstLine="851"/>
        <w:jc w:val="both"/>
        <w:rPr>
          <w:sz w:val="24"/>
          <w:szCs w:val="24"/>
        </w:rPr>
      </w:pPr>
      <w:r>
        <w:rPr>
          <w:sz w:val="24"/>
          <w:szCs w:val="24"/>
        </w:rPr>
        <w:t>L</w:t>
      </w:r>
      <w:r w:rsidR="00256C1C">
        <w:rPr>
          <w:sz w:val="24"/>
          <w:szCs w:val="24"/>
        </w:rPr>
        <w:t>i</w:t>
      </w:r>
      <w:r>
        <w:rPr>
          <w:sz w:val="24"/>
          <w:szCs w:val="24"/>
        </w:rPr>
        <w:t>e</w:t>
      </w:r>
      <w:r w:rsidR="00256C1C">
        <w:rPr>
          <w:sz w:val="24"/>
          <w:szCs w:val="24"/>
        </w:rPr>
        <w:t xml:space="preserve">tuvos Respublikos sveikatos apsaugos ministro 2014 m. rugpjūčio 28 d. įsakymu Nr. V-910 „Dėl centralizuotai </w:t>
      </w:r>
      <w:r>
        <w:rPr>
          <w:sz w:val="24"/>
          <w:szCs w:val="24"/>
        </w:rPr>
        <w:t>apmokamų vaistinių preparatų ir medicinos pagalbos priemonių sąrašo patvirtinimo“ patvirtintame Centralizuotai apmokamų vaistinių preparatų ir medicinos pagalbos priemonių sąraše įrašyti sąnarių endoprotezai, skirti minimaliai 6000 pacientų gydymui. Kadangi revizinis endoprotezas dažniausiai atliekamas esant neatidėliotinoms, skubioms, ar neplaninėms indikacijoms, t. y. dėl pirminio endoprotezo lūžio, išklibimo ar infekcijos apie impla</w:t>
      </w:r>
      <w:r w:rsidR="001231B2">
        <w:rPr>
          <w:sz w:val="24"/>
          <w:szCs w:val="24"/>
        </w:rPr>
        <w:t>ntuotą endoprotezą, todėl tiksli</w:t>
      </w:r>
      <w:r>
        <w:rPr>
          <w:sz w:val="24"/>
          <w:szCs w:val="24"/>
        </w:rPr>
        <w:t>ai numatyti, kiek šiais metais</w:t>
      </w:r>
      <w:r w:rsidR="001231B2">
        <w:rPr>
          <w:sz w:val="24"/>
          <w:szCs w:val="24"/>
        </w:rPr>
        <w:t xml:space="preserve"> bus atlikta revizinių sąnarių </w:t>
      </w:r>
      <w:r>
        <w:rPr>
          <w:sz w:val="24"/>
          <w:szCs w:val="24"/>
        </w:rPr>
        <w:t>e</w:t>
      </w:r>
      <w:r w:rsidR="001231B2">
        <w:rPr>
          <w:sz w:val="24"/>
          <w:szCs w:val="24"/>
        </w:rPr>
        <w:t>n</w:t>
      </w:r>
      <w:r>
        <w:rPr>
          <w:sz w:val="24"/>
          <w:szCs w:val="24"/>
        </w:rPr>
        <w:t>doprotezavimo operacijų, nėra galimybių.</w:t>
      </w:r>
    </w:p>
    <w:p w:rsidR="0053572C" w:rsidRPr="006C6718" w:rsidRDefault="001231B2" w:rsidP="001231B2">
      <w:pPr>
        <w:ind w:firstLine="851"/>
        <w:jc w:val="both"/>
        <w:rPr>
          <w:sz w:val="24"/>
          <w:szCs w:val="24"/>
        </w:rPr>
      </w:pPr>
      <w:r>
        <w:rPr>
          <w:sz w:val="24"/>
          <w:szCs w:val="24"/>
        </w:rPr>
        <w:t>Atsižvelgdama į išdėstytas aplinkybes,</w:t>
      </w:r>
      <w:r w:rsidR="0053572C" w:rsidRPr="006C6718">
        <w:rPr>
          <w:sz w:val="24"/>
          <w:szCs w:val="24"/>
        </w:rPr>
        <w:t xml:space="preserve"> Perkančiosios organizacijos viešojo pirkimo komisija nutarė kreiptis į Tarnybą su prašymu leisti organizuoti </w:t>
      </w:r>
      <w:r w:rsidR="00DF55F9">
        <w:rPr>
          <w:i/>
          <w:sz w:val="24"/>
          <w:szCs w:val="24"/>
        </w:rPr>
        <w:t xml:space="preserve">revizinių klubo, </w:t>
      </w:r>
      <w:r w:rsidR="00DF55F9" w:rsidRPr="006C6718">
        <w:rPr>
          <w:i/>
          <w:sz w:val="24"/>
          <w:szCs w:val="24"/>
        </w:rPr>
        <w:t xml:space="preserve">kelio </w:t>
      </w:r>
      <w:r w:rsidR="00DF55F9">
        <w:rPr>
          <w:i/>
          <w:sz w:val="24"/>
          <w:szCs w:val="24"/>
        </w:rPr>
        <w:t xml:space="preserve">bei kitų </w:t>
      </w:r>
      <w:r w:rsidR="00DF55F9" w:rsidRPr="006C6718">
        <w:rPr>
          <w:i/>
          <w:sz w:val="24"/>
          <w:szCs w:val="24"/>
        </w:rPr>
        <w:t>sąnarių endoprotezų</w:t>
      </w:r>
      <w:r w:rsidR="00DF55F9">
        <w:rPr>
          <w:i/>
          <w:sz w:val="24"/>
          <w:szCs w:val="24"/>
        </w:rPr>
        <w:t xml:space="preserve"> </w:t>
      </w:r>
      <w:r w:rsidR="00DF55F9" w:rsidRPr="006C6718">
        <w:rPr>
          <w:i/>
          <w:sz w:val="24"/>
          <w:szCs w:val="24"/>
        </w:rPr>
        <w:t xml:space="preserve">komponentų </w:t>
      </w:r>
      <w:r w:rsidR="00DF55F9">
        <w:rPr>
          <w:i/>
          <w:sz w:val="24"/>
          <w:szCs w:val="24"/>
        </w:rPr>
        <w:t>ir jų</w:t>
      </w:r>
      <w:r w:rsidR="00DF55F9" w:rsidRPr="006C6718">
        <w:rPr>
          <w:i/>
          <w:sz w:val="24"/>
          <w:szCs w:val="24"/>
        </w:rPr>
        <w:t xml:space="preserve"> dalių</w:t>
      </w:r>
      <w:r w:rsidR="00DF55F9">
        <w:rPr>
          <w:i/>
          <w:sz w:val="24"/>
          <w:szCs w:val="24"/>
        </w:rPr>
        <w:t xml:space="preserve"> bei papildomų medicinos priemonių, reikalingų revizinėms sąnarių keitimo operacijoms atlikti</w:t>
      </w:r>
      <w:r w:rsidR="00A02C05">
        <w:rPr>
          <w:i/>
          <w:sz w:val="24"/>
          <w:szCs w:val="24"/>
        </w:rPr>
        <w:t>,</w:t>
      </w:r>
      <w:r w:rsidR="00DF55F9" w:rsidRPr="006C6718">
        <w:rPr>
          <w:i/>
          <w:sz w:val="24"/>
          <w:szCs w:val="24"/>
        </w:rPr>
        <w:t xml:space="preserve"> </w:t>
      </w:r>
      <w:r w:rsidR="0053572C" w:rsidRPr="006C6718">
        <w:rPr>
          <w:sz w:val="24"/>
          <w:szCs w:val="24"/>
        </w:rPr>
        <w:t>pirkimą neskelbiamų derybų būdu, vadovaujantis Įstatymo 56 straipsnio 1 dalies 3 punkto nuostatomis, iš tiekėjų, iš kurių yra ar buvo p</w:t>
      </w:r>
      <w:r w:rsidR="004A1ACD">
        <w:rPr>
          <w:sz w:val="24"/>
          <w:szCs w:val="24"/>
        </w:rPr>
        <w:t xml:space="preserve">erkami pirminiai klubo, </w:t>
      </w:r>
      <w:r w:rsidR="0053572C" w:rsidRPr="006C6718">
        <w:rPr>
          <w:sz w:val="24"/>
          <w:szCs w:val="24"/>
        </w:rPr>
        <w:t xml:space="preserve">kelio </w:t>
      </w:r>
      <w:r w:rsidR="004A1ACD">
        <w:rPr>
          <w:sz w:val="24"/>
          <w:szCs w:val="24"/>
        </w:rPr>
        <w:t xml:space="preserve">ir kitų sąnarių </w:t>
      </w:r>
      <w:r w:rsidR="0053572C" w:rsidRPr="006C6718">
        <w:rPr>
          <w:sz w:val="24"/>
          <w:szCs w:val="24"/>
        </w:rPr>
        <w:t>endoprotezai: UAB „Chirurgijos technologijos“, UAB „Medicinos projektai“, UAB „B. Braun</w:t>
      </w:r>
      <w:r w:rsidR="00E67BF4">
        <w:rPr>
          <w:sz w:val="24"/>
          <w:szCs w:val="24"/>
        </w:rPr>
        <w:t xml:space="preserve"> Medical</w:t>
      </w:r>
      <w:r w:rsidR="0053572C" w:rsidRPr="006C6718">
        <w:rPr>
          <w:sz w:val="24"/>
          <w:szCs w:val="24"/>
        </w:rPr>
        <w:t>“, UAB „Limeta“, UAB „SK Impex Service Center“, UAB „Gameda“, UAB „Osteca“, U</w:t>
      </w:r>
      <w:r w:rsidR="004A1ACD">
        <w:rPr>
          <w:sz w:val="24"/>
          <w:szCs w:val="24"/>
        </w:rPr>
        <w:t xml:space="preserve">AB „Biomedika“, UAB „Johnson </w:t>
      </w:r>
      <w:r w:rsidR="004A1ACD">
        <w:rPr>
          <w:sz w:val="24"/>
          <w:szCs w:val="24"/>
          <w:lang w:val="en-US"/>
        </w:rPr>
        <w:t>&amp;</w:t>
      </w:r>
      <w:r w:rsidR="0053572C" w:rsidRPr="006C6718">
        <w:rPr>
          <w:sz w:val="24"/>
          <w:szCs w:val="24"/>
        </w:rPr>
        <w:t xml:space="preserve"> Johnson“, </w:t>
      </w:r>
      <w:r w:rsidR="004A1ACD">
        <w:rPr>
          <w:sz w:val="24"/>
          <w:szCs w:val="24"/>
        </w:rPr>
        <w:t xml:space="preserve">UAB „Formedics“, </w:t>
      </w:r>
      <w:r w:rsidR="0053572C" w:rsidRPr="006C6718">
        <w:rPr>
          <w:sz w:val="24"/>
          <w:szCs w:val="24"/>
        </w:rPr>
        <w:t>UAB „Baltic Medica“</w:t>
      </w:r>
      <w:r w:rsidR="004A1ACD">
        <w:rPr>
          <w:sz w:val="24"/>
          <w:szCs w:val="24"/>
        </w:rPr>
        <w:t xml:space="preserve"> (2017</w:t>
      </w:r>
      <w:r w:rsidR="0053572C" w:rsidRPr="006C6718">
        <w:rPr>
          <w:sz w:val="24"/>
          <w:szCs w:val="24"/>
        </w:rPr>
        <w:t xml:space="preserve"> m. </w:t>
      </w:r>
      <w:r w:rsidR="004A1ACD">
        <w:rPr>
          <w:sz w:val="24"/>
          <w:szCs w:val="24"/>
        </w:rPr>
        <w:t>kovo 23</w:t>
      </w:r>
      <w:r w:rsidR="0053572C" w:rsidRPr="006C6718">
        <w:rPr>
          <w:sz w:val="24"/>
          <w:szCs w:val="24"/>
        </w:rPr>
        <w:t xml:space="preserve"> d. Perkančiosios organizacijos </w:t>
      </w:r>
      <w:r w:rsidR="004A1ACD">
        <w:rPr>
          <w:sz w:val="24"/>
          <w:szCs w:val="24"/>
        </w:rPr>
        <w:t xml:space="preserve">centralizuotai apmokamų vaistinių preparatų ir medicinos pagalbos priemonių </w:t>
      </w:r>
      <w:r w:rsidR="0053572C" w:rsidRPr="006C6718">
        <w:rPr>
          <w:sz w:val="24"/>
          <w:szCs w:val="24"/>
        </w:rPr>
        <w:t>vieš</w:t>
      </w:r>
      <w:r w:rsidR="004A1ACD">
        <w:rPr>
          <w:sz w:val="24"/>
          <w:szCs w:val="24"/>
        </w:rPr>
        <w:t>ųjų</w:t>
      </w:r>
      <w:r w:rsidR="0053572C" w:rsidRPr="006C6718">
        <w:rPr>
          <w:sz w:val="24"/>
          <w:szCs w:val="24"/>
        </w:rPr>
        <w:t xml:space="preserve"> pirkim</w:t>
      </w:r>
      <w:r w:rsidR="004A1ACD">
        <w:rPr>
          <w:sz w:val="24"/>
          <w:szCs w:val="24"/>
        </w:rPr>
        <w:t>ų</w:t>
      </w:r>
      <w:r w:rsidR="0053572C" w:rsidRPr="006C6718">
        <w:rPr>
          <w:sz w:val="24"/>
          <w:szCs w:val="24"/>
        </w:rPr>
        <w:t xml:space="preserve"> komisijos posėdžio protokolas Nr. VP-</w:t>
      </w:r>
      <w:r w:rsidR="004A1ACD">
        <w:rPr>
          <w:sz w:val="24"/>
          <w:szCs w:val="24"/>
        </w:rPr>
        <w:t>97</w:t>
      </w:r>
      <w:r w:rsidR="0053572C" w:rsidRPr="006C6718">
        <w:rPr>
          <w:sz w:val="24"/>
          <w:szCs w:val="24"/>
        </w:rPr>
        <w:t>).</w:t>
      </w:r>
    </w:p>
    <w:p w:rsidR="0053572C" w:rsidRPr="006C6718" w:rsidRDefault="0053572C" w:rsidP="0053572C">
      <w:pPr>
        <w:ind w:firstLine="851"/>
        <w:jc w:val="both"/>
        <w:rPr>
          <w:sz w:val="24"/>
          <w:szCs w:val="24"/>
        </w:rPr>
      </w:pPr>
      <w:r w:rsidRPr="006C6718">
        <w:rPr>
          <w:sz w:val="24"/>
          <w:szCs w:val="24"/>
        </w:rPr>
        <w:t xml:space="preserve">Įstatymo 56 straipsnio 1 dalies 3 punkto nuostatos numato, kad prekės, paslaugos ar darbai neskelbiamų derybų būdu gali būti perkamos, </w:t>
      </w:r>
      <w:r w:rsidRPr="006C6718">
        <w:rPr>
          <w:i/>
          <w:sz w:val="24"/>
          <w:szCs w:val="24"/>
        </w:rPr>
        <w:t xml:space="preserve">jeigu dėl </w:t>
      </w:r>
      <w:r w:rsidRPr="006C6718">
        <w:rPr>
          <w:i/>
          <w:sz w:val="24"/>
          <w:szCs w:val="24"/>
          <w:u w:val="single"/>
        </w:rPr>
        <w:t>techninių</w:t>
      </w:r>
      <w:r w:rsidRPr="006C6718">
        <w:rPr>
          <w:i/>
          <w:sz w:val="24"/>
          <w:szCs w:val="24"/>
        </w:rPr>
        <w:t xml:space="preserve"> ar meninių </w:t>
      </w:r>
      <w:r w:rsidRPr="006C6718">
        <w:rPr>
          <w:i/>
          <w:sz w:val="24"/>
          <w:szCs w:val="24"/>
          <w:u w:val="single"/>
        </w:rPr>
        <w:t>priežasčių</w:t>
      </w:r>
      <w:r w:rsidRPr="006C6718">
        <w:rPr>
          <w:i/>
          <w:sz w:val="24"/>
          <w:szCs w:val="24"/>
        </w:rPr>
        <w:t xml:space="preserve"> arba dėl priežasčių, susijusių su išimtinių teisių apsauga, </w:t>
      </w:r>
      <w:r w:rsidRPr="006C6718">
        <w:rPr>
          <w:i/>
          <w:sz w:val="24"/>
          <w:szCs w:val="24"/>
          <w:u w:val="single"/>
        </w:rPr>
        <w:t>prekes pateikti</w:t>
      </w:r>
      <w:r w:rsidRPr="006C6718">
        <w:rPr>
          <w:i/>
          <w:sz w:val="24"/>
          <w:szCs w:val="24"/>
        </w:rPr>
        <w:t xml:space="preserve">, paslaugas </w:t>
      </w:r>
      <w:r w:rsidR="00DF55F9">
        <w:rPr>
          <w:i/>
          <w:sz w:val="24"/>
          <w:szCs w:val="24"/>
        </w:rPr>
        <w:t>su</w:t>
      </w:r>
      <w:r w:rsidRPr="006C6718">
        <w:rPr>
          <w:i/>
          <w:sz w:val="24"/>
          <w:szCs w:val="24"/>
        </w:rPr>
        <w:t xml:space="preserve">teikti ar darbus atlikti </w:t>
      </w:r>
      <w:r w:rsidRPr="006C6718">
        <w:rPr>
          <w:i/>
          <w:sz w:val="24"/>
          <w:szCs w:val="24"/>
          <w:u w:val="single"/>
        </w:rPr>
        <w:t>gali tik konkretus tiekėjas</w:t>
      </w:r>
      <w:r w:rsidRPr="006C6718">
        <w:rPr>
          <w:sz w:val="24"/>
          <w:szCs w:val="24"/>
        </w:rPr>
        <w:t>. Perkančiosios organizacijos prašyme nurodytos aplinkybės ir pateikti dokumentai patvirtina, kad rev</w:t>
      </w:r>
      <w:r w:rsidR="00DF55F9">
        <w:rPr>
          <w:sz w:val="24"/>
          <w:szCs w:val="24"/>
        </w:rPr>
        <w:t xml:space="preserve">izinių klubo, </w:t>
      </w:r>
      <w:r w:rsidRPr="006C6718">
        <w:rPr>
          <w:sz w:val="24"/>
          <w:szCs w:val="24"/>
        </w:rPr>
        <w:t xml:space="preserve">kelio </w:t>
      </w:r>
      <w:r w:rsidR="00DF55F9">
        <w:rPr>
          <w:sz w:val="24"/>
          <w:szCs w:val="24"/>
        </w:rPr>
        <w:t xml:space="preserve">ir kitų </w:t>
      </w:r>
      <w:r w:rsidRPr="006C6718">
        <w:rPr>
          <w:sz w:val="24"/>
          <w:szCs w:val="24"/>
        </w:rPr>
        <w:t xml:space="preserve">sąnarių endoprotezus sudarančius komponentus bei jų dalis gali pateikti tik konkretūs tiekėjai, t. y. </w:t>
      </w:r>
      <w:r w:rsidR="00DF55F9" w:rsidRPr="006C6718">
        <w:rPr>
          <w:sz w:val="24"/>
          <w:szCs w:val="24"/>
        </w:rPr>
        <w:t>UAB „Chirurgijos technologijos“, UAB „Medicinos projektai“, UAB „B. Braun</w:t>
      </w:r>
      <w:r w:rsidR="00F65FB0">
        <w:rPr>
          <w:sz w:val="24"/>
          <w:szCs w:val="24"/>
        </w:rPr>
        <w:t xml:space="preserve"> Medical</w:t>
      </w:r>
      <w:r w:rsidR="00DF55F9" w:rsidRPr="006C6718">
        <w:rPr>
          <w:sz w:val="24"/>
          <w:szCs w:val="24"/>
        </w:rPr>
        <w:t>“, UAB „Limeta“, UAB „SK Impex Service Center“, UAB „Gameda“, UAB „Osteca“, U</w:t>
      </w:r>
      <w:r w:rsidR="00DF55F9">
        <w:rPr>
          <w:sz w:val="24"/>
          <w:szCs w:val="24"/>
        </w:rPr>
        <w:t xml:space="preserve">AB „Biomedika“, UAB „Johnson </w:t>
      </w:r>
      <w:r w:rsidR="00DF55F9">
        <w:rPr>
          <w:sz w:val="24"/>
          <w:szCs w:val="24"/>
          <w:lang w:val="en-US"/>
        </w:rPr>
        <w:t>&amp;</w:t>
      </w:r>
      <w:r w:rsidR="00DF55F9" w:rsidRPr="006C6718">
        <w:rPr>
          <w:sz w:val="24"/>
          <w:szCs w:val="24"/>
        </w:rPr>
        <w:t xml:space="preserve"> Johnson“, </w:t>
      </w:r>
      <w:r w:rsidR="00DF55F9">
        <w:rPr>
          <w:sz w:val="24"/>
          <w:szCs w:val="24"/>
        </w:rPr>
        <w:t xml:space="preserve">UAB „Formedics“, </w:t>
      </w:r>
      <w:r w:rsidR="00DF55F9" w:rsidRPr="006C6718">
        <w:rPr>
          <w:sz w:val="24"/>
          <w:szCs w:val="24"/>
        </w:rPr>
        <w:t>UAB „Baltic Medica“</w:t>
      </w:r>
      <w:r w:rsidRPr="006C6718">
        <w:rPr>
          <w:sz w:val="24"/>
          <w:szCs w:val="24"/>
        </w:rPr>
        <w:t>, todėl yra tenkinamos neskelbiamų derybų sąlygos, nurodytos Įstatymo 56 straipsnio 1 dalies 3 punkte. Atsižvelgdama į tai, Tarnyba, vadovaudamasi Įstatymo 8</w:t>
      </w:r>
      <w:r w:rsidRPr="006C6718">
        <w:rPr>
          <w:sz w:val="24"/>
          <w:szCs w:val="24"/>
          <w:vertAlign w:val="superscript"/>
        </w:rPr>
        <w:t>2</w:t>
      </w:r>
      <w:r w:rsidRPr="006C6718">
        <w:rPr>
          <w:sz w:val="24"/>
          <w:szCs w:val="24"/>
        </w:rPr>
        <w:t xml:space="preserve"> straipsnio 2 dalies 7 punkto nuostatomis, </w:t>
      </w:r>
      <w:r w:rsidRPr="006C6718">
        <w:rPr>
          <w:b/>
          <w:sz w:val="24"/>
          <w:szCs w:val="24"/>
        </w:rPr>
        <w:t>sutinka</w:t>
      </w:r>
      <w:r w:rsidRPr="006C6718">
        <w:rPr>
          <w:sz w:val="24"/>
          <w:szCs w:val="24"/>
        </w:rPr>
        <w:t>,</w:t>
      </w:r>
      <w:r w:rsidRPr="006C6718">
        <w:rPr>
          <w:color w:val="000000"/>
          <w:sz w:val="24"/>
          <w:szCs w:val="24"/>
        </w:rPr>
        <w:t xml:space="preserve"> </w:t>
      </w:r>
      <w:r w:rsidRPr="006C6718">
        <w:rPr>
          <w:sz w:val="24"/>
          <w:szCs w:val="24"/>
        </w:rPr>
        <w:t>kad Valstyb</w:t>
      </w:r>
      <w:r w:rsidR="00D34BF3">
        <w:rPr>
          <w:sz w:val="24"/>
          <w:szCs w:val="24"/>
        </w:rPr>
        <w:t>in</w:t>
      </w:r>
      <w:r w:rsidRPr="006C6718">
        <w:rPr>
          <w:sz w:val="24"/>
          <w:szCs w:val="24"/>
        </w:rPr>
        <w:t>ė ligonių kasa prie S</w:t>
      </w:r>
      <w:r w:rsidR="00DF55F9">
        <w:rPr>
          <w:sz w:val="24"/>
          <w:szCs w:val="24"/>
        </w:rPr>
        <w:t xml:space="preserve">veikatos apsaugos ministerijos </w:t>
      </w:r>
      <w:r w:rsidR="00D34BF3">
        <w:rPr>
          <w:sz w:val="24"/>
          <w:szCs w:val="24"/>
        </w:rPr>
        <w:t xml:space="preserve">viešąjį </w:t>
      </w:r>
      <w:r w:rsidR="00DF55F9">
        <w:rPr>
          <w:i/>
          <w:sz w:val="24"/>
          <w:szCs w:val="24"/>
        </w:rPr>
        <w:t xml:space="preserve">revizinių klubo, </w:t>
      </w:r>
      <w:r w:rsidR="00DF55F9" w:rsidRPr="006C6718">
        <w:rPr>
          <w:i/>
          <w:sz w:val="24"/>
          <w:szCs w:val="24"/>
        </w:rPr>
        <w:t xml:space="preserve">kelio </w:t>
      </w:r>
      <w:r w:rsidR="00DF55F9">
        <w:rPr>
          <w:i/>
          <w:sz w:val="24"/>
          <w:szCs w:val="24"/>
        </w:rPr>
        <w:t xml:space="preserve">bei kitų </w:t>
      </w:r>
      <w:r w:rsidR="00DF55F9" w:rsidRPr="006C6718">
        <w:rPr>
          <w:i/>
          <w:sz w:val="24"/>
          <w:szCs w:val="24"/>
        </w:rPr>
        <w:t>sąnarių endoprotezų</w:t>
      </w:r>
      <w:r w:rsidR="00DF55F9">
        <w:rPr>
          <w:i/>
          <w:sz w:val="24"/>
          <w:szCs w:val="24"/>
        </w:rPr>
        <w:t xml:space="preserve"> </w:t>
      </w:r>
      <w:r w:rsidR="00DF55F9" w:rsidRPr="006C6718">
        <w:rPr>
          <w:i/>
          <w:sz w:val="24"/>
          <w:szCs w:val="24"/>
        </w:rPr>
        <w:t xml:space="preserve">komponentų </w:t>
      </w:r>
      <w:r w:rsidR="00DF55F9">
        <w:rPr>
          <w:i/>
          <w:sz w:val="24"/>
          <w:szCs w:val="24"/>
        </w:rPr>
        <w:t>ir jų</w:t>
      </w:r>
      <w:r w:rsidR="00DF55F9" w:rsidRPr="006C6718">
        <w:rPr>
          <w:i/>
          <w:sz w:val="24"/>
          <w:szCs w:val="24"/>
        </w:rPr>
        <w:t xml:space="preserve"> dalių</w:t>
      </w:r>
      <w:r w:rsidR="00DF55F9">
        <w:rPr>
          <w:i/>
          <w:sz w:val="24"/>
          <w:szCs w:val="24"/>
        </w:rPr>
        <w:t xml:space="preserve"> bei papildomų medicinos priemonių, reikalingų revizinėms sąnarių keitimo operacijoms atlikti</w:t>
      </w:r>
      <w:r w:rsidR="00A02C05">
        <w:rPr>
          <w:i/>
          <w:sz w:val="24"/>
          <w:szCs w:val="24"/>
        </w:rPr>
        <w:t>,</w:t>
      </w:r>
      <w:bookmarkStart w:id="2" w:name="_GoBack"/>
      <w:bookmarkEnd w:id="2"/>
      <w:r w:rsidRPr="006C6718">
        <w:rPr>
          <w:sz w:val="24"/>
          <w:szCs w:val="24"/>
        </w:rPr>
        <w:t xml:space="preserve"> </w:t>
      </w:r>
      <w:r w:rsidR="00D34BF3">
        <w:rPr>
          <w:sz w:val="24"/>
          <w:szCs w:val="24"/>
        </w:rPr>
        <w:t xml:space="preserve">pirkimą </w:t>
      </w:r>
      <w:r w:rsidR="00DF55F9">
        <w:rPr>
          <w:sz w:val="24"/>
          <w:szCs w:val="24"/>
        </w:rPr>
        <w:t xml:space="preserve">vykdytų neskelbiamų derybų būdu, </w:t>
      </w:r>
      <w:r w:rsidR="00DF55F9" w:rsidRPr="006C6718">
        <w:rPr>
          <w:sz w:val="24"/>
          <w:szCs w:val="24"/>
        </w:rPr>
        <w:t xml:space="preserve">vadovaujantis Įstatymo 56 straipsnio 1 dalies 3 punktu, </w:t>
      </w:r>
      <w:r w:rsidRPr="006C6718">
        <w:rPr>
          <w:sz w:val="24"/>
          <w:szCs w:val="24"/>
        </w:rPr>
        <w:t xml:space="preserve">įsigyjant šias prekes iš </w:t>
      </w:r>
      <w:r w:rsidR="00DF55F9" w:rsidRPr="006C6718">
        <w:rPr>
          <w:sz w:val="24"/>
          <w:szCs w:val="24"/>
        </w:rPr>
        <w:t>UAB „Chirurgijos technologijos“, UAB „Medicinos projektai“, UAB „B. Braun</w:t>
      </w:r>
      <w:r w:rsidR="00F65FB0">
        <w:rPr>
          <w:sz w:val="24"/>
          <w:szCs w:val="24"/>
        </w:rPr>
        <w:t xml:space="preserve"> Medical</w:t>
      </w:r>
      <w:r w:rsidR="00DF55F9" w:rsidRPr="006C6718">
        <w:rPr>
          <w:sz w:val="24"/>
          <w:szCs w:val="24"/>
        </w:rPr>
        <w:t>“, UAB „Limeta“, UAB „SK Impex Service Center“, UAB „Gameda“, UAB „Osteca“, U</w:t>
      </w:r>
      <w:r w:rsidR="00DF55F9">
        <w:rPr>
          <w:sz w:val="24"/>
          <w:szCs w:val="24"/>
        </w:rPr>
        <w:t xml:space="preserve">AB „Biomedika“, UAB „Johnson </w:t>
      </w:r>
      <w:r w:rsidR="00DF55F9">
        <w:rPr>
          <w:sz w:val="24"/>
          <w:szCs w:val="24"/>
          <w:lang w:val="en-US"/>
        </w:rPr>
        <w:t>&amp;</w:t>
      </w:r>
      <w:r w:rsidR="00DF55F9" w:rsidRPr="006C6718">
        <w:rPr>
          <w:sz w:val="24"/>
          <w:szCs w:val="24"/>
        </w:rPr>
        <w:t xml:space="preserve"> Johnson“, </w:t>
      </w:r>
      <w:r w:rsidR="00DF55F9">
        <w:rPr>
          <w:sz w:val="24"/>
          <w:szCs w:val="24"/>
        </w:rPr>
        <w:t xml:space="preserve">UAB „Formedics“, </w:t>
      </w:r>
      <w:r w:rsidR="00DF55F9" w:rsidRPr="006C6718">
        <w:rPr>
          <w:sz w:val="24"/>
          <w:szCs w:val="24"/>
        </w:rPr>
        <w:t>UAB „Baltic Medica“</w:t>
      </w:r>
      <w:r w:rsidRPr="006C6718">
        <w:rPr>
          <w:sz w:val="24"/>
          <w:szCs w:val="24"/>
        </w:rPr>
        <w:t>.</w:t>
      </w:r>
    </w:p>
    <w:p w:rsidR="0053572C" w:rsidRDefault="0053572C" w:rsidP="0053572C">
      <w:pPr>
        <w:jc w:val="both"/>
        <w:rPr>
          <w:sz w:val="24"/>
          <w:szCs w:val="24"/>
        </w:rPr>
      </w:pPr>
    </w:p>
    <w:p w:rsidR="0094057F" w:rsidRDefault="0094057F" w:rsidP="0053572C">
      <w:pPr>
        <w:jc w:val="both"/>
        <w:rPr>
          <w:sz w:val="24"/>
          <w:szCs w:val="24"/>
        </w:rPr>
      </w:pPr>
    </w:p>
    <w:p w:rsidR="0094057F" w:rsidRPr="006C6718" w:rsidRDefault="0094057F" w:rsidP="0053572C">
      <w:pPr>
        <w:jc w:val="both"/>
        <w:rPr>
          <w:sz w:val="24"/>
          <w:szCs w:val="24"/>
        </w:rPr>
      </w:pPr>
    </w:p>
    <w:tbl>
      <w:tblPr>
        <w:tblW w:w="0" w:type="auto"/>
        <w:tblLook w:val="01E0" w:firstRow="1" w:lastRow="1" w:firstColumn="1" w:lastColumn="1" w:noHBand="0" w:noVBand="0"/>
      </w:tblPr>
      <w:tblGrid>
        <w:gridCol w:w="5245"/>
        <w:gridCol w:w="4393"/>
      </w:tblGrid>
      <w:tr w:rsidR="0053572C" w:rsidRPr="006C6718" w:rsidTr="008D2357">
        <w:tc>
          <w:tcPr>
            <w:tcW w:w="5245" w:type="dxa"/>
            <w:hideMark/>
          </w:tcPr>
          <w:p w:rsidR="0053572C" w:rsidRPr="006C6718" w:rsidRDefault="0053572C" w:rsidP="008D2357">
            <w:pPr>
              <w:rPr>
                <w:sz w:val="24"/>
                <w:szCs w:val="24"/>
              </w:rPr>
            </w:pPr>
            <w:r w:rsidRPr="006C6718">
              <w:rPr>
                <w:sz w:val="24"/>
                <w:szCs w:val="24"/>
              </w:rPr>
              <w:t>Prevencijos ir pirkimo sutarčių priežiūros skyriaus</w:t>
            </w:r>
          </w:p>
          <w:p w:rsidR="0053572C" w:rsidRPr="006C6718" w:rsidRDefault="0053572C" w:rsidP="008D2357">
            <w:pPr>
              <w:rPr>
                <w:sz w:val="24"/>
                <w:szCs w:val="24"/>
              </w:rPr>
            </w:pPr>
            <w:r w:rsidRPr="006C6718">
              <w:rPr>
                <w:sz w:val="24"/>
                <w:szCs w:val="24"/>
              </w:rPr>
              <w:t xml:space="preserve">vyriausioji specialistė                                                                         </w:t>
            </w:r>
          </w:p>
        </w:tc>
        <w:tc>
          <w:tcPr>
            <w:tcW w:w="4393" w:type="dxa"/>
            <w:hideMark/>
          </w:tcPr>
          <w:p w:rsidR="0053572C" w:rsidRPr="006C6718" w:rsidRDefault="0053572C" w:rsidP="008D2357">
            <w:pPr>
              <w:rPr>
                <w:sz w:val="24"/>
                <w:szCs w:val="24"/>
              </w:rPr>
            </w:pPr>
            <w:r w:rsidRPr="006C6718">
              <w:rPr>
                <w:sz w:val="24"/>
                <w:szCs w:val="24"/>
              </w:rPr>
              <w:t xml:space="preserve">                                              </w:t>
            </w:r>
          </w:p>
          <w:p w:rsidR="0053572C" w:rsidRPr="006C6718" w:rsidRDefault="0053572C" w:rsidP="008D2357">
            <w:pPr>
              <w:rPr>
                <w:sz w:val="24"/>
                <w:szCs w:val="24"/>
              </w:rPr>
            </w:pPr>
            <w:r w:rsidRPr="006C6718">
              <w:rPr>
                <w:sz w:val="24"/>
                <w:szCs w:val="24"/>
              </w:rPr>
              <w:t xml:space="preserve">                                           Lina Klingienė</w:t>
            </w:r>
          </w:p>
        </w:tc>
      </w:tr>
    </w:tbl>
    <w:p w:rsidR="0053572C" w:rsidRPr="006C6718" w:rsidRDefault="0053572C" w:rsidP="0053572C">
      <w:pPr>
        <w:rPr>
          <w:sz w:val="24"/>
          <w:szCs w:val="24"/>
        </w:rPr>
      </w:pPr>
    </w:p>
    <w:p w:rsidR="00911CF7" w:rsidRDefault="00911CF7" w:rsidP="0053572C">
      <w:pPr>
        <w:rPr>
          <w:sz w:val="24"/>
          <w:szCs w:val="24"/>
        </w:rPr>
      </w:pPr>
    </w:p>
    <w:p w:rsidR="0053572C" w:rsidRDefault="0053572C" w:rsidP="0053572C">
      <w:pPr>
        <w:rPr>
          <w:sz w:val="24"/>
          <w:szCs w:val="24"/>
        </w:rPr>
      </w:pPr>
    </w:p>
    <w:p w:rsidR="0053572C" w:rsidRDefault="0053572C" w:rsidP="0053572C">
      <w:pPr>
        <w:rPr>
          <w:sz w:val="24"/>
          <w:szCs w:val="24"/>
        </w:rPr>
      </w:pPr>
    </w:p>
    <w:p w:rsidR="0053572C" w:rsidRDefault="0053572C" w:rsidP="0053572C">
      <w:pPr>
        <w:rPr>
          <w:sz w:val="24"/>
          <w:szCs w:val="24"/>
        </w:rPr>
      </w:pPr>
    </w:p>
    <w:p w:rsidR="0053572C" w:rsidRPr="006C6718" w:rsidRDefault="0053572C" w:rsidP="0053572C">
      <w:pPr>
        <w:jc w:val="both"/>
      </w:pPr>
      <w:r w:rsidRPr="006C6718">
        <w:t xml:space="preserve">Lina Klingienė, tel. (8 5)  219 7050, faks. (8 5)  213 6213, el. p. </w:t>
      </w:r>
      <w:hyperlink r:id="rId9" w:history="1">
        <w:r w:rsidRPr="006C6718">
          <w:rPr>
            <w:rStyle w:val="Hipersaitas"/>
          </w:rPr>
          <w:t>Lina.Klingiene@vpt.lt</w:t>
        </w:r>
      </w:hyperlink>
    </w:p>
    <w:p w:rsidR="000F4986" w:rsidRDefault="000F4986"/>
    <w:sectPr w:rsidR="000F4986" w:rsidSect="00256C1C">
      <w:foot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662" w:rsidRDefault="00D76662">
      <w:r>
        <w:separator/>
      </w:r>
    </w:p>
  </w:endnote>
  <w:endnote w:type="continuationSeparator" w:id="0">
    <w:p w:rsidR="00D76662" w:rsidRDefault="00D7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66F" w:rsidRPr="00BB2F72" w:rsidRDefault="00D4666F" w:rsidP="00D4666F">
    <w:pPr>
      <w:pBdr>
        <w:top w:val="single" w:sz="4" w:space="1" w:color="auto"/>
      </w:pBdr>
      <w:rPr>
        <w:sz w:val="18"/>
      </w:rPr>
    </w:pPr>
    <w:r>
      <w:rPr>
        <w:noProof/>
        <w:lang w:eastAsia="lt-LT"/>
      </w:rPr>
      <w:drawing>
        <wp:anchor distT="0" distB="0" distL="114300" distR="114300" simplePos="0" relativeHeight="251659264" behindDoc="0" locked="0" layoutInCell="1" allowOverlap="1" wp14:anchorId="4F21D2F2" wp14:editId="5FA67B15">
          <wp:simplePos x="0" y="0"/>
          <wp:positionH relativeFrom="column">
            <wp:posOffset>4685030</wp:posOffset>
          </wp:positionH>
          <wp:positionV relativeFrom="paragraph">
            <wp:posOffset>-302260</wp:posOffset>
          </wp:positionV>
          <wp:extent cx="1440180" cy="1071245"/>
          <wp:effectExtent l="0" t="0" r="0" b="0"/>
          <wp:wrapNone/>
          <wp:docPr id="2"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 xml:space="preserve">Biudžetinė įstaiga                                Tel.  (8 5) 219 7001            </w:t>
    </w:r>
    <w:r w:rsidRPr="00E9516F">
      <w:rPr>
        <w:sz w:val="18"/>
      </w:rPr>
      <w:t>Duomenys kaupiami ir saugomi</w:t>
    </w:r>
    <w:r w:rsidRPr="00BB2F72">
      <w:rPr>
        <w:sz w:val="18"/>
      </w:rPr>
      <w:t> </w:t>
    </w:r>
  </w:p>
  <w:p w:rsidR="00D4666F" w:rsidRPr="00BB2F72" w:rsidRDefault="00D4666F" w:rsidP="00D4666F">
    <w:pPr>
      <w:pBdr>
        <w:top w:val="single" w:sz="4" w:space="1" w:color="auto"/>
      </w:pBdr>
      <w:rPr>
        <w:sz w:val="18"/>
      </w:rPr>
    </w:pPr>
    <w:r>
      <w:rPr>
        <w:sz w:val="18"/>
      </w:rPr>
      <w:t xml:space="preserve">Kareivių g. 1, LT-08221 Vilnius         Faks. (8 5) 213 6213          </w:t>
    </w:r>
    <w:r w:rsidRPr="00BB2F72">
      <w:rPr>
        <w:sz w:val="18"/>
      </w:rPr>
      <w:t xml:space="preserve">Juridinių asmenų registre </w:t>
    </w:r>
  </w:p>
  <w:p w:rsidR="00D4666F" w:rsidRPr="00BB2F72" w:rsidRDefault="00D4666F" w:rsidP="00D4666F">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662" w:rsidRDefault="00D76662">
      <w:r>
        <w:separator/>
      </w:r>
    </w:p>
  </w:footnote>
  <w:footnote w:type="continuationSeparator" w:id="0">
    <w:p w:rsidR="00D76662" w:rsidRDefault="00D76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2C"/>
    <w:rsid w:val="00097F93"/>
    <w:rsid w:val="000F4986"/>
    <w:rsid w:val="001231B2"/>
    <w:rsid w:val="001E3D95"/>
    <w:rsid w:val="00256C1C"/>
    <w:rsid w:val="003859A0"/>
    <w:rsid w:val="00453E7C"/>
    <w:rsid w:val="00492E54"/>
    <w:rsid w:val="004A1ACD"/>
    <w:rsid w:val="004E6344"/>
    <w:rsid w:val="0053572C"/>
    <w:rsid w:val="005749E8"/>
    <w:rsid w:val="006C1FA4"/>
    <w:rsid w:val="007749A6"/>
    <w:rsid w:val="00911CF7"/>
    <w:rsid w:val="0094057F"/>
    <w:rsid w:val="00A02C05"/>
    <w:rsid w:val="00D34BF3"/>
    <w:rsid w:val="00D4666F"/>
    <w:rsid w:val="00D76662"/>
    <w:rsid w:val="00DF55F9"/>
    <w:rsid w:val="00E67BF4"/>
    <w:rsid w:val="00F65FB0"/>
    <w:rsid w:val="00FA70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6056B-4E93-41F7-AC57-B85BEB11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572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53572C"/>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3572C"/>
    <w:rPr>
      <w:rFonts w:ascii="Times New Roman" w:eastAsia="Times New Roman" w:hAnsi="Times New Roman" w:cs="Times New Roman"/>
      <w:b/>
      <w:bCs/>
      <w:sz w:val="32"/>
      <w:szCs w:val="32"/>
    </w:rPr>
  </w:style>
  <w:style w:type="character" w:styleId="Hipersaitas">
    <w:name w:val="Hyperlink"/>
    <w:basedOn w:val="Numatytasispastraiposriftas"/>
    <w:uiPriority w:val="99"/>
    <w:unhideWhenUsed/>
    <w:rsid w:val="0053572C"/>
    <w:rPr>
      <w:color w:val="0563C1" w:themeColor="hyperlink"/>
      <w:u w:val="single"/>
    </w:rPr>
  </w:style>
  <w:style w:type="paragraph" w:customStyle="1" w:styleId="Default">
    <w:name w:val="Default"/>
    <w:rsid w:val="0053572C"/>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Antrats">
    <w:name w:val="header"/>
    <w:basedOn w:val="prastasis"/>
    <w:link w:val="AntratsDiagrama"/>
    <w:uiPriority w:val="99"/>
    <w:unhideWhenUsed/>
    <w:rsid w:val="00D4666F"/>
    <w:pPr>
      <w:tabs>
        <w:tab w:val="center" w:pos="4819"/>
        <w:tab w:val="right" w:pos="9638"/>
      </w:tabs>
    </w:pPr>
  </w:style>
  <w:style w:type="character" w:customStyle="1" w:styleId="AntratsDiagrama">
    <w:name w:val="Antraštės Diagrama"/>
    <w:basedOn w:val="Numatytasispastraiposriftas"/>
    <w:link w:val="Antrats"/>
    <w:uiPriority w:val="99"/>
    <w:rsid w:val="00D4666F"/>
    <w:rPr>
      <w:rFonts w:ascii="Times New Roman" w:eastAsia="Times New Roman" w:hAnsi="Times New Roman" w:cs="Times New Roman"/>
      <w:sz w:val="20"/>
      <w:szCs w:val="20"/>
    </w:rPr>
  </w:style>
  <w:style w:type="paragraph" w:styleId="Porat">
    <w:name w:val="footer"/>
    <w:basedOn w:val="prastasis"/>
    <w:link w:val="PoratDiagrama"/>
    <w:unhideWhenUsed/>
    <w:rsid w:val="00D4666F"/>
    <w:pPr>
      <w:tabs>
        <w:tab w:val="center" w:pos="4819"/>
        <w:tab w:val="right" w:pos="9638"/>
      </w:tabs>
    </w:pPr>
  </w:style>
  <w:style w:type="character" w:customStyle="1" w:styleId="PoratDiagrama">
    <w:name w:val="Poraštė Diagrama"/>
    <w:basedOn w:val="Numatytasispastraiposriftas"/>
    <w:link w:val="Porat"/>
    <w:rsid w:val="00D4666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67B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7BF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na.Klingiene@vpt.l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AA87B-5177-4A73-B5BE-FF73AC00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4774</Words>
  <Characters>2722</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15</cp:revision>
  <cp:lastPrinted>2017-05-03T10:42:00Z</cp:lastPrinted>
  <dcterms:created xsi:type="dcterms:W3CDTF">2017-04-05T05:52:00Z</dcterms:created>
  <dcterms:modified xsi:type="dcterms:W3CDTF">2017-05-05T07:01:00Z</dcterms:modified>
</cp:coreProperties>
</file>