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486801" w:rsidRPr="008E3F34" w:rsidRDefault="00486801" w:rsidP="00144367">
      <w:pPr>
        <w:widowControl w:val="0"/>
        <w:spacing w:after="0" w:line="240" w:lineRule="auto"/>
        <w:jc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48.95pt" o:ole="" fillcolor="window">
            <v:imagedata r:id="rId8" o:title=""/>
          </v:shape>
          <o:OLEObject Type="Embed" ProgID="Word.Picture.8" ShapeID="_x0000_i1025" DrawAspect="Content" ObjectID="_1491304418" r:id="rId9"/>
        </w:object>
      </w:r>
    </w:p>
    <w:p w:rsidR="00486801" w:rsidRPr="008E3F34" w:rsidRDefault="00486801" w:rsidP="00144367">
      <w:pPr>
        <w:widowControl w:val="0"/>
        <w:spacing w:after="0" w:line="240" w:lineRule="auto"/>
        <w:jc w:val="center"/>
        <w:rPr>
          <w:rFonts w:ascii="Times New Roman" w:eastAsia="Times New Roman" w:hAnsi="Times New Roman" w:cs="Times New Roman"/>
          <w:sz w:val="24"/>
          <w:szCs w:val="24"/>
        </w:rPr>
      </w:pPr>
    </w:p>
    <w:p w:rsidR="00E81EF0" w:rsidRDefault="00E81EF0" w:rsidP="00144367">
      <w:pPr>
        <w:widowControl w:val="0"/>
        <w:tabs>
          <w:tab w:val="left" w:pos="900"/>
        </w:tabs>
        <w:spacing w:after="0" w:line="240" w:lineRule="auto"/>
        <w:jc w:val="center"/>
        <w:outlineLvl w:val="0"/>
        <w:rPr>
          <w:rFonts w:ascii="Times New Roman" w:eastAsia="Times New Roman" w:hAnsi="Times New Roman" w:cs="Times New Roman"/>
          <w:b/>
          <w:bCs/>
          <w:sz w:val="24"/>
          <w:szCs w:val="24"/>
        </w:rPr>
      </w:pPr>
      <w:r w:rsidRPr="001111E0">
        <w:rPr>
          <w:rFonts w:ascii="Times New Roman" w:eastAsia="Times New Roman" w:hAnsi="Times New Roman" w:cs="Times New Roman"/>
          <w:b/>
          <w:bCs/>
          <w:sz w:val="24"/>
          <w:szCs w:val="24"/>
        </w:rPr>
        <w:t>VIEŠŲJŲ PIRKIMŲ TARNYBA</w:t>
      </w:r>
    </w:p>
    <w:p w:rsidR="003366C1" w:rsidRDefault="003366C1" w:rsidP="00144367">
      <w:pPr>
        <w:keepNext/>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 xml:space="preserve">PREVENCIJOS IR PIRKIMO SUTARČIŲ PRIEŽIŪROS SKYRIUS </w:t>
      </w:r>
    </w:p>
    <w:p w:rsidR="00486801" w:rsidRPr="008E3F34" w:rsidRDefault="00486801" w:rsidP="00E917A9">
      <w:pPr>
        <w:widowControl w:val="0"/>
        <w:tabs>
          <w:tab w:val="left" w:pos="900"/>
        </w:tabs>
        <w:spacing w:after="0" w:line="240" w:lineRule="auto"/>
        <w:rPr>
          <w:rFonts w:ascii="Times New Roman" w:eastAsia="Times New Roman" w:hAnsi="Times New Roman" w:cs="Times New Roman"/>
          <w:bCs/>
          <w:sz w:val="24"/>
          <w:szCs w:val="24"/>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8E3F34">
        <w:rPr>
          <w:rFonts w:ascii="Times New Roman" w:eastAsia="Times New Roman" w:hAnsi="Times New Roman" w:cs="Times New Roman"/>
          <w:b/>
          <w:bCs/>
          <w:caps/>
          <w:color w:val="000000"/>
          <w:sz w:val="24"/>
          <w:szCs w:val="24"/>
        </w:rPr>
        <w:t xml:space="preserve">SPRENDIMAS dėl </w:t>
      </w:r>
      <w:r w:rsidR="004015F6" w:rsidRPr="008E3F34">
        <w:rPr>
          <w:rFonts w:ascii="Times New Roman" w:hAnsi="Times New Roman" w:cs="Times New Roman"/>
          <w:b/>
          <w:bCs/>
          <w:sz w:val="24"/>
          <w:szCs w:val="24"/>
        </w:rPr>
        <w:t>SUTIKIMO ATLIKTI PIRKIMĄ NESKELBIAMŲ DERYBŲ BŪDU</w:t>
      </w:r>
    </w:p>
    <w:p w:rsidR="00CB15F9" w:rsidRPr="008E3F34" w:rsidRDefault="00CB15F9" w:rsidP="00E917A9">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23D7E" w:rsidRPr="008E3F34" w:rsidRDefault="00423D7E" w:rsidP="00E917A9">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8E3F34">
        <w:rPr>
          <w:rFonts w:ascii="Times New Roman" w:eastAsia="Times New Roman" w:hAnsi="Times New Roman" w:cs="Times New Roman"/>
          <w:color w:val="000000"/>
          <w:sz w:val="24"/>
          <w:szCs w:val="24"/>
        </w:rPr>
        <w:t>201</w:t>
      </w:r>
      <w:r w:rsidR="00EF600E">
        <w:rPr>
          <w:rFonts w:ascii="Times New Roman" w:eastAsia="Times New Roman" w:hAnsi="Times New Roman" w:cs="Times New Roman"/>
          <w:color w:val="000000"/>
          <w:sz w:val="24"/>
          <w:szCs w:val="24"/>
        </w:rPr>
        <w:t>5</w:t>
      </w:r>
      <w:r w:rsidRPr="008E3F34">
        <w:rPr>
          <w:rFonts w:ascii="Times New Roman" w:eastAsia="Times New Roman" w:hAnsi="Times New Roman" w:cs="Times New Roman"/>
          <w:color w:val="000000"/>
          <w:sz w:val="24"/>
          <w:szCs w:val="24"/>
        </w:rPr>
        <w:t>-</w:t>
      </w:r>
      <w:r w:rsidR="00EF600E">
        <w:rPr>
          <w:rFonts w:ascii="Times New Roman" w:eastAsia="Times New Roman" w:hAnsi="Times New Roman" w:cs="Times New Roman"/>
          <w:color w:val="000000"/>
          <w:sz w:val="24"/>
          <w:szCs w:val="24"/>
        </w:rPr>
        <w:t>0</w:t>
      </w:r>
      <w:r w:rsidR="003366C1">
        <w:rPr>
          <w:rFonts w:ascii="Times New Roman" w:eastAsia="Times New Roman" w:hAnsi="Times New Roman" w:cs="Times New Roman"/>
          <w:color w:val="000000"/>
          <w:sz w:val="24"/>
          <w:szCs w:val="24"/>
        </w:rPr>
        <w:t>4</w:t>
      </w:r>
      <w:r w:rsidRPr="008E3F34">
        <w:rPr>
          <w:rFonts w:ascii="Times New Roman" w:eastAsia="Times New Roman" w:hAnsi="Times New Roman" w:cs="Times New Roman"/>
          <w:color w:val="000000"/>
          <w:sz w:val="24"/>
          <w:szCs w:val="24"/>
        </w:rPr>
        <w:t xml:space="preserve">-  </w:t>
      </w:r>
      <w:r w:rsidR="00640DA7" w:rsidRPr="008E3F34">
        <w:rPr>
          <w:rFonts w:ascii="Times New Roman" w:eastAsia="Times New Roman" w:hAnsi="Times New Roman" w:cs="Times New Roman"/>
          <w:color w:val="000000"/>
          <w:sz w:val="24"/>
          <w:szCs w:val="24"/>
        </w:rPr>
        <w:t xml:space="preserve">  </w:t>
      </w:r>
      <w:r w:rsidRPr="008E3F34">
        <w:rPr>
          <w:rFonts w:ascii="Times New Roman" w:eastAsia="Times New Roman" w:hAnsi="Times New Roman" w:cs="Times New Roman"/>
          <w:color w:val="000000"/>
          <w:sz w:val="24"/>
          <w:szCs w:val="24"/>
        </w:rPr>
        <w:t xml:space="preserve">  Nr. 4S-</w:t>
      </w:r>
    </w:p>
    <w:p w:rsidR="00486801" w:rsidRPr="008E3F34" w:rsidRDefault="00486801" w:rsidP="00E917A9">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t>Vilnius</w:t>
      </w:r>
    </w:p>
    <w:p w:rsidR="0039004B" w:rsidRPr="00361610" w:rsidRDefault="0039004B" w:rsidP="0014692E">
      <w:pPr>
        <w:widowControl w:val="0"/>
        <w:tabs>
          <w:tab w:val="left" w:pos="567"/>
        </w:tabs>
        <w:spacing w:after="0" w:line="264" w:lineRule="auto"/>
        <w:jc w:val="both"/>
        <w:rPr>
          <w:rFonts w:ascii="Times New Roman" w:hAnsi="Times New Roman" w:cs="Times New Roman"/>
          <w:sz w:val="24"/>
          <w:szCs w:val="24"/>
        </w:rPr>
      </w:pPr>
    </w:p>
    <w:p w:rsidR="00E917A9" w:rsidRPr="0014692E" w:rsidRDefault="00C01269" w:rsidP="0014692E">
      <w:pPr>
        <w:spacing w:after="0" w:line="264" w:lineRule="auto"/>
        <w:ind w:firstLine="697"/>
        <w:jc w:val="both"/>
        <w:rPr>
          <w:rFonts w:ascii="Times New Roman" w:hAnsi="Times New Roman" w:cs="Times New Roman"/>
          <w:sz w:val="24"/>
          <w:szCs w:val="24"/>
        </w:rPr>
      </w:pPr>
      <w:r w:rsidRPr="0014692E">
        <w:rPr>
          <w:rFonts w:ascii="Times New Roman" w:hAnsi="Times New Roman" w:cs="Times New Roman"/>
          <w:sz w:val="24"/>
          <w:szCs w:val="24"/>
        </w:rPr>
        <w:t>Viešųjų pirkimų tarnyba (toliau – Tarnyba), vadovaudamasi Lietuvos Respublikos viešųjų pirkimų įstatymo (toliau – Įstatymas) 8</w:t>
      </w:r>
      <w:r w:rsidRPr="0014692E">
        <w:rPr>
          <w:rFonts w:ascii="Times New Roman" w:hAnsi="Times New Roman" w:cs="Times New Roman"/>
          <w:sz w:val="24"/>
          <w:szCs w:val="24"/>
          <w:vertAlign w:val="superscript"/>
        </w:rPr>
        <w:t>2</w:t>
      </w:r>
      <w:r w:rsidRPr="0014692E">
        <w:rPr>
          <w:rFonts w:ascii="Times New Roman" w:hAnsi="Times New Roman" w:cs="Times New Roman"/>
          <w:sz w:val="24"/>
          <w:szCs w:val="24"/>
        </w:rPr>
        <w:t xml:space="preserve"> straipsnio 2 dalies 7 punkto nuostatomis, išnagrinėjo Jūsų prašymą sutikti </w:t>
      </w:r>
      <w:r w:rsidR="00FE794D" w:rsidRPr="0014692E">
        <w:rPr>
          <w:rFonts w:ascii="Times New Roman" w:hAnsi="Times New Roman" w:cs="Times New Roman"/>
          <w:i/>
          <w:sz w:val="24"/>
          <w:szCs w:val="24"/>
        </w:rPr>
        <w:t>Duomenų bazių saugyklos Oracle Exadata programinės ir techninės įrangos gamintojo garantijos pratęsimo ir techninės priežiūros paslaugų</w:t>
      </w:r>
      <w:r w:rsidR="00FE794D" w:rsidRPr="0014692E">
        <w:rPr>
          <w:rFonts w:ascii="Times New Roman" w:hAnsi="Times New Roman" w:cs="Times New Roman"/>
          <w:sz w:val="24"/>
          <w:szCs w:val="24"/>
        </w:rPr>
        <w:t xml:space="preserve"> </w:t>
      </w:r>
      <w:r w:rsidR="00981CE1" w:rsidRPr="0014692E">
        <w:rPr>
          <w:rFonts w:ascii="Times New Roman" w:hAnsi="Times New Roman" w:cs="Times New Roman"/>
          <w:i/>
          <w:sz w:val="24"/>
          <w:szCs w:val="24"/>
        </w:rPr>
        <w:t xml:space="preserve">viešąjį </w:t>
      </w:r>
      <w:r w:rsidR="00D91200" w:rsidRPr="0014692E">
        <w:rPr>
          <w:rFonts w:ascii="Times New Roman" w:eastAsia="Times New Roman" w:hAnsi="Times New Roman" w:cs="Times New Roman"/>
          <w:i/>
          <w:sz w:val="24"/>
          <w:szCs w:val="24"/>
        </w:rPr>
        <w:t>pirkim</w:t>
      </w:r>
      <w:r w:rsidR="0003622B" w:rsidRPr="0014692E">
        <w:rPr>
          <w:rFonts w:ascii="Times New Roman" w:eastAsia="Times New Roman" w:hAnsi="Times New Roman" w:cs="Times New Roman"/>
          <w:i/>
          <w:sz w:val="24"/>
          <w:szCs w:val="24"/>
        </w:rPr>
        <w:t xml:space="preserve">ą </w:t>
      </w:r>
      <w:r w:rsidR="00D91200" w:rsidRPr="0014692E">
        <w:rPr>
          <w:rFonts w:ascii="Times New Roman" w:eastAsia="Times New Roman" w:hAnsi="Times New Roman" w:cs="Times New Roman"/>
          <w:sz w:val="24"/>
          <w:szCs w:val="24"/>
        </w:rPr>
        <w:t xml:space="preserve">atlikti neskelbiamų derybų būdu, </w:t>
      </w:r>
      <w:r w:rsidR="00B9460A" w:rsidRPr="0014692E">
        <w:rPr>
          <w:rFonts w:ascii="Times New Roman" w:hAnsi="Times New Roman" w:cs="Times New Roman"/>
          <w:sz w:val="24"/>
          <w:szCs w:val="24"/>
        </w:rPr>
        <w:t>vadovaujantis Įstatymo 56 straipsnio 1 dalies 1 punkto nuostatomis, nes atvir</w:t>
      </w:r>
      <w:r w:rsidR="00D22188">
        <w:rPr>
          <w:rFonts w:ascii="Times New Roman" w:hAnsi="Times New Roman" w:cs="Times New Roman"/>
          <w:sz w:val="24"/>
          <w:szCs w:val="24"/>
        </w:rPr>
        <w:t>o</w:t>
      </w:r>
      <w:r w:rsidR="00B9460A" w:rsidRPr="0014692E">
        <w:rPr>
          <w:rFonts w:ascii="Times New Roman" w:hAnsi="Times New Roman" w:cs="Times New Roman"/>
          <w:sz w:val="24"/>
          <w:szCs w:val="24"/>
        </w:rPr>
        <w:t xml:space="preserve"> konkurso </w:t>
      </w:r>
      <w:r w:rsidR="00B9460A" w:rsidRPr="0014692E">
        <w:rPr>
          <w:rFonts w:ascii="Times New Roman" w:hAnsi="Times New Roman" w:cs="Times New Roman"/>
          <w:color w:val="000000"/>
          <w:sz w:val="24"/>
          <w:szCs w:val="24"/>
          <w:lang w:eastAsia="lt-LT"/>
        </w:rPr>
        <w:t>„</w:t>
      </w:r>
      <w:r w:rsidR="00B9460A" w:rsidRPr="0014692E">
        <w:rPr>
          <w:rFonts w:ascii="Times New Roman" w:hAnsi="Times New Roman" w:cs="Times New Roman"/>
          <w:sz w:val="24"/>
          <w:szCs w:val="24"/>
        </w:rPr>
        <w:t>Duomenų bazių saugyklos Oracle Exadata programinės ir techninės įrangos gamintojo garantijos pratęsimo ir techninės priežiūros paslaugų viešasis pirkimas“ (toliau – Pirkimas</w:t>
      </w:r>
      <w:r w:rsidR="00F655A6">
        <w:rPr>
          <w:rFonts w:ascii="Times New Roman" w:hAnsi="Times New Roman" w:cs="Times New Roman"/>
          <w:sz w:val="24"/>
          <w:szCs w:val="24"/>
        </w:rPr>
        <w:t>)</w:t>
      </w:r>
      <w:r w:rsidR="00B9460A" w:rsidRPr="0014692E">
        <w:rPr>
          <w:rFonts w:ascii="Times New Roman" w:hAnsi="Times New Roman" w:cs="Times New Roman"/>
          <w:sz w:val="24"/>
          <w:szCs w:val="24"/>
        </w:rPr>
        <w:t xml:space="preserve"> </w:t>
      </w:r>
      <w:r w:rsidR="006F7CA7" w:rsidRPr="0014692E">
        <w:rPr>
          <w:rFonts w:ascii="Times New Roman" w:hAnsi="Times New Roman" w:cs="Times New Roman"/>
          <w:sz w:val="24"/>
          <w:szCs w:val="24"/>
        </w:rPr>
        <w:t xml:space="preserve">pirkimo objekto daliai Nr. 1 ir Nr. 2 </w:t>
      </w:r>
      <w:r w:rsidR="00B9460A" w:rsidRPr="0014692E">
        <w:rPr>
          <w:rFonts w:ascii="Times New Roman" w:hAnsi="Times New Roman" w:cs="Times New Roman"/>
          <w:sz w:val="24"/>
          <w:szCs w:val="24"/>
        </w:rPr>
        <w:t>pateikt</w:t>
      </w:r>
      <w:r w:rsidR="00132FF5" w:rsidRPr="0014692E">
        <w:rPr>
          <w:rFonts w:ascii="Times New Roman" w:hAnsi="Times New Roman" w:cs="Times New Roman"/>
          <w:sz w:val="24"/>
          <w:szCs w:val="24"/>
        </w:rPr>
        <w:t>i</w:t>
      </w:r>
      <w:r w:rsidR="00B9460A" w:rsidRPr="0014692E">
        <w:rPr>
          <w:rFonts w:ascii="Times New Roman" w:hAnsi="Times New Roman" w:cs="Times New Roman"/>
          <w:sz w:val="24"/>
          <w:szCs w:val="24"/>
        </w:rPr>
        <w:t xml:space="preserve"> pasiūlyma</w:t>
      </w:r>
      <w:r w:rsidR="00132FF5" w:rsidRPr="0014692E">
        <w:rPr>
          <w:rFonts w:ascii="Times New Roman" w:hAnsi="Times New Roman" w:cs="Times New Roman"/>
          <w:sz w:val="24"/>
          <w:szCs w:val="24"/>
        </w:rPr>
        <w:t>i</w:t>
      </w:r>
      <w:r w:rsidR="00B9460A" w:rsidRPr="0014692E">
        <w:rPr>
          <w:rFonts w:ascii="Times New Roman" w:hAnsi="Times New Roman" w:cs="Times New Roman"/>
          <w:sz w:val="24"/>
          <w:szCs w:val="24"/>
        </w:rPr>
        <w:t xml:space="preserve"> buvo atmest</w:t>
      </w:r>
      <w:r w:rsidR="00132FF5" w:rsidRPr="0014692E">
        <w:rPr>
          <w:rFonts w:ascii="Times New Roman" w:hAnsi="Times New Roman" w:cs="Times New Roman"/>
          <w:sz w:val="24"/>
          <w:szCs w:val="24"/>
        </w:rPr>
        <w:t>i</w:t>
      </w:r>
      <w:r w:rsidR="00B9460A" w:rsidRPr="0014692E">
        <w:rPr>
          <w:rFonts w:ascii="Times New Roman" w:hAnsi="Times New Roman" w:cs="Times New Roman"/>
          <w:sz w:val="24"/>
          <w:szCs w:val="24"/>
        </w:rPr>
        <w:t xml:space="preserve">. </w:t>
      </w:r>
      <w:r w:rsidR="008A694D">
        <w:rPr>
          <w:rFonts w:ascii="Times New Roman" w:hAnsi="Times New Roman" w:cs="Times New Roman"/>
          <w:sz w:val="24"/>
          <w:szCs w:val="24"/>
        </w:rPr>
        <w:t xml:space="preserve">Skelbimas apie Pirkimą </w:t>
      </w:r>
      <w:r w:rsidR="00F655A6" w:rsidRPr="0014692E">
        <w:rPr>
          <w:rFonts w:ascii="Times New Roman" w:hAnsi="Times New Roman" w:cs="Times New Roman"/>
          <w:sz w:val="24"/>
          <w:szCs w:val="24"/>
        </w:rPr>
        <w:t xml:space="preserve">skelbtas Centrinėje viešųjų pirkimų informacinėje sistemoje </w:t>
      </w:r>
      <w:r w:rsidR="008A694D">
        <w:rPr>
          <w:rFonts w:ascii="Times New Roman" w:hAnsi="Times New Roman" w:cs="Times New Roman"/>
          <w:sz w:val="24"/>
          <w:szCs w:val="24"/>
        </w:rPr>
        <w:t xml:space="preserve">(toliau – CVP IS) </w:t>
      </w:r>
      <w:r w:rsidR="00F655A6" w:rsidRPr="0014692E">
        <w:rPr>
          <w:rFonts w:ascii="Times New Roman" w:hAnsi="Times New Roman" w:cs="Times New Roman"/>
          <w:sz w:val="24"/>
          <w:szCs w:val="24"/>
        </w:rPr>
        <w:t xml:space="preserve">2015 m. vasario 24 d., Pirkimo Nr. </w:t>
      </w:r>
      <w:r w:rsidR="00F655A6" w:rsidRPr="006D0E84">
        <w:rPr>
          <w:rFonts w:ascii="Times New Roman" w:hAnsi="Times New Roman" w:cs="Times New Roman"/>
          <w:b/>
          <w:sz w:val="24"/>
          <w:szCs w:val="24"/>
        </w:rPr>
        <w:t>160387</w:t>
      </w:r>
      <w:r w:rsidR="008A694D">
        <w:rPr>
          <w:rFonts w:ascii="Times New Roman" w:hAnsi="Times New Roman" w:cs="Times New Roman"/>
          <w:sz w:val="24"/>
          <w:szCs w:val="24"/>
        </w:rPr>
        <w:t>.</w:t>
      </w:r>
    </w:p>
    <w:p w:rsidR="003B5D6E" w:rsidRPr="0014692E" w:rsidRDefault="00F91CFE" w:rsidP="0014692E">
      <w:pPr>
        <w:spacing w:after="0" w:line="264" w:lineRule="auto"/>
        <w:ind w:firstLine="697"/>
        <w:jc w:val="both"/>
        <w:rPr>
          <w:rFonts w:ascii="Times New Roman" w:hAnsi="Times New Roman" w:cs="Times New Roman"/>
          <w:sz w:val="24"/>
          <w:szCs w:val="24"/>
        </w:rPr>
      </w:pPr>
      <w:r w:rsidRPr="0014692E">
        <w:rPr>
          <w:rFonts w:ascii="Times New Roman" w:hAnsi="Times New Roman" w:cs="Times New Roman"/>
          <w:sz w:val="24"/>
          <w:szCs w:val="24"/>
        </w:rPr>
        <w:t xml:space="preserve">Prašyme nurodyta, kad </w:t>
      </w:r>
      <w:r w:rsidR="007A17FE" w:rsidRPr="0014692E">
        <w:rPr>
          <w:rFonts w:ascii="Times New Roman" w:hAnsi="Times New Roman" w:cs="Times New Roman"/>
          <w:sz w:val="24"/>
          <w:szCs w:val="24"/>
        </w:rPr>
        <w:t xml:space="preserve">Pirkimo objektas suskirstytas į dvi dalis ir kiekvienai Pirkimo objekto daliai bus sudaroma atskira pirkimo sutartis: </w:t>
      </w:r>
      <w:r w:rsidR="00BD07D4" w:rsidRPr="0014692E">
        <w:rPr>
          <w:rFonts w:ascii="Times New Roman" w:hAnsi="Times New Roman" w:cs="Times New Roman"/>
          <w:sz w:val="24"/>
          <w:szCs w:val="24"/>
        </w:rPr>
        <w:t>Pirkimo objekto dalis Nr. 1 „Oracle Exadata techninės įrangos (1 komplektas) gamintojo palaikymo paslaugos“</w:t>
      </w:r>
      <w:r w:rsidR="006D0E84">
        <w:rPr>
          <w:rFonts w:ascii="Times New Roman" w:hAnsi="Times New Roman" w:cs="Times New Roman"/>
          <w:sz w:val="24"/>
          <w:szCs w:val="24"/>
        </w:rPr>
        <w:t>;</w:t>
      </w:r>
      <w:r w:rsidR="00BD07D4" w:rsidRPr="0014692E">
        <w:rPr>
          <w:rFonts w:ascii="Times New Roman" w:hAnsi="Times New Roman" w:cs="Times New Roman"/>
          <w:sz w:val="24"/>
          <w:szCs w:val="24"/>
        </w:rPr>
        <w:t xml:space="preserve"> Pirkimo objekto dalis Nr. 2 „Oracle programinės įrangos gamintojo techninio palaikymo paslaugos“.</w:t>
      </w:r>
      <w:r w:rsidR="008948AB" w:rsidRPr="0014692E">
        <w:rPr>
          <w:rFonts w:ascii="Times New Roman" w:hAnsi="Times New Roman" w:cs="Times New Roman"/>
          <w:sz w:val="24"/>
          <w:szCs w:val="24"/>
        </w:rPr>
        <w:t xml:space="preserve"> </w:t>
      </w:r>
      <w:r w:rsidR="00624B55" w:rsidRPr="0014692E">
        <w:rPr>
          <w:rFonts w:ascii="Times New Roman" w:hAnsi="Times New Roman" w:cs="Times New Roman"/>
          <w:sz w:val="24"/>
          <w:szCs w:val="24"/>
        </w:rPr>
        <w:t>K</w:t>
      </w:r>
      <w:r w:rsidR="008948AB" w:rsidRPr="0014692E">
        <w:rPr>
          <w:rFonts w:ascii="Times New Roman" w:hAnsi="Times New Roman" w:cs="Times New Roman"/>
          <w:sz w:val="24"/>
          <w:szCs w:val="24"/>
        </w:rPr>
        <w:t>iekvienai Pirkimo objekto daliai buvo gauta po vieną pasiūlymą</w:t>
      </w:r>
      <w:r w:rsidR="0037023C" w:rsidRPr="0014692E">
        <w:rPr>
          <w:rFonts w:ascii="Times New Roman" w:hAnsi="Times New Roman" w:cs="Times New Roman"/>
          <w:sz w:val="24"/>
          <w:szCs w:val="24"/>
        </w:rPr>
        <w:t xml:space="preserve"> – Pirkimo objekto daliai Nr. 1 </w:t>
      </w:r>
      <w:r w:rsidR="00E917A9" w:rsidRPr="0014692E">
        <w:rPr>
          <w:rFonts w:ascii="Times New Roman" w:hAnsi="Times New Roman" w:cs="Times New Roman"/>
          <w:sz w:val="24"/>
          <w:szCs w:val="24"/>
        </w:rPr>
        <w:t xml:space="preserve">pasiūlymą </w:t>
      </w:r>
      <w:r w:rsidR="0037023C" w:rsidRPr="0014692E">
        <w:rPr>
          <w:rFonts w:ascii="Times New Roman" w:hAnsi="Times New Roman" w:cs="Times New Roman"/>
          <w:sz w:val="24"/>
          <w:szCs w:val="24"/>
        </w:rPr>
        <w:t>pateik</w:t>
      </w:r>
      <w:r w:rsidR="00E917A9" w:rsidRPr="0014692E">
        <w:rPr>
          <w:rFonts w:ascii="Times New Roman" w:hAnsi="Times New Roman" w:cs="Times New Roman"/>
          <w:sz w:val="24"/>
          <w:szCs w:val="24"/>
        </w:rPr>
        <w:t>ė</w:t>
      </w:r>
      <w:r w:rsidR="0037023C" w:rsidRPr="0014692E">
        <w:rPr>
          <w:rFonts w:ascii="Times New Roman" w:hAnsi="Times New Roman" w:cs="Times New Roman"/>
          <w:sz w:val="24"/>
          <w:szCs w:val="24"/>
        </w:rPr>
        <w:t xml:space="preserve"> UAB „Proact Lietuva“</w:t>
      </w:r>
      <w:r w:rsidR="00593A36" w:rsidRPr="0014692E">
        <w:rPr>
          <w:rFonts w:ascii="Times New Roman" w:hAnsi="Times New Roman" w:cs="Times New Roman"/>
          <w:sz w:val="24"/>
          <w:szCs w:val="24"/>
        </w:rPr>
        <w:t xml:space="preserve">, </w:t>
      </w:r>
      <w:r w:rsidR="0037023C" w:rsidRPr="0014692E">
        <w:rPr>
          <w:rFonts w:ascii="Times New Roman" w:hAnsi="Times New Roman" w:cs="Times New Roman"/>
          <w:sz w:val="24"/>
          <w:szCs w:val="24"/>
        </w:rPr>
        <w:t>Pirkimo objekto daliai Nr. 2</w:t>
      </w:r>
      <w:r w:rsidR="00E917A9" w:rsidRPr="0014692E">
        <w:rPr>
          <w:rFonts w:ascii="Times New Roman" w:hAnsi="Times New Roman" w:cs="Times New Roman"/>
          <w:sz w:val="24"/>
          <w:szCs w:val="24"/>
        </w:rPr>
        <w:t xml:space="preserve"> pasiūlymą </w:t>
      </w:r>
      <w:r w:rsidR="0037023C" w:rsidRPr="0014692E">
        <w:rPr>
          <w:rFonts w:ascii="Times New Roman" w:hAnsi="Times New Roman" w:cs="Times New Roman"/>
          <w:sz w:val="24"/>
          <w:szCs w:val="24"/>
        </w:rPr>
        <w:t>pateik</w:t>
      </w:r>
      <w:r w:rsidR="00E917A9" w:rsidRPr="0014692E">
        <w:rPr>
          <w:rFonts w:ascii="Times New Roman" w:hAnsi="Times New Roman" w:cs="Times New Roman"/>
          <w:sz w:val="24"/>
          <w:szCs w:val="24"/>
        </w:rPr>
        <w:t>ė</w:t>
      </w:r>
      <w:r w:rsidR="0037023C" w:rsidRPr="0014692E">
        <w:rPr>
          <w:rFonts w:ascii="Times New Roman" w:hAnsi="Times New Roman" w:cs="Times New Roman"/>
          <w:sz w:val="24"/>
          <w:szCs w:val="24"/>
        </w:rPr>
        <w:t xml:space="preserve"> Oracle Easty Central Europe Limited Filial</w:t>
      </w:r>
      <w:r w:rsidR="00896355" w:rsidRPr="0014692E">
        <w:rPr>
          <w:rFonts w:ascii="Times New Roman" w:hAnsi="Times New Roman" w:cs="Times New Roman"/>
          <w:sz w:val="24"/>
          <w:szCs w:val="24"/>
        </w:rPr>
        <w:t>as</w:t>
      </w:r>
      <w:r w:rsidR="00E80F88" w:rsidRPr="0014692E">
        <w:rPr>
          <w:rFonts w:ascii="Times New Roman" w:hAnsi="Times New Roman" w:cs="Times New Roman"/>
          <w:sz w:val="24"/>
          <w:szCs w:val="24"/>
        </w:rPr>
        <w:t>.</w:t>
      </w:r>
      <w:r w:rsidR="00624B55" w:rsidRPr="0014692E">
        <w:rPr>
          <w:rFonts w:ascii="Times New Roman" w:hAnsi="Times New Roman" w:cs="Times New Roman"/>
          <w:sz w:val="24"/>
          <w:szCs w:val="24"/>
        </w:rPr>
        <w:t xml:space="preserve"> </w:t>
      </w:r>
      <w:r w:rsidR="00E7214B" w:rsidRPr="0014692E">
        <w:rPr>
          <w:rFonts w:ascii="Times New Roman" w:hAnsi="Times New Roman" w:cs="Times New Roman"/>
          <w:sz w:val="24"/>
          <w:szCs w:val="24"/>
        </w:rPr>
        <w:t>Duomenų bazių saugyklos Oracle Exadata programinės ir techninės įrangos gamintojo garantijos pratęsimo ir techninės priežiūros paslaugų viešojo pirkimo komisija (toliau – Komisija)</w:t>
      </w:r>
      <w:r w:rsidR="00013C65" w:rsidRPr="0014692E">
        <w:rPr>
          <w:rFonts w:ascii="Times New Roman" w:hAnsi="Times New Roman" w:cs="Times New Roman"/>
          <w:sz w:val="24"/>
          <w:szCs w:val="24"/>
        </w:rPr>
        <w:t xml:space="preserve">, patikrinusi pasiūlymus pateikusių tiekėjų kvalifikaciją, nustatė, kad </w:t>
      </w:r>
      <w:r w:rsidR="00F655A6">
        <w:rPr>
          <w:rFonts w:ascii="Times New Roman" w:hAnsi="Times New Roman" w:cs="Times New Roman"/>
          <w:sz w:val="24"/>
          <w:szCs w:val="24"/>
        </w:rPr>
        <w:t xml:space="preserve">pasiūlymus pateikusių tiekėjų </w:t>
      </w:r>
      <w:r w:rsidR="00013C65" w:rsidRPr="0014692E">
        <w:rPr>
          <w:rFonts w:ascii="Times New Roman" w:hAnsi="Times New Roman" w:cs="Times New Roman"/>
          <w:sz w:val="24"/>
          <w:szCs w:val="24"/>
        </w:rPr>
        <w:t>kvalifikaciniai duomenys atitinka Pirkimo dokumentuose nustatytus reikal</w:t>
      </w:r>
      <w:r w:rsidR="00010BCD" w:rsidRPr="0014692E">
        <w:rPr>
          <w:rFonts w:ascii="Times New Roman" w:hAnsi="Times New Roman" w:cs="Times New Roman"/>
          <w:sz w:val="24"/>
          <w:szCs w:val="24"/>
        </w:rPr>
        <w:t>a</w:t>
      </w:r>
      <w:r w:rsidR="00013C65" w:rsidRPr="0014692E">
        <w:rPr>
          <w:rFonts w:ascii="Times New Roman" w:hAnsi="Times New Roman" w:cs="Times New Roman"/>
          <w:sz w:val="24"/>
          <w:szCs w:val="24"/>
        </w:rPr>
        <w:t xml:space="preserve">vimus. </w:t>
      </w:r>
    </w:p>
    <w:p w:rsidR="000E7025" w:rsidRPr="0014692E" w:rsidRDefault="003B5D6E" w:rsidP="0014692E">
      <w:pPr>
        <w:spacing w:after="0" w:line="264" w:lineRule="auto"/>
        <w:ind w:firstLine="697"/>
        <w:jc w:val="both"/>
        <w:rPr>
          <w:rFonts w:ascii="Times New Roman" w:hAnsi="Times New Roman" w:cs="Times New Roman"/>
          <w:sz w:val="24"/>
          <w:szCs w:val="24"/>
        </w:rPr>
      </w:pPr>
      <w:r w:rsidRPr="0014692E">
        <w:rPr>
          <w:rStyle w:val="copy"/>
          <w:rFonts w:ascii="Times New Roman" w:hAnsi="Times New Roman" w:cs="Times New Roman"/>
          <w:sz w:val="24"/>
          <w:szCs w:val="24"/>
        </w:rPr>
        <w:t>Valstybinės mokesčių inspekcijos prie Lietuvos Respublikos finansų ministerijos</w:t>
      </w:r>
      <w:r w:rsidRPr="0014692E">
        <w:rPr>
          <w:rFonts w:ascii="Times New Roman" w:hAnsi="Times New Roman" w:cs="Times New Roman"/>
          <w:sz w:val="24"/>
          <w:szCs w:val="24"/>
        </w:rPr>
        <w:t xml:space="preserve"> (toliau – Perkančioji organizacija) prašymas motyvuojamas tuo, kad </w:t>
      </w:r>
      <w:r w:rsidR="00013C65" w:rsidRPr="0014692E">
        <w:rPr>
          <w:rFonts w:ascii="Times New Roman" w:hAnsi="Times New Roman" w:cs="Times New Roman"/>
          <w:sz w:val="24"/>
          <w:szCs w:val="24"/>
        </w:rPr>
        <w:t>Komisija, išnagrinėjusi ir įvertinusi tiekėjų pateiktų pasiūlymų atitikimą Pirkimo dokument</w:t>
      </w:r>
      <w:r w:rsidR="00581A01" w:rsidRPr="0014692E">
        <w:rPr>
          <w:rFonts w:ascii="Times New Roman" w:hAnsi="Times New Roman" w:cs="Times New Roman"/>
          <w:sz w:val="24"/>
          <w:szCs w:val="24"/>
        </w:rPr>
        <w:t xml:space="preserve">ų reikalavimams, </w:t>
      </w:r>
      <w:r w:rsidR="00E7214B" w:rsidRPr="0014692E">
        <w:rPr>
          <w:rFonts w:ascii="Times New Roman" w:hAnsi="Times New Roman" w:cs="Times New Roman"/>
          <w:sz w:val="24"/>
          <w:szCs w:val="24"/>
        </w:rPr>
        <w:t xml:space="preserve">nustatė, kad pateikti pasiūlymai turi įforminimo trūkumų, t. y. CVP IS priemonėmis pateiktos pasirašytų dokumentų skaitmeninės kopijos, tačiau pasiūlymai nepasirašyti saugiu elektroniniu parašu, kaip to </w:t>
      </w:r>
      <w:proofErr w:type="gramStart"/>
      <w:r w:rsidR="00E7214B" w:rsidRPr="0014692E">
        <w:rPr>
          <w:rFonts w:ascii="Times New Roman" w:hAnsi="Times New Roman" w:cs="Times New Roman"/>
          <w:sz w:val="24"/>
          <w:szCs w:val="24"/>
        </w:rPr>
        <w:t>reikalauja</w:t>
      </w:r>
      <w:proofErr w:type="gramEnd"/>
      <w:r w:rsidR="00E7214B" w:rsidRPr="0014692E">
        <w:rPr>
          <w:rFonts w:ascii="Times New Roman" w:hAnsi="Times New Roman" w:cs="Times New Roman"/>
          <w:sz w:val="24"/>
          <w:szCs w:val="24"/>
        </w:rPr>
        <w:t xml:space="preserve"> Pirkimo dokumentų 3.6 punkte, todėl kiekvienai </w:t>
      </w:r>
      <w:r w:rsidR="00E7214B" w:rsidRPr="008A694D">
        <w:rPr>
          <w:rFonts w:ascii="Times New Roman" w:hAnsi="Times New Roman" w:cs="Times New Roman"/>
          <w:sz w:val="24"/>
          <w:szCs w:val="24"/>
        </w:rPr>
        <w:t xml:space="preserve">Pirkimo objekto daliai pateikti </w:t>
      </w:r>
      <w:r w:rsidR="00E7214B" w:rsidRPr="0014692E">
        <w:rPr>
          <w:rFonts w:ascii="Times New Roman" w:hAnsi="Times New Roman" w:cs="Times New Roman"/>
          <w:sz w:val="24"/>
          <w:szCs w:val="24"/>
        </w:rPr>
        <w:t>pasiūlymai nepriimtini ir atmestini, kaip neatitinkantys Pirkimo dokumen</w:t>
      </w:r>
      <w:r w:rsidR="00010BCD" w:rsidRPr="0014692E">
        <w:rPr>
          <w:rFonts w:ascii="Times New Roman" w:hAnsi="Times New Roman" w:cs="Times New Roman"/>
          <w:sz w:val="24"/>
          <w:szCs w:val="24"/>
        </w:rPr>
        <w:t>t</w:t>
      </w:r>
      <w:r w:rsidR="00E7214B" w:rsidRPr="0014692E">
        <w:rPr>
          <w:rFonts w:ascii="Times New Roman" w:hAnsi="Times New Roman" w:cs="Times New Roman"/>
          <w:sz w:val="24"/>
          <w:szCs w:val="24"/>
        </w:rPr>
        <w:t xml:space="preserve">ų reikalavimų. </w:t>
      </w:r>
      <w:r w:rsidR="004A5E9F" w:rsidRPr="0014692E">
        <w:rPr>
          <w:rFonts w:ascii="Times New Roman" w:hAnsi="Times New Roman" w:cs="Times New Roman"/>
          <w:sz w:val="24"/>
          <w:szCs w:val="24"/>
        </w:rPr>
        <w:t>Komisija, vadovaudamasi Įstatymo 39 straipsnio 2 dalies 2 punktu ir Pirkimo dokumentų 7.4.6 punktu, atmetė abiejų tiekėjų pasiūlymus, kaip turinčiu</w:t>
      </w:r>
      <w:r w:rsidR="00484A80" w:rsidRPr="0014692E">
        <w:rPr>
          <w:rFonts w:ascii="Times New Roman" w:hAnsi="Times New Roman" w:cs="Times New Roman"/>
          <w:sz w:val="24"/>
          <w:szCs w:val="24"/>
        </w:rPr>
        <w:t>s pasiūlymo įforminimo trūkumų</w:t>
      </w:r>
      <w:r w:rsidR="0037023C" w:rsidRPr="0014692E">
        <w:rPr>
          <w:rFonts w:ascii="Times New Roman" w:hAnsi="Times New Roman" w:cs="Times New Roman"/>
          <w:sz w:val="24"/>
          <w:szCs w:val="24"/>
        </w:rPr>
        <w:t xml:space="preserve"> </w:t>
      </w:r>
      <w:r w:rsidR="00827786" w:rsidRPr="0014692E">
        <w:rPr>
          <w:rFonts w:ascii="Times New Roman" w:hAnsi="Times New Roman" w:cs="Times New Roman"/>
          <w:sz w:val="24"/>
          <w:szCs w:val="24"/>
        </w:rPr>
        <w:t>(</w:t>
      </w:r>
      <w:r w:rsidR="00A67210" w:rsidRPr="0014692E">
        <w:rPr>
          <w:rFonts w:ascii="Times New Roman" w:hAnsi="Times New Roman" w:cs="Times New Roman"/>
          <w:sz w:val="24"/>
          <w:szCs w:val="24"/>
        </w:rPr>
        <w:t>K</w:t>
      </w:r>
      <w:r w:rsidR="00827786" w:rsidRPr="0014692E">
        <w:rPr>
          <w:rFonts w:ascii="Times New Roman" w:hAnsi="Times New Roman" w:cs="Times New Roman"/>
          <w:sz w:val="24"/>
          <w:szCs w:val="24"/>
        </w:rPr>
        <w:t>omisijos 201</w:t>
      </w:r>
      <w:r w:rsidR="00EB12E8" w:rsidRPr="0014692E">
        <w:rPr>
          <w:rFonts w:ascii="Times New Roman" w:hAnsi="Times New Roman" w:cs="Times New Roman"/>
          <w:sz w:val="24"/>
          <w:szCs w:val="24"/>
        </w:rPr>
        <w:t>5</w:t>
      </w:r>
      <w:r w:rsidR="00827786" w:rsidRPr="0014692E">
        <w:rPr>
          <w:rFonts w:ascii="Times New Roman" w:hAnsi="Times New Roman" w:cs="Times New Roman"/>
          <w:sz w:val="24"/>
          <w:szCs w:val="24"/>
        </w:rPr>
        <w:t xml:space="preserve"> m. </w:t>
      </w:r>
      <w:r w:rsidR="00EB12E8" w:rsidRPr="0014692E">
        <w:rPr>
          <w:rFonts w:ascii="Times New Roman" w:hAnsi="Times New Roman" w:cs="Times New Roman"/>
          <w:sz w:val="24"/>
          <w:szCs w:val="24"/>
        </w:rPr>
        <w:t>balandžio</w:t>
      </w:r>
      <w:r w:rsidR="00827786" w:rsidRPr="0014692E">
        <w:rPr>
          <w:rFonts w:ascii="Times New Roman" w:hAnsi="Times New Roman" w:cs="Times New Roman"/>
          <w:sz w:val="24"/>
          <w:szCs w:val="24"/>
        </w:rPr>
        <w:t xml:space="preserve"> </w:t>
      </w:r>
      <w:r w:rsidR="00702E67">
        <w:rPr>
          <w:rFonts w:ascii="Times New Roman" w:hAnsi="Times New Roman" w:cs="Times New Roman"/>
          <w:sz w:val="24"/>
          <w:szCs w:val="24"/>
        </w:rPr>
        <w:t>9</w:t>
      </w:r>
      <w:r w:rsidR="00827786" w:rsidRPr="0014692E">
        <w:rPr>
          <w:rFonts w:ascii="Times New Roman" w:hAnsi="Times New Roman" w:cs="Times New Roman"/>
          <w:sz w:val="24"/>
          <w:szCs w:val="24"/>
        </w:rPr>
        <w:t xml:space="preserve"> d. posėdžio protokolas Nr. </w:t>
      </w:r>
      <w:r w:rsidR="00EB12E8" w:rsidRPr="0014692E">
        <w:rPr>
          <w:rFonts w:ascii="Times New Roman" w:hAnsi="Times New Roman" w:cs="Times New Roman"/>
          <w:sz w:val="24"/>
          <w:szCs w:val="24"/>
        </w:rPr>
        <w:t>3</w:t>
      </w:r>
      <w:r w:rsidR="00827786" w:rsidRPr="0014692E">
        <w:rPr>
          <w:rFonts w:ascii="Times New Roman" w:hAnsi="Times New Roman" w:cs="Times New Roman"/>
          <w:sz w:val="24"/>
          <w:szCs w:val="24"/>
        </w:rPr>
        <w:t>)</w:t>
      </w:r>
      <w:r w:rsidR="00624B55" w:rsidRPr="0014692E">
        <w:rPr>
          <w:rFonts w:ascii="Times New Roman" w:hAnsi="Times New Roman" w:cs="Times New Roman"/>
          <w:sz w:val="24"/>
          <w:szCs w:val="24"/>
        </w:rPr>
        <w:t>.</w:t>
      </w:r>
      <w:r w:rsidR="007F060E" w:rsidRPr="0014692E">
        <w:rPr>
          <w:rFonts w:ascii="Times New Roman" w:hAnsi="Times New Roman" w:cs="Times New Roman"/>
          <w:sz w:val="24"/>
          <w:szCs w:val="24"/>
        </w:rPr>
        <w:t xml:space="preserve"> </w:t>
      </w:r>
    </w:p>
    <w:p w:rsidR="00BA53B6" w:rsidRPr="0014692E" w:rsidRDefault="00624B55" w:rsidP="0014692E">
      <w:pPr>
        <w:widowControl w:val="0"/>
        <w:spacing w:after="0" w:line="264" w:lineRule="auto"/>
        <w:ind w:firstLine="697"/>
        <w:jc w:val="both"/>
        <w:rPr>
          <w:rFonts w:ascii="Times New Roman" w:hAnsi="Times New Roman" w:cs="Times New Roman"/>
          <w:sz w:val="24"/>
          <w:szCs w:val="24"/>
        </w:rPr>
      </w:pPr>
      <w:r w:rsidRPr="0014692E">
        <w:rPr>
          <w:rFonts w:ascii="Times New Roman" w:hAnsi="Times New Roman" w:cs="Times New Roman"/>
          <w:sz w:val="24"/>
          <w:szCs w:val="24"/>
        </w:rPr>
        <w:t xml:space="preserve">Perkančioji organizacija </w:t>
      </w:r>
      <w:r w:rsidR="000E7025" w:rsidRPr="0014692E">
        <w:rPr>
          <w:rFonts w:ascii="Times New Roman" w:hAnsi="Times New Roman" w:cs="Times New Roman"/>
          <w:sz w:val="24"/>
          <w:szCs w:val="24"/>
        </w:rPr>
        <w:t>nurod</w:t>
      </w:r>
      <w:r w:rsidR="00772284" w:rsidRPr="0014692E">
        <w:rPr>
          <w:rFonts w:ascii="Times New Roman" w:hAnsi="Times New Roman" w:cs="Times New Roman"/>
          <w:sz w:val="24"/>
          <w:szCs w:val="24"/>
        </w:rPr>
        <w:t>o, kad</w:t>
      </w:r>
      <w:r w:rsidR="008917A8" w:rsidRPr="0014692E">
        <w:rPr>
          <w:rFonts w:ascii="Times New Roman" w:hAnsi="Times New Roman" w:cs="Times New Roman"/>
          <w:sz w:val="24"/>
          <w:szCs w:val="24"/>
        </w:rPr>
        <w:t>,</w:t>
      </w:r>
      <w:r w:rsidR="00772284" w:rsidRPr="0014692E">
        <w:rPr>
          <w:rFonts w:ascii="Times New Roman" w:hAnsi="Times New Roman" w:cs="Times New Roman"/>
          <w:sz w:val="24"/>
          <w:szCs w:val="24"/>
        </w:rPr>
        <w:t xml:space="preserve"> įvertinus</w:t>
      </w:r>
      <w:r w:rsidR="007027BB" w:rsidRPr="0014692E">
        <w:rPr>
          <w:rFonts w:ascii="Times New Roman" w:hAnsi="Times New Roman" w:cs="Times New Roman"/>
          <w:sz w:val="24"/>
          <w:szCs w:val="24"/>
        </w:rPr>
        <w:t xml:space="preserve"> nurodytas aplinkyb</w:t>
      </w:r>
      <w:r w:rsidR="00450004" w:rsidRPr="0014692E">
        <w:rPr>
          <w:rFonts w:ascii="Times New Roman" w:hAnsi="Times New Roman" w:cs="Times New Roman"/>
          <w:sz w:val="24"/>
          <w:szCs w:val="24"/>
        </w:rPr>
        <w:t>e</w:t>
      </w:r>
      <w:r w:rsidR="00BA53B6" w:rsidRPr="0014692E">
        <w:rPr>
          <w:rFonts w:ascii="Times New Roman" w:hAnsi="Times New Roman" w:cs="Times New Roman"/>
          <w:sz w:val="24"/>
          <w:szCs w:val="24"/>
        </w:rPr>
        <w:t>s</w:t>
      </w:r>
      <w:r w:rsidR="007027BB" w:rsidRPr="0014692E">
        <w:rPr>
          <w:rFonts w:ascii="Times New Roman" w:hAnsi="Times New Roman" w:cs="Times New Roman"/>
          <w:sz w:val="24"/>
          <w:szCs w:val="24"/>
        </w:rPr>
        <w:t xml:space="preserve">, </w:t>
      </w:r>
      <w:r w:rsidR="00BA53B6" w:rsidRPr="0014692E">
        <w:rPr>
          <w:rFonts w:ascii="Times New Roman" w:hAnsi="Times New Roman" w:cs="Times New Roman"/>
          <w:i/>
          <w:sz w:val="24"/>
          <w:szCs w:val="24"/>
        </w:rPr>
        <w:t>Duomenų bazių saugyklos Oracle Exadata programinės ir techninės įrangos gamintojo garantijos pratęsimo ir techninės priežiūros paslaugų</w:t>
      </w:r>
      <w:r w:rsidR="00BA53B6" w:rsidRPr="0014692E">
        <w:rPr>
          <w:rFonts w:ascii="Times New Roman" w:hAnsi="Times New Roman" w:cs="Times New Roman"/>
          <w:sz w:val="24"/>
          <w:szCs w:val="24"/>
        </w:rPr>
        <w:t xml:space="preserve"> </w:t>
      </w:r>
      <w:r w:rsidR="00BA53B6" w:rsidRPr="0014692E">
        <w:rPr>
          <w:rFonts w:ascii="Times New Roman" w:hAnsi="Times New Roman" w:cs="Times New Roman"/>
          <w:i/>
          <w:sz w:val="24"/>
          <w:szCs w:val="24"/>
        </w:rPr>
        <w:t xml:space="preserve">viešąjį </w:t>
      </w:r>
      <w:r w:rsidR="00BA53B6" w:rsidRPr="0014692E">
        <w:rPr>
          <w:rFonts w:ascii="Times New Roman" w:eastAsia="Times New Roman" w:hAnsi="Times New Roman" w:cs="Times New Roman"/>
          <w:i/>
          <w:sz w:val="24"/>
          <w:szCs w:val="24"/>
        </w:rPr>
        <w:t>pirkim</w:t>
      </w:r>
      <w:r w:rsidR="00450004" w:rsidRPr="0014692E">
        <w:rPr>
          <w:rFonts w:ascii="Times New Roman" w:eastAsia="Times New Roman" w:hAnsi="Times New Roman" w:cs="Times New Roman"/>
          <w:i/>
          <w:sz w:val="24"/>
          <w:szCs w:val="24"/>
        </w:rPr>
        <w:t xml:space="preserve">o vykdymas </w:t>
      </w:r>
      <w:r w:rsidR="00450004" w:rsidRPr="0014692E">
        <w:rPr>
          <w:rFonts w:ascii="Times New Roman" w:eastAsia="Times New Roman" w:hAnsi="Times New Roman" w:cs="Times New Roman"/>
          <w:sz w:val="24"/>
          <w:szCs w:val="24"/>
        </w:rPr>
        <w:t>neskelbiamų derybų būdu</w:t>
      </w:r>
      <w:r w:rsidR="00450004" w:rsidRPr="0014692E">
        <w:rPr>
          <w:rFonts w:ascii="Times New Roman" w:eastAsia="Times New Roman" w:hAnsi="Times New Roman" w:cs="Times New Roman"/>
          <w:i/>
          <w:sz w:val="24"/>
          <w:szCs w:val="24"/>
        </w:rPr>
        <w:t xml:space="preserve"> </w:t>
      </w:r>
      <w:r w:rsidR="00450004" w:rsidRPr="0014692E">
        <w:rPr>
          <w:rFonts w:ascii="Times New Roman" w:eastAsia="Times New Roman" w:hAnsi="Times New Roman" w:cs="Times New Roman"/>
          <w:sz w:val="24"/>
          <w:szCs w:val="24"/>
        </w:rPr>
        <w:t xml:space="preserve">atitinka Įstatymo </w:t>
      </w:r>
      <w:r w:rsidR="00450004" w:rsidRPr="0014692E">
        <w:rPr>
          <w:rFonts w:ascii="Times New Roman" w:eastAsia="Times New Roman" w:hAnsi="Times New Roman" w:cs="Times New Roman"/>
          <w:sz w:val="24"/>
          <w:szCs w:val="24"/>
        </w:rPr>
        <w:lastRenderedPageBreak/>
        <w:t>56 straipsnio 1 dalies 1 punkte nurodytą sąlygą „</w:t>
      </w:r>
      <w:r w:rsidR="003D262B" w:rsidRPr="0014692E">
        <w:rPr>
          <w:rFonts w:ascii="Times New Roman" w:hAnsi="Times New Roman" w:cs="Times New Roman"/>
          <w:i/>
          <w:sz w:val="24"/>
          <w:szCs w:val="24"/>
        </w:rPr>
        <w:t>jeigu atviram ar ribotam konkursui ar konkurenciniam dialogui pateikti pasiūlymai visi nepriimtini arba nevisiškai atitiko pirkimo dokumentuose nustatytus reikalavimus, pirkimo sąlygos iš esmės nekeičiamos, ir į derybas kviečiami visi vykusiam atviram, ribotam konkursui ar konkurenciniam dialogui pasiūlymus pateikę tiekėjai, atitinkantys perkančiosios organizacijos nustatytus minimalius kvalifikacijos ir pasiūlymo pateikimo reikalavimus“.</w:t>
      </w:r>
      <w:r w:rsidR="00BA53B6" w:rsidRPr="0014692E">
        <w:rPr>
          <w:rFonts w:ascii="Times New Roman" w:eastAsia="Times New Roman" w:hAnsi="Times New Roman" w:cs="Times New Roman"/>
          <w:i/>
          <w:sz w:val="24"/>
          <w:szCs w:val="24"/>
        </w:rPr>
        <w:t xml:space="preserve"> </w:t>
      </w:r>
    </w:p>
    <w:p w:rsidR="00E45435" w:rsidRPr="0014692E" w:rsidRDefault="003D262B" w:rsidP="0014692E">
      <w:pPr>
        <w:widowControl w:val="0"/>
        <w:spacing w:after="0" w:line="264" w:lineRule="auto"/>
        <w:ind w:firstLine="697"/>
        <w:jc w:val="both"/>
        <w:rPr>
          <w:rFonts w:ascii="Times New Roman" w:hAnsi="Times New Roman" w:cs="Times New Roman"/>
          <w:sz w:val="24"/>
          <w:szCs w:val="24"/>
        </w:rPr>
      </w:pPr>
      <w:r w:rsidRPr="0014692E">
        <w:rPr>
          <w:rFonts w:ascii="Times New Roman" w:hAnsi="Times New Roman" w:cs="Times New Roman"/>
          <w:sz w:val="24"/>
          <w:szCs w:val="24"/>
        </w:rPr>
        <w:t xml:space="preserve"> </w:t>
      </w:r>
      <w:r w:rsidR="000E1578" w:rsidRPr="0014692E">
        <w:rPr>
          <w:rFonts w:ascii="Times New Roman" w:hAnsi="Times New Roman" w:cs="Times New Roman"/>
          <w:sz w:val="24"/>
          <w:szCs w:val="24"/>
        </w:rPr>
        <w:t xml:space="preserve"> </w:t>
      </w:r>
      <w:r w:rsidR="007F2EBA" w:rsidRPr="0014692E">
        <w:rPr>
          <w:rFonts w:ascii="Times New Roman" w:hAnsi="Times New Roman" w:cs="Times New Roman"/>
          <w:sz w:val="24"/>
          <w:szCs w:val="24"/>
        </w:rPr>
        <w:t xml:space="preserve">Atsiradus pagrindui vykdyti neskelbiamas derybas pagal Įstatymo 56 straipsnio 1 dalies 1 punkto nuostatas, </w:t>
      </w:r>
      <w:r w:rsidR="00A06198" w:rsidRPr="0014692E">
        <w:rPr>
          <w:rFonts w:ascii="Times New Roman" w:hAnsi="Times New Roman" w:cs="Times New Roman"/>
          <w:sz w:val="24"/>
          <w:szCs w:val="24"/>
        </w:rPr>
        <w:t xml:space="preserve">Perkančioji organizacija </w:t>
      </w:r>
      <w:proofErr w:type="gramStart"/>
      <w:r w:rsidR="00A06198" w:rsidRPr="0014692E">
        <w:rPr>
          <w:rFonts w:ascii="Times New Roman" w:hAnsi="Times New Roman" w:cs="Times New Roman"/>
          <w:sz w:val="24"/>
          <w:szCs w:val="24"/>
        </w:rPr>
        <w:t>prašo</w:t>
      </w:r>
      <w:proofErr w:type="gramEnd"/>
      <w:r w:rsidR="00A06198" w:rsidRPr="0014692E">
        <w:rPr>
          <w:rFonts w:ascii="Times New Roman" w:hAnsi="Times New Roman" w:cs="Times New Roman"/>
          <w:sz w:val="24"/>
          <w:szCs w:val="24"/>
        </w:rPr>
        <w:t xml:space="preserve"> Tarnybos sutikimo atlikti </w:t>
      </w:r>
      <w:r w:rsidR="00DD2DD8" w:rsidRPr="0014692E">
        <w:rPr>
          <w:rFonts w:ascii="Times New Roman" w:hAnsi="Times New Roman" w:cs="Times New Roman"/>
          <w:i/>
          <w:sz w:val="24"/>
          <w:szCs w:val="24"/>
        </w:rPr>
        <w:t>Duomenų bazių saugyklos Oracle Exadata programinės ir techninės įrangos gamintojo garantijos pratęsimo ir techninės priežiūros paslaugų</w:t>
      </w:r>
      <w:r w:rsidR="00DD2DD8" w:rsidRPr="0014692E">
        <w:rPr>
          <w:rFonts w:ascii="Times New Roman" w:hAnsi="Times New Roman" w:cs="Times New Roman"/>
          <w:sz w:val="24"/>
          <w:szCs w:val="24"/>
        </w:rPr>
        <w:t xml:space="preserve"> </w:t>
      </w:r>
      <w:r w:rsidR="00DD2DD8" w:rsidRPr="0014692E">
        <w:rPr>
          <w:rFonts w:ascii="Times New Roman" w:hAnsi="Times New Roman" w:cs="Times New Roman"/>
          <w:i/>
          <w:sz w:val="24"/>
          <w:szCs w:val="24"/>
        </w:rPr>
        <w:t xml:space="preserve">viešąjį </w:t>
      </w:r>
      <w:r w:rsidR="00DD2DD8" w:rsidRPr="0014692E">
        <w:rPr>
          <w:rFonts w:ascii="Times New Roman" w:eastAsia="Times New Roman" w:hAnsi="Times New Roman" w:cs="Times New Roman"/>
          <w:i/>
          <w:sz w:val="24"/>
          <w:szCs w:val="24"/>
        </w:rPr>
        <w:t xml:space="preserve">pirkimą </w:t>
      </w:r>
      <w:r w:rsidR="00A06198" w:rsidRPr="0014692E">
        <w:rPr>
          <w:rFonts w:ascii="Times New Roman" w:hAnsi="Times New Roman" w:cs="Times New Roman"/>
          <w:sz w:val="24"/>
          <w:szCs w:val="24"/>
        </w:rPr>
        <w:t xml:space="preserve">neskelbiamų derybų būdu, vadovaujantis Įstatymo 56 straipsnio 1 dalies 1 punkto nuostatomis, kadangi </w:t>
      </w:r>
      <w:r w:rsidR="00A06198" w:rsidRPr="0014692E">
        <w:rPr>
          <w:rFonts w:ascii="Times New Roman" w:hAnsi="Times New Roman" w:cs="Times New Roman"/>
          <w:bCs/>
          <w:color w:val="000000"/>
          <w:sz w:val="24"/>
          <w:szCs w:val="24"/>
        </w:rPr>
        <w:t>Pirkim</w:t>
      </w:r>
      <w:r w:rsidR="00DD2DD8" w:rsidRPr="0014692E">
        <w:rPr>
          <w:rFonts w:ascii="Times New Roman" w:hAnsi="Times New Roman" w:cs="Times New Roman"/>
          <w:bCs/>
          <w:color w:val="000000"/>
          <w:sz w:val="24"/>
          <w:szCs w:val="24"/>
        </w:rPr>
        <w:t xml:space="preserve">o objekto daliai Nr. 1 ir Pirkimo objekto daliai Nr. 2 </w:t>
      </w:r>
      <w:r w:rsidR="00A06198" w:rsidRPr="0014692E">
        <w:rPr>
          <w:rFonts w:ascii="Times New Roman" w:hAnsi="Times New Roman" w:cs="Times New Roman"/>
          <w:sz w:val="24"/>
          <w:szCs w:val="24"/>
        </w:rPr>
        <w:t>pateikt</w:t>
      </w:r>
      <w:r w:rsidR="00A60438" w:rsidRPr="0014692E">
        <w:rPr>
          <w:rFonts w:ascii="Times New Roman" w:hAnsi="Times New Roman" w:cs="Times New Roman"/>
          <w:sz w:val="24"/>
          <w:szCs w:val="24"/>
        </w:rPr>
        <w:t>i</w:t>
      </w:r>
      <w:r w:rsidR="00A06198" w:rsidRPr="0014692E">
        <w:rPr>
          <w:rFonts w:ascii="Times New Roman" w:hAnsi="Times New Roman" w:cs="Times New Roman"/>
          <w:sz w:val="24"/>
          <w:szCs w:val="24"/>
        </w:rPr>
        <w:t xml:space="preserve"> pasiūlyma</w:t>
      </w:r>
      <w:r w:rsidR="00A60438" w:rsidRPr="0014692E">
        <w:rPr>
          <w:rFonts w:ascii="Times New Roman" w:hAnsi="Times New Roman" w:cs="Times New Roman"/>
          <w:sz w:val="24"/>
          <w:szCs w:val="24"/>
        </w:rPr>
        <w:t>i</w:t>
      </w:r>
      <w:r w:rsidR="00A06198" w:rsidRPr="0014692E">
        <w:rPr>
          <w:rFonts w:ascii="Times New Roman" w:hAnsi="Times New Roman" w:cs="Times New Roman"/>
          <w:sz w:val="24"/>
          <w:szCs w:val="24"/>
        </w:rPr>
        <w:t xml:space="preserve"> yra nepriimtin</w:t>
      </w:r>
      <w:r w:rsidR="00A60438" w:rsidRPr="0014692E">
        <w:rPr>
          <w:rFonts w:ascii="Times New Roman" w:hAnsi="Times New Roman" w:cs="Times New Roman"/>
          <w:sz w:val="24"/>
          <w:szCs w:val="24"/>
        </w:rPr>
        <w:t>i</w:t>
      </w:r>
      <w:r w:rsidR="00A06198" w:rsidRPr="0014692E">
        <w:rPr>
          <w:rFonts w:ascii="Times New Roman" w:hAnsi="Times New Roman" w:cs="Times New Roman"/>
          <w:sz w:val="24"/>
          <w:szCs w:val="24"/>
        </w:rPr>
        <w:t xml:space="preserve"> Perkančiajai organizacijai, o Pirkimo sąlygos iš esmės nebus keičiamos ir į derybas bus kviečiamas vienintelis pasiūlymą </w:t>
      </w:r>
      <w:r w:rsidR="00A60438" w:rsidRPr="0014692E">
        <w:rPr>
          <w:rFonts w:ascii="Times New Roman" w:hAnsi="Times New Roman" w:cs="Times New Roman"/>
          <w:sz w:val="24"/>
          <w:szCs w:val="24"/>
        </w:rPr>
        <w:t xml:space="preserve">Pirkimo objekto daliai Nr. 1 </w:t>
      </w:r>
      <w:r w:rsidR="008B2E74" w:rsidRPr="0014692E">
        <w:rPr>
          <w:rFonts w:ascii="Times New Roman" w:hAnsi="Times New Roman" w:cs="Times New Roman"/>
          <w:sz w:val="24"/>
          <w:szCs w:val="24"/>
        </w:rPr>
        <w:t>pateikęs</w:t>
      </w:r>
      <w:r w:rsidR="00B5445A" w:rsidRPr="0014692E">
        <w:rPr>
          <w:rFonts w:ascii="Times New Roman" w:hAnsi="Times New Roman" w:cs="Times New Roman"/>
          <w:sz w:val="24"/>
          <w:szCs w:val="24"/>
        </w:rPr>
        <w:t xml:space="preserve">, Perkančiosios organizacijos nustatytus kvalifikacijos reikalavimus atitinkantis, tiekėjas </w:t>
      </w:r>
      <w:r w:rsidR="00E56A44" w:rsidRPr="0014692E">
        <w:rPr>
          <w:rFonts w:ascii="Times New Roman" w:hAnsi="Times New Roman" w:cs="Times New Roman"/>
          <w:sz w:val="24"/>
          <w:szCs w:val="24"/>
        </w:rPr>
        <w:t xml:space="preserve">UAB „Proact Lietuva“ ir </w:t>
      </w:r>
      <w:r w:rsidR="008B2E74" w:rsidRPr="0014692E">
        <w:rPr>
          <w:rFonts w:ascii="Times New Roman" w:hAnsi="Times New Roman" w:cs="Times New Roman"/>
          <w:sz w:val="24"/>
          <w:szCs w:val="24"/>
        </w:rPr>
        <w:t xml:space="preserve">vienintelis </w:t>
      </w:r>
      <w:r w:rsidR="00BB4E64" w:rsidRPr="0014692E">
        <w:rPr>
          <w:rFonts w:ascii="Times New Roman" w:hAnsi="Times New Roman" w:cs="Times New Roman"/>
          <w:sz w:val="24"/>
          <w:szCs w:val="24"/>
        </w:rPr>
        <w:t xml:space="preserve">pasiūlymą </w:t>
      </w:r>
      <w:r w:rsidR="00A60438" w:rsidRPr="0014692E">
        <w:rPr>
          <w:rFonts w:ascii="Times New Roman" w:hAnsi="Times New Roman" w:cs="Times New Roman"/>
          <w:sz w:val="24"/>
          <w:szCs w:val="24"/>
        </w:rPr>
        <w:t xml:space="preserve">Pirkimo objekto daliai Nr. 2 </w:t>
      </w:r>
      <w:r w:rsidR="00A06198" w:rsidRPr="0014692E">
        <w:rPr>
          <w:rFonts w:ascii="Times New Roman" w:hAnsi="Times New Roman" w:cs="Times New Roman"/>
          <w:sz w:val="24"/>
          <w:szCs w:val="24"/>
        </w:rPr>
        <w:t>pateikę</w:t>
      </w:r>
      <w:r w:rsidR="008B2E74" w:rsidRPr="0014692E">
        <w:rPr>
          <w:rFonts w:ascii="Times New Roman" w:hAnsi="Times New Roman" w:cs="Times New Roman"/>
          <w:sz w:val="24"/>
          <w:szCs w:val="24"/>
        </w:rPr>
        <w:t>s</w:t>
      </w:r>
      <w:r w:rsidR="00A06198" w:rsidRPr="0014692E">
        <w:rPr>
          <w:rFonts w:ascii="Times New Roman" w:hAnsi="Times New Roman" w:cs="Times New Roman"/>
          <w:sz w:val="24"/>
          <w:szCs w:val="24"/>
        </w:rPr>
        <w:t xml:space="preserve">, </w:t>
      </w:r>
      <w:r w:rsidR="00B5445A" w:rsidRPr="0014692E">
        <w:rPr>
          <w:rFonts w:ascii="Times New Roman" w:hAnsi="Times New Roman" w:cs="Times New Roman"/>
          <w:sz w:val="24"/>
          <w:szCs w:val="24"/>
        </w:rPr>
        <w:t xml:space="preserve">Perkančiosios organizacijos nustatytus kvalifikacijos reikalavimus atitinkantis, tiekėjas </w:t>
      </w:r>
      <w:r w:rsidR="00E56A44" w:rsidRPr="0014692E">
        <w:rPr>
          <w:rFonts w:ascii="Times New Roman" w:hAnsi="Times New Roman" w:cs="Times New Roman"/>
          <w:sz w:val="24"/>
          <w:szCs w:val="24"/>
        </w:rPr>
        <w:t>Oracle Easty Central Europe Li</w:t>
      </w:r>
      <w:r w:rsidR="007F2EBA" w:rsidRPr="0014692E">
        <w:rPr>
          <w:rFonts w:ascii="Times New Roman" w:hAnsi="Times New Roman" w:cs="Times New Roman"/>
          <w:sz w:val="24"/>
          <w:szCs w:val="24"/>
        </w:rPr>
        <w:t xml:space="preserve">mited Filialas </w:t>
      </w:r>
      <w:r w:rsidR="00A67210" w:rsidRPr="0014692E">
        <w:rPr>
          <w:rFonts w:ascii="Times New Roman" w:hAnsi="Times New Roman" w:cs="Times New Roman"/>
          <w:sz w:val="24"/>
          <w:szCs w:val="24"/>
        </w:rPr>
        <w:t xml:space="preserve">(Komisijos 2015 m. balandžio </w:t>
      </w:r>
      <w:r w:rsidR="00702E67">
        <w:rPr>
          <w:rFonts w:ascii="Times New Roman" w:hAnsi="Times New Roman" w:cs="Times New Roman"/>
          <w:sz w:val="24"/>
          <w:szCs w:val="24"/>
        </w:rPr>
        <w:t>9</w:t>
      </w:r>
      <w:r w:rsidR="00A67210" w:rsidRPr="0014692E">
        <w:rPr>
          <w:rFonts w:ascii="Times New Roman" w:hAnsi="Times New Roman" w:cs="Times New Roman"/>
          <w:sz w:val="24"/>
          <w:szCs w:val="24"/>
        </w:rPr>
        <w:t xml:space="preserve"> d. posėdžio protokolas Nr. 3)</w:t>
      </w:r>
      <w:r w:rsidR="00A06198" w:rsidRPr="0014692E">
        <w:rPr>
          <w:rFonts w:ascii="Times New Roman" w:hAnsi="Times New Roman" w:cs="Times New Roman"/>
          <w:sz w:val="24"/>
          <w:szCs w:val="24"/>
        </w:rPr>
        <w:t>.</w:t>
      </w:r>
    </w:p>
    <w:p w:rsidR="00180542" w:rsidRPr="0014692E" w:rsidRDefault="00E45435" w:rsidP="0014692E">
      <w:pPr>
        <w:spacing w:after="0" w:line="264" w:lineRule="auto"/>
        <w:ind w:firstLine="697"/>
        <w:jc w:val="both"/>
        <w:outlineLvl w:val="3"/>
        <w:rPr>
          <w:rFonts w:ascii="Times New Roman" w:hAnsi="Times New Roman" w:cs="Times New Roman"/>
          <w:sz w:val="24"/>
          <w:szCs w:val="24"/>
        </w:rPr>
      </w:pPr>
      <w:r w:rsidRPr="0014692E">
        <w:rPr>
          <w:rFonts w:ascii="Times New Roman" w:hAnsi="Times New Roman" w:cs="Times New Roman"/>
          <w:sz w:val="24"/>
          <w:szCs w:val="24"/>
        </w:rPr>
        <w:t>T</w:t>
      </w:r>
      <w:r w:rsidR="00F74A93" w:rsidRPr="0014692E">
        <w:rPr>
          <w:rFonts w:ascii="Times New Roman" w:hAnsi="Times New Roman" w:cs="Times New Roman"/>
          <w:sz w:val="24"/>
          <w:szCs w:val="24"/>
        </w:rPr>
        <w:t xml:space="preserve">arnyba, įvertinusi prašymą ir pateiktus dokumentus nustatė, kad Perkančioji organizacija, </w:t>
      </w:r>
      <w:r w:rsidR="00F74A93" w:rsidRPr="0014692E">
        <w:rPr>
          <w:rFonts w:ascii="Times New Roman" w:hAnsi="Times New Roman" w:cs="Times New Roman"/>
          <w:color w:val="000000"/>
          <w:sz w:val="24"/>
          <w:szCs w:val="24"/>
        </w:rPr>
        <w:t xml:space="preserve">vadovaudamasi </w:t>
      </w:r>
      <w:r w:rsidR="00C33BCC" w:rsidRPr="0014692E">
        <w:rPr>
          <w:rFonts w:ascii="Times New Roman" w:hAnsi="Times New Roman" w:cs="Times New Roman"/>
          <w:sz w:val="24"/>
          <w:szCs w:val="24"/>
        </w:rPr>
        <w:t>Pirkimo dokumentų</w:t>
      </w:r>
      <w:r w:rsidR="00F74A93" w:rsidRPr="0014692E">
        <w:rPr>
          <w:rFonts w:ascii="Times New Roman" w:hAnsi="Times New Roman" w:cs="Times New Roman"/>
          <w:sz w:val="24"/>
          <w:szCs w:val="24"/>
        </w:rPr>
        <w:t xml:space="preserve"> </w:t>
      </w:r>
      <w:r w:rsidR="00C33BCC" w:rsidRPr="0014692E">
        <w:rPr>
          <w:rFonts w:ascii="Times New Roman" w:hAnsi="Times New Roman" w:cs="Times New Roman"/>
          <w:sz w:val="24"/>
          <w:szCs w:val="24"/>
        </w:rPr>
        <w:t>7.4.6</w:t>
      </w:r>
      <w:r w:rsidR="00F74A93" w:rsidRPr="0014692E">
        <w:rPr>
          <w:rFonts w:ascii="Times New Roman" w:hAnsi="Times New Roman" w:cs="Times New Roman"/>
          <w:sz w:val="24"/>
          <w:szCs w:val="24"/>
        </w:rPr>
        <w:t xml:space="preserve"> punktu (Įstatymo </w:t>
      </w:r>
      <w:r w:rsidR="00F74A93" w:rsidRPr="0014692E">
        <w:rPr>
          <w:rFonts w:ascii="Times New Roman" w:hAnsi="Times New Roman" w:cs="Times New Roman"/>
          <w:color w:val="000000"/>
          <w:sz w:val="24"/>
          <w:szCs w:val="24"/>
        </w:rPr>
        <w:t>39 straipsnio 2 dalies 2 punktu),</w:t>
      </w:r>
      <w:r w:rsidR="00F74A93" w:rsidRPr="0014692E">
        <w:rPr>
          <w:rFonts w:ascii="Times New Roman" w:hAnsi="Times New Roman" w:cs="Times New Roman"/>
          <w:sz w:val="24"/>
          <w:szCs w:val="24"/>
        </w:rPr>
        <w:t xml:space="preserve"> atmetė </w:t>
      </w:r>
      <w:r w:rsidR="00412803" w:rsidRPr="0014692E">
        <w:rPr>
          <w:rFonts w:ascii="Times New Roman" w:hAnsi="Times New Roman" w:cs="Times New Roman"/>
          <w:sz w:val="24"/>
          <w:szCs w:val="24"/>
        </w:rPr>
        <w:t>t</w:t>
      </w:r>
      <w:r w:rsidR="00F74A93" w:rsidRPr="0014692E">
        <w:rPr>
          <w:rFonts w:ascii="Times New Roman" w:hAnsi="Times New Roman" w:cs="Times New Roman"/>
          <w:sz w:val="24"/>
          <w:szCs w:val="24"/>
        </w:rPr>
        <w:t>iekėj</w:t>
      </w:r>
      <w:r w:rsidR="00412803" w:rsidRPr="0014692E">
        <w:rPr>
          <w:rFonts w:ascii="Times New Roman" w:hAnsi="Times New Roman" w:cs="Times New Roman"/>
          <w:sz w:val="24"/>
          <w:szCs w:val="24"/>
        </w:rPr>
        <w:t>ų</w:t>
      </w:r>
      <w:r w:rsidR="00F74A93" w:rsidRPr="0014692E">
        <w:rPr>
          <w:rFonts w:ascii="Times New Roman" w:hAnsi="Times New Roman" w:cs="Times New Roman"/>
          <w:sz w:val="24"/>
          <w:szCs w:val="24"/>
        </w:rPr>
        <w:t xml:space="preserve"> pasiūlym</w:t>
      </w:r>
      <w:r w:rsidR="00412803" w:rsidRPr="0014692E">
        <w:rPr>
          <w:rFonts w:ascii="Times New Roman" w:hAnsi="Times New Roman" w:cs="Times New Roman"/>
          <w:sz w:val="24"/>
          <w:szCs w:val="24"/>
        </w:rPr>
        <w:t>us</w:t>
      </w:r>
      <w:r w:rsidR="00F74A93" w:rsidRPr="0014692E">
        <w:rPr>
          <w:rFonts w:ascii="Times New Roman" w:hAnsi="Times New Roman" w:cs="Times New Roman"/>
          <w:sz w:val="24"/>
          <w:szCs w:val="24"/>
        </w:rPr>
        <w:t>, kaip neatitinkan</w:t>
      </w:r>
      <w:r w:rsidR="00412803" w:rsidRPr="0014692E">
        <w:rPr>
          <w:rFonts w:ascii="Times New Roman" w:hAnsi="Times New Roman" w:cs="Times New Roman"/>
          <w:sz w:val="24"/>
          <w:szCs w:val="24"/>
        </w:rPr>
        <w:t>čius</w:t>
      </w:r>
      <w:r w:rsidR="00F74A93" w:rsidRPr="0014692E">
        <w:rPr>
          <w:rFonts w:ascii="Times New Roman" w:hAnsi="Times New Roman" w:cs="Times New Roman"/>
          <w:sz w:val="24"/>
          <w:szCs w:val="24"/>
        </w:rPr>
        <w:t xml:space="preserve"> </w:t>
      </w:r>
      <w:r w:rsidR="00D414C1" w:rsidRPr="0014692E">
        <w:rPr>
          <w:rFonts w:ascii="Times New Roman" w:hAnsi="Times New Roman" w:cs="Times New Roman"/>
          <w:sz w:val="24"/>
          <w:szCs w:val="24"/>
        </w:rPr>
        <w:t>Pirkimo</w:t>
      </w:r>
      <w:r w:rsidR="00F74A93" w:rsidRPr="0014692E">
        <w:rPr>
          <w:rFonts w:ascii="Times New Roman" w:hAnsi="Times New Roman" w:cs="Times New Roman"/>
          <w:sz w:val="24"/>
          <w:szCs w:val="24"/>
        </w:rPr>
        <w:t xml:space="preserve"> sąlygų </w:t>
      </w:r>
      <w:r w:rsidR="00D414C1" w:rsidRPr="0014692E">
        <w:rPr>
          <w:rFonts w:ascii="Times New Roman" w:hAnsi="Times New Roman" w:cs="Times New Roman"/>
          <w:sz w:val="24"/>
          <w:szCs w:val="24"/>
        </w:rPr>
        <w:t>3.6</w:t>
      </w:r>
      <w:r w:rsidR="00F74A93" w:rsidRPr="0014692E">
        <w:rPr>
          <w:rFonts w:ascii="Times New Roman" w:hAnsi="Times New Roman" w:cs="Times New Roman"/>
          <w:sz w:val="24"/>
          <w:szCs w:val="24"/>
        </w:rPr>
        <w:t xml:space="preserve"> punkte nustatytų reikal</w:t>
      </w:r>
      <w:r w:rsidR="00D414C1" w:rsidRPr="0014692E">
        <w:rPr>
          <w:rFonts w:ascii="Times New Roman" w:hAnsi="Times New Roman" w:cs="Times New Roman"/>
          <w:sz w:val="24"/>
          <w:szCs w:val="24"/>
        </w:rPr>
        <w:t>a</w:t>
      </w:r>
      <w:r w:rsidR="00F74A93" w:rsidRPr="0014692E">
        <w:rPr>
          <w:rFonts w:ascii="Times New Roman" w:hAnsi="Times New Roman" w:cs="Times New Roman"/>
          <w:sz w:val="24"/>
          <w:szCs w:val="24"/>
        </w:rPr>
        <w:t>vimų</w:t>
      </w:r>
      <w:r w:rsidR="00E46AB5" w:rsidRPr="0014692E">
        <w:rPr>
          <w:rFonts w:ascii="Times New Roman" w:hAnsi="Times New Roman" w:cs="Times New Roman"/>
          <w:sz w:val="24"/>
          <w:szCs w:val="24"/>
        </w:rPr>
        <w:t xml:space="preserve">. Pirkimo </w:t>
      </w:r>
      <w:r w:rsidRPr="0014692E">
        <w:rPr>
          <w:rFonts w:ascii="Times New Roman" w:hAnsi="Times New Roman" w:cs="Times New Roman"/>
          <w:sz w:val="24"/>
          <w:szCs w:val="24"/>
        </w:rPr>
        <w:t>s</w:t>
      </w:r>
      <w:r w:rsidR="00E46AB5" w:rsidRPr="0014692E">
        <w:rPr>
          <w:rFonts w:ascii="Times New Roman" w:hAnsi="Times New Roman" w:cs="Times New Roman"/>
          <w:sz w:val="24"/>
          <w:szCs w:val="24"/>
        </w:rPr>
        <w:t xml:space="preserve">ąlygų </w:t>
      </w:r>
      <w:bookmarkStart w:id="1" w:name="_Toc535316102"/>
      <w:bookmarkStart w:id="2" w:name="_Ref535758562"/>
      <w:bookmarkStart w:id="3" w:name="_Toc3771726"/>
      <w:bookmarkStart w:id="4" w:name="_Toc26171919"/>
      <w:bookmarkStart w:id="5" w:name="_Ref140372752"/>
      <w:bookmarkStart w:id="6" w:name="_Ref166404174"/>
      <w:bookmarkStart w:id="7" w:name="_Toc166411375"/>
      <w:r w:rsidRPr="0014692E">
        <w:rPr>
          <w:rFonts w:ascii="Times New Roman" w:hAnsi="Times New Roman" w:cs="Times New Roman"/>
          <w:sz w:val="24"/>
          <w:szCs w:val="24"/>
        </w:rPr>
        <w:t>3 skyriaus „</w:t>
      </w:r>
      <w:r w:rsidRPr="0014692E">
        <w:rPr>
          <w:rFonts w:ascii="Times New Roman" w:hAnsi="Times New Roman" w:cs="Times New Roman"/>
          <w:bCs/>
          <w:sz w:val="24"/>
          <w:szCs w:val="24"/>
        </w:rPr>
        <w:t>Konkurso pasiūlymo rengimo reikalavimai</w:t>
      </w:r>
      <w:bookmarkEnd w:id="1"/>
      <w:bookmarkEnd w:id="2"/>
      <w:bookmarkEnd w:id="3"/>
      <w:bookmarkEnd w:id="4"/>
      <w:bookmarkEnd w:id="5"/>
      <w:bookmarkEnd w:id="6"/>
      <w:bookmarkEnd w:id="7"/>
      <w:r w:rsidRPr="0014692E">
        <w:rPr>
          <w:rFonts w:ascii="Times New Roman" w:hAnsi="Times New Roman" w:cs="Times New Roman"/>
          <w:bCs/>
          <w:sz w:val="24"/>
          <w:szCs w:val="24"/>
        </w:rPr>
        <w:t xml:space="preserve">“ </w:t>
      </w:r>
      <w:r w:rsidR="00E46AB5" w:rsidRPr="0014692E">
        <w:rPr>
          <w:rFonts w:ascii="Times New Roman" w:hAnsi="Times New Roman" w:cs="Times New Roman"/>
          <w:sz w:val="24"/>
          <w:szCs w:val="24"/>
        </w:rPr>
        <w:t>3.6 punkte</w:t>
      </w:r>
      <w:r w:rsidR="00D414C1" w:rsidRPr="0014692E">
        <w:rPr>
          <w:rFonts w:ascii="Times New Roman" w:hAnsi="Times New Roman" w:cs="Times New Roman"/>
          <w:sz w:val="24"/>
          <w:szCs w:val="24"/>
        </w:rPr>
        <w:t xml:space="preserve"> </w:t>
      </w:r>
      <w:r w:rsidR="00F74A93" w:rsidRPr="0014692E">
        <w:rPr>
          <w:rFonts w:ascii="Times New Roman" w:hAnsi="Times New Roman" w:cs="Times New Roman"/>
          <w:sz w:val="24"/>
          <w:szCs w:val="24"/>
        </w:rPr>
        <w:t>nurod</w:t>
      </w:r>
      <w:r w:rsidR="00403792" w:rsidRPr="0014692E">
        <w:rPr>
          <w:rFonts w:ascii="Times New Roman" w:hAnsi="Times New Roman" w:cs="Times New Roman"/>
          <w:sz w:val="24"/>
          <w:szCs w:val="24"/>
        </w:rPr>
        <w:t>yta</w:t>
      </w:r>
      <w:r w:rsidR="00A25838" w:rsidRPr="0014692E">
        <w:rPr>
          <w:rFonts w:ascii="Times New Roman" w:hAnsi="Times New Roman" w:cs="Times New Roman"/>
          <w:sz w:val="24"/>
          <w:szCs w:val="24"/>
        </w:rPr>
        <w:t xml:space="preserve">, kad </w:t>
      </w:r>
      <w:r w:rsidR="00CD105B" w:rsidRPr="0014692E">
        <w:rPr>
          <w:rFonts w:ascii="Times New Roman" w:hAnsi="Times New Roman" w:cs="Times New Roman"/>
          <w:sz w:val="24"/>
          <w:szCs w:val="24"/>
        </w:rPr>
        <w:t>„</w:t>
      </w:r>
      <w:r w:rsidR="00CD105B" w:rsidRPr="0014692E">
        <w:rPr>
          <w:rFonts w:ascii="Times New Roman" w:hAnsi="Times New Roman" w:cs="Times New Roman"/>
          <w:i/>
          <w:sz w:val="24"/>
          <w:szCs w:val="24"/>
        </w:rPr>
        <w:t>Pasiūlymas privalo būti pasirašytas saugiu elektroniniu parašu, atitinkančiu Lietuvos Respublikos elektroninio parašo įstatymo nustatytus reikalavimus. Saugiu elektroniniu parašu pasirašomas visas pasiūlymas. Atskirai kiekvieno dokumento pasirašyti nereikia</w:t>
      </w:r>
      <w:r w:rsidR="00636338" w:rsidRPr="0014692E">
        <w:rPr>
          <w:rFonts w:ascii="Times New Roman" w:hAnsi="Times New Roman" w:cs="Times New Roman"/>
          <w:sz w:val="24"/>
          <w:szCs w:val="24"/>
        </w:rPr>
        <w:t>“</w:t>
      </w:r>
      <w:r w:rsidR="003E7924" w:rsidRPr="0014692E">
        <w:rPr>
          <w:rFonts w:ascii="Times New Roman" w:hAnsi="Times New Roman" w:cs="Times New Roman"/>
          <w:sz w:val="24"/>
          <w:szCs w:val="24"/>
        </w:rPr>
        <w:t>.</w:t>
      </w:r>
      <w:r w:rsidR="00A25838" w:rsidRPr="0014692E">
        <w:rPr>
          <w:rFonts w:ascii="Times New Roman" w:hAnsi="Times New Roman" w:cs="Times New Roman"/>
          <w:sz w:val="24"/>
          <w:szCs w:val="24"/>
        </w:rPr>
        <w:t xml:space="preserve"> </w:t>
      </w:r>
      <w:r w:rsidR="00C51F94" w:rsidRPr="0014692E">
        <w:rPr>
          <w:rFonts w:ascii="Times New Roman" w:hAnsi="Times New Roman" w:cs="Times New Roman"/>
          <w:sz w:val="24"/>
          <w:szCs w:val="24"/>
        </w:rPr>
        <w:t xml:space="preserve">Pažymėtina, kad Pirkimo sąlygų 3.6 nurodytas reikalavimas nustatytas vadovaujantis Įstatymo </w:t>
      </w:r>
      <w:r w:rsidR="00C51F94" w:rsidRPr="0014692E">
        <w:rPr>
          <w:rFonts w:ascii="Times New Roman" w:hAnsi="Times New Roman" w:cs="Times New Roman"/>
          <w:color w:val="000000"/>
          <w:sz w:val="24"/>
          <w:szCs w:val="24"/>
        </w:rPr>
        <w:t xml:space="preserve">28 straipsnio, reglamentuojančio </w:t>
      </w:r>
      <w:r w:rsidR="00C51F94" w:rsidRPr="0014692E">
        <w:rPr>
          <w:rFonts w:ascii="Times New Roman" w:hAnsi="Times New Roman" w:cs="Times New Roman"/>
          <w:sz w:val="24"/>
          <w:szCs w:val="24"/>
          <w:u w:val="single"/>
        </w:rPr>
        <w:t>pasiūlymų pateikimo reikalavimus</w:t>
      </w:r>
      <w:r w:rsidR="00C51F94" w:rsidRPr="0014692E">
        <w:rPr>
          <w:rFonts w:ascii="Times New Roman" w:hAnsi="Times New Roman" w:cs="Times New Roman"/>
          <w:sz w:val="24"/>
          <w:szCs w:val="24"/>
        </w:rPr>
        <w:t>,</w:t>
      </w:r>
      <w:r w:rsidR="00C51F94" w:rsidRPr="0014692E">
        <w:rPr>
          <w:rFonts w:ascii="Times New Roman" w:hAnsi="Times New Roman" w:cs="Times New Roman"/>
          <w:color w:val="000000"/>
          <w:sz w:val="24"/>
          <w:szCs w:val="24"/>
        </w:rPr>
        <w:t xml:space="preserve"> 7 dalies nuostatomis.</w:t>
      </w:r>
      <w:r w:rsidR="007C4CA0" w:rsidRPr="0014692E">
        <w:rPr>
          <w:rFonts w:ascii="Times New Roman" w:hAnsi="Times New Roman" w:cs="Times New Roman"/>
          <w:color w:val="000000"/>
          <w:sz w:val="24"/>
          <w:szCs w:val="24"/>
        </w:rPr>
        <w:t xml:space="preserve"> </w:t>
      </w:r>
      <w:r w:rsidR="00A70DB5" w:rsidRPr="0014692E">
        <w:rPr>
          <w:rFonts w:ascii="Times New Roman" w:hAnsi="Times New Roman" w:cs="Times New Roman"/>
          <w:sz w:val="24"/>
          <w:szCs w:val="24"/>
        </w:rPr>
        <w:t xml:space="preserve">Įstatymo </w:t>
      </w:r>
      <w:r w:rsidR="00A70DB5" w:rsidRPr="0014692E">
        <w:rPr>
          <w:rFonts w:ascii="Times New Roman" w:hAnsi="Times New Roman" w:cs="Times New Roman"/>
          <w:color w:val="000000"/>
          <w:sz w:val="24"/>
          <w:szCs w:val="24"/>
        </w:rPr>
        <w:t xml:space="preserve">28 straipsnio 7 punkte </w:t>
      </w:r>
      <w:r w:rsidR="00862A55" w:rsidRPr="0014692E">
        <w:rPr>
          <w:rFonts w:ascii="Times New Roman" w:hAnsi="Times New Roman" w:cs="Times New Roman"/>
          <w:color w:val="000000"/>
          <w:sz w:val="24"/>
          <w:szCs w:val="24"/>
        </w:rPr>
        <w:t>nurodyta</w:t>
      </w:r>
      <w:r w:rsidR="00A70DB5" w:rsidRPr="0014692E">
        <w:rPr>
          <w:rFonts w:ascii="Times New Roman" w:hAnsi="Times New Roman" w:cs="Times New Roman"/>
          <w:color w:val="000000"/>
          <w:sz w:val="24"/>
          <w:szCs w:val="24"/>
        </w:rPr>
        <w:t>, kad p</w:t>
      </w:r>
      <w:r w:rsidR="00862A55" w:rsidRPr="0014692E">
        <w:rPr>
          <w:rFonts w:ascii="Times New Roman" w:hAnsi="Times New Roman" w:cs="Times New Roman"/>
          <w:sz w:val="24"/>
          <w:szCs w:val="24"/>
        </w:rPr>
        <w:t>araiškos ir</w:t>
      </w:r>
      <w:r w:rsidR="00862A55" w:rsidRPr="0014692E">
        <w:rPr>
          <w:rFonts w:ascii="Times New Roman" w:hAnsi="Times New Roman" w:cs="Times New Roman"/>
          <w:b/>
          <w:sz w:val="24"/>
          <w:szCs w:val="24"/>
        </w:rPr>
        <w:t xml:space="preserve"> </w:t>
      </w:r>
      <w:r w:rsidR="00862A55" w:rsidRPr="0014692E">
        <w:rPr>
          <w:rFonts w:ascii="Times New Roman" w:hAnsi="Times New Roman" w:cs="Times New Roman"/>
          <w:sz w:val="24"/>
          <w:szCs w:val="24"/>
        </w:rPr>
        <w:t>pasiūlymai gali būti perduodami elektroninėmis priemonėmis laikantis šio įstatymo 17 straipsnyje nustatytų reikalavimų</w:t>
      </w:r>
      <w:r w:rsidR="00A30EB7" w:rsidRPr="0014692E">
        <w:rPr>
          <w:rFonts w:ascii="Times New Roman" w:hAnsi="Times New Roman" w:cs="Times New Roman"/>
          <w:sz w:val="24"/>
          <w:szCs w:val="24"/>
        </w:rPr>
        <w:t xml:space="preserve">, o vadovaujantis </w:t>
      </w:r>
      <w:r w:rsidR="00A30EB7" w:rsidRPr="0014692E">
        <w:rPr>
          <w:rFonts w:ascii="Times New Roman" w:hAnsi="Times New Roman" w:cs="Times New Roman"/>
          <w:color w:val="000000"/>
          <w:sz w:val="24"/>
          <w:szCs w:val="24"/>
        </w:rPr>
        <w:t>17 straips</w:t>
      </w:r>
      <w:r w:rsidR="002527B3" w:rsidRPr="0014692E">
        <w:rPr>
          <w:rFonts w:ascii="Times New Roman" w:hAnsi="Times New Roman" w:cs="Times New Roman"/>
          <w:color w:val="000000"/>
          <w:sz w:val="24"/>
          <w:szCs w:val="24"/>
        </w:rPr>
        <w:t>n</w:t>
      </w:r>
      <w:r w:rsidR="00A30EB7" w:rsidRPr="0014692E">
        <w:rPr>
          <w:rFonts w:ascii="Times New Roman" w:hAnsi="Times New Roman" w:cs="Times New Roman"/>
          <w:color w:val="000000"/>
          <w:sz w:val="24"/>
          <w:szCs w:val="24"/>
        </w:rPr>
        <w:t>io 5 dalies 2 punktu,</w:t>
      </w:r>
      <w:r w:rsidR="00A30EB7" w:rsidRPr="0014692E">
        <w:rPr>
          <w:rFonts w:ascii="Times New Roman" w:hAnsi="Times New Roman" w:cs="Times New Roman"/>
          <w:sz w:val="24"/>
          <w:szCs w:val="24"/>
        </w:rPr>
        <w:t xml:space="preserve"> elektroninis pasiūlymas turi būti pateiktas su saugiu elektroniniu parašu, atitinkančiu teisės aktų reikalavimus.</w:t>
      </w:r>
      <w:r w:rsidR="00321788" w:rsidRPr="0014692E">
        <w:rPr>
          <w:rFonts w:ascii="Times New Roman" w:hAnsi="Times New Roman" w:cs="Times New Roman"/>
          <w:sz w:val="24"/>
          <w:szCs w:val="24"/>
        </w:rPr>
        <w:t xml:space="preserve"> </w:t>
      </w:r>
    </w:p>
    <w:p w:rsidR="007C4CA0" w:rsidRPr="0014692E" w:rsidRDefault="00286A0D" w:rsidP="0014692E">
      <w:pPr>
        <w:spacing w:after="0" w:line="264" w:lineRule="auto"/>
        <w:ind w:firstLine="697"/>
        <w:jc w:val="both"/>
        <w:rPr>
          <w:rFonts w:ascii="Times New Roman" w:hAnsi="Times New Roman" w:cs="Times New Roman"/>
          <w:b/>
          <w:bCs/>
          <w:iCs/>
          <w:sz w:val="24"/>
          <w:szCs w:val="24"/>
        </w:rPr>
      </w:pPr>
      <w:r w:rsidRPr="0014692E">
        <w:rPr>
          <w:rFonts w:ascii="Times New Roman" w:hAnsi="Times New Roman" w:cs="Times New Roman"/>
          <w:sz w:val="24"/>
          <w:szCs w:val="24"/>
        </w:rPr>
        <w:t xml:space="preserve">Vadovaujantis </w:t>
      </w:r>
      <w:r w:rsidRPr="0014692E">
        <w:rPr>
          <w:rFonts w:ascii="Times New Roman" w:hAnsi="Times New Roman" w:cs="Times New Roman"/>
          <w:b/>
          <w:sz w:val="24"/>
          <w:szCs w:val="24"/>
        </w:rPr>
        <w:t>Įstatymo 56 straipsnio 1 dalies 1 punkt</w:t>
      </w:r>
      <w:r w:rsidR="000A2455" w:rsidRPr="0014692E">
        <w:rPr>
          <w:rFonts w:ascii="Times New Roman" w:hAnsi="Times New Roman" w:cs="Times New Roman"/>
          <w:b/>
          <w:sz w:val="24"/>
          <w:szCs w:val="24"/>
        </w:rPr>
        <w:t>u</w:t>
      </w:r>
      <w:r w:rsidRPr="0014692E">
        <w:rPr>
          <w:rFonts w:ascii="Times New Roman" w:hAnsi="Times New Roman" w:cs="Times New Roman"/>
          <w:sz w:val="24"/>
          <w:szCs w:val="24"/>
        </w:rPr>
        <w:t xml:space="preserve"> perkančiajai organizacijai suteikiama teisė pirkimą vykdyti neskelbiamų derybų būdu</w:t>
      </w:r>
      <w:r w:rsidRPr="0014692E">
        <w:rPr>
          <w:rFonts w:ascii="Times New Roman" w:hAnsi="Times New Roman" w:cs="Times New Roman"/>
          <w:b/>
          <w:sz w:val="24"/>
          <w:szCs w:val="24"/>
        </w:rPr>
        <w:t xml:space="preserve">, </w:t>
      </w:r>
      <w:r w:rsidRPr="0014692E">
        <w:rPr>
          <w:rFonts w:ascii="Times New Roman" w:hAnsi="Times New Roman" w:cs="Times New Roman"/>
          <w:sz w:val="24"/>
          <w:szCs w:val="24"/>
        </w:rPr>
        <w:t>„</w:t>
      </w:r>
      <w:r w:rsidRPr="0014692E">
        <w:rPr>
          <w:rFonts w:ascii="Times New Roman" w:hAnsi="Times New Roman" w:cs="Times New Roman"/>
          <w:i/>
          <w:sz w:val="24"/>
          <w:szCs w:val="24"/>
        </w:rPr>
        <w:t xml:space="preserve">jeigu atviram ar ribotam konkursui ar konkurenciniam dialogui pateikti pasiūlymai visi nepriimtini arba nevisiškai atitiko pirkimo dokumentuose nustatytus reikalavimus, pirkimo sąlygos iš esmės nekeičiamos, ir į derybas kviečiami visi vykusiam atviram, ribotam konkursui ar konkurenciniam dialogui pasiūlymus pateikę tiekėjai, atitinkantys perkančiosios organizacijos nustatytus minimalius kvalifikacijos ir </w:t>
      </w:r>
      <w:r w:rsidRPr="0014692E">
        <w:rPr>
          <w:rFonts w:ascii="Times New Roman" w:hAnsi="Times New Roman" w:cs="Times New Roman"/>
          <w:i/>
          <w:sz w:val="24"/>
          <w:szCs w:val="24"/>
          <w:u w:val="single"/>
        </w:rPr>
        <w:t>pasiūlymo pateikimo reikalavimus</w:t>
      </w:r>
      <w:r w:rsidRPr="0014692E">
        <w:rPr>
          <w:rFonts w:ascii="Times New Roman" w:hAnsi="Times New Roman" w:cs="Times New Roman"/>
          <w:bCs/>
          <w:iCs/>
          <w:sz w:val="24"/>
          <w:szCs w:val="24"/>
        </w:rPr>
        <w:t>“.</w:t>
      </w:r>
    </w:p>
    <w:p w:rsidR="00F91CFE" w:rsidRPr="0014692E" w:rsidRDefault="00286A0D" w:rsidP="0014692E">
      <w:pPr>
        <w:spacing w:after="0" w:line="264" w:lineRule="auto"/>
        <w:ind w:firstLine="697"/>
        <w:jc w:val="both"/>
        <w:rPr>
          <w:rFonts w:ascii="Times New Roman" w:hAnsi="Times New Roman" w:cs="Times New Roman"/>
          <w:sz w:val="24"/>
          <w:szCs w:val="24"/>
        </w:rPr>
      </w:pPr>
      <w:r w:rsidRPr="0014692E">
        <w:rPr>
          <w:rFonts w:ascii="Times New Roman" w:eastAsia="Times New Roman" w:hAnsi="Times New Roman" w:cs="Times New Roman"/>
          <w:color w:val="000000"/>
          <w:sz w:val="24"/>
          <w:szCs w:val="24"/>
        </w:rPr>
        <w:t>Atkreiptinas dėmesys, kad</w:t>
      </w:r>
      <w:r w:rsidR="00230DF0" w:rsidRPr="0014692E">
        <w:rPr>
          <w:rFonts w:ascii="Times New Roman" w:hAnsi="Times New Roman" w:cs="Times New Roman"/>
          <w:sz w:val="24"/>
          <w:szCs w:val="24"/>
        </w:rPr>
        <w:t xml:space="preserve"> tiekėjų CVP IS priemonėmis pateikti pasiūlymai </w:t>
      </w:r>
      <w:r w:rsidR="00DD6379" w:rsidRPr="0014692E">
        <w:rPr>
          <w:rFonts w:ascii="Times New Roman" w:hAnsi="Times New Roman" w:cs="Times New Roman"/>
          <w:sz w:val="24"/>
          <w:szCs w:val="24"/>
          <w:u w:val="single"/>
        </w:rPr>
        <w:t xml:space="preserve">nebuvo </w:t>
      </w:r>
      <w:r w:rsidR="00230DF0" w:rsidRPr="0014692E">
        <w:rPr>
          <w:rFonts w:ascii="Times New Roman" w:hAnsi="Times New Roman" w:cs="Times New Roman"/>
          <w:sz w:val="24"/>
          <w:szCs w:val="24"/>
          <w:u w:val="single"/>
        </w:rPr>
        <w:t>pasirašyti saugiu elektroniniu parašu</w:t>
      </w:r>
      <w:r w:rsidR="00230DF0" w:rsidRPr="0014692E">
        <w:rPr>
          <w:rFonts w:ascii="Times New Roman" w:hAnsi="Times New Roman" w:cs="Times New Roman"/>
          <w:sz w:val="24"/>
          <w:szCs w:val="24"/>
        </w:rPr>
        <w:t xml:space="preserve">, o </w:t>
      </w:r>
      <w:r w:rsidR="00AC5C69" w:rsidRPr="0014692E">
        <w:rPr>
          <w:rFonts w:ascii="Times New Roman" w:hAnsi="Times New Roman" w:cs="Times New Roman"/>
          <w:sz w:val="24"/>
          <w:szCs w:val="24"/>
        </w:rPr>
        <w:t xml:space="preserve">buvo </w:t>
      </w:r>
      <w:r w:rsidR="00230DF0" w:rsidRPr="0014692E">
        <w:rPr>
          <w:rFonts w:ascii="Times New Roman" w:hAnsi="Times New Roman" w:cs="Times New Roman"/>
          <w:sz w:val="24"/>
          <w:szCs w:val="24"/>
        </w:rPr>
        <w:t>pateiktos tik pasirašytų dokumentų skaitmeninės kopijos</w:t>
      </w:r>
      <w:r w:rsidR="00AC5C69" w:rsidRPr="0014692E">
        <w:rPr>
          <w:rFonts w:ascii="Times New Roman" w:hAnsi="Times New Roman" w:cs="Times New Roman"/>
          <w:sz w:val="24"/>
          <w:szCs w:val="24"/>
        </w:rPr>
        <w:t xml:space="preserve">, t. y. </w:t>
      </w:r>
      <w:r w:rsidR="008B7110" w:rsidRPr="0014692E">
        <w:rPr>
          <w:rFonts w:ascii="Times New Roman" w:eastAsia="Times New Roman" w:hAnsi="Times New Roman" w:cs="Times New Roman"/>
          <w:color w:val="000000"/>
          <w:sz w:val="24"/>
          <w:szCs w:val="24"/>
        </w:rPr>
        <w:t xml:space="preserve">tiekėjų pateikti pasiūlymai </w:t>
      </w:r>
      <w:proofErr w:type="gramStart"/>
      <w:r w:rsidR="008B7110" w:rsidRPr="0014692E">
        <w:rPr>
          <w:rFonts w:ascii="Times New Roman" w:eastAsia="Times New Roman" w:hAnsi="Times New Roman" w:cs="Times New Roman"/>
          <w:color w:val="000000"/>
          <w:sz w:val="24"/>
          <w:szCs w:val="24"/>
        </w:rPr>
        <w:t>neatitiko</w:t>
      </w:r>
      <w:proofErr w:type="gramEnd"/>
      <w:r w:rsidR="008B7110" w:rsidRPr="0014692E">
        <w:rPr>
          <w:rFonts w:ascii="Times New Roman" w:eastAsia="Times New Roman" w:hAnsi="Times New Roman" w:cs="Times New Roman"/>
          <w:color w:val="000000"/>
          <w:sz w:val="24"/>
          <w:szCs w:val="24"/>
        </w:rPr>
        <w:t xml:space="preserve"> </w:t>
      </w:r>
      <w:r w:rsidR="00F74A93" w:rsidRPr="0014692E">
        <w:rPr>
          <w:rFonts w:ascii="Times New Roman" w:hAnsi="Times New Roman" w:cs="Times New Roman"/>
          <w:sz w:val="24"/>
          <w:szCs w:val="24"/>
          <w:u w:val="single"/>
        </w:rPr>
        <w:t>pasiūlymo pateikimo reikalavimų</w:t>
      </w:r>
      <w:r w:rsidR="003D5757" w:rsidRPr="0014692E">
        <w:rPr>
          <w:rFonts w:ascii="Times New Roman" w:hAnsi="Times New Roman" w:cs="Times New Roman"/>
          <w:sz w:val="24"/>
          <w:szCs w:val="24"/>
          <w:u w:val="single"/>
        </w:rPr>
        <w:t>,</w:t>
      </w:r>
      <w:r w:rsidR="003D5757" w:rsidRPr="0014692E">
        <w:rPr>
          <w:rFonts w:ascii="Times New Roman" w:eastAsia="Times New Roman" w:hAnsi="Times New Roman" w:cs="Times New Roman"/>
          <w:color w:val="000000"/>
          <w:sz w:val="24"/>
          <w:szCs w:val="24"/>
        </w:rPr>
        <w:t xml:space="preserve"> todėl šiuo atveju neskelbiamų derybų procedūra negali būti taikoma.</w:t>
      </w:r>
      <w:r w:rsidR="00F74A93" w:rsidRPr="0014692E">
        <w:rPr>
          <w:rFonts w:ascii="Times New Roman" w:hAnsi="Times New Roman" w:cs="Times New Roman"/>
          <w:sz w:val="24"/>
          <w:szCs w:val="24"/>
        </w:rPr>
        <w:t xml:space="preserve"> Įvertinusi nurodytas aplinkybes Tarnyba, vadov</w:t>
      </w:r>
      <w:r w:rsidR="00F74A93" w:rsidRPr="0014692E">
        <w:rPr>
          <w:rFonts w:ascii="Times New Roman" w:hAnsi="Times New Roman" w:cs="Times New Roman"/>
          <w:sz w:val="24"/>
          <w:szCs w:val="24"/>
          <w:lang w:eastAsia="lt-LT"/>
        </w:rPr>
        <w:t xml:space="preserve">audamasi Įstatymo </w:t>
      </w:r>
      <w:r w:rsidR="00F74A93" w:rsidRPr="0014692E">
        <w:rPr>
          <w:rFonts w:ascii="Times New Roman" w:hAnsi="Times New Roman" w:cs="Times New Roman"/>
          <w:sz w:val="24"/>
          <w:szCs w:val="24"/>
        </w:rPr>
        <w:t>8</w:t>
      </w:r>
      <w:r w:rsidR="00F74A93" w:rsidRPr="0014692E">
        <w:rPr>
          <w:rFonts w:ascii="Times New Roman" w:hAnsi="Times New Roman" w:cs="Times New Roman"/>
          <w:sz w:val="24"/>
          <w:szCs w:val="24"/>
          <w:vertAlign w:val="superscript"/>
        </w:rPr>
        <w:t>2</w:t>
      </w:r>
      <w:r w:rsidR="00F74A93" w:rsidRPr="0014692E">
        <w:rPr>
          <w:rFonts w:ascii="Times New Roman" w:hAnsi="Times New Roman" w:cs="Times New Roman"/>
          <w:sz w:val="24"/>
          <w:szCs w:val="24"/>
        </w:rPr>
        <w:t xml:space="preserve"> straipsnio 2 dalies 7 punkto nuostatomis, </w:t>
      </w:r>
      <w:r w:rsidR="00F74A93" w:rsidRPr="0014692E">
        <w:rPr>
          <w:rFonts w:ascii="Times New Roman" w:hAnsi="Times New Roman" w:cs="Times New Roman"/>
          <w:b/>
          <w:sz w:val="24"/>
          <w:szCs w:val="24"/>
        </w:rPr>
        <w:t>neturi pagrindo</w:t>
      </w:r>
      <w:r w:rsidR="00F74A93" w:rsidRPr="0014692E">
        <w:rPr>
          <w:rFonts w:ascii="Times New Roman" w:hAnsi="Times New Roman" w:cs="Times New Roman"/>
          <w:sz w:val="24"/>
          <w:szCs w:val="24"/>
        </w:rPr>
        <w:t xml:space="preserve"> </w:t>
      </w:r>
      <w:r w:rsidR="00F74A93" w:rsidRPr="0014692E">
        <w:rPr>
          <w:rFonts w:ascii="Times New Roman" w:hAnsi="Times New Roman" w:cs="Times New Roman"/>
          <w:b/>
          <w:sz w:val="24"/>
          <w:szCs w:val="24"/>
          <w:lang w:eastAsia="lt-LT"/>
        </w:rPr>
        <w:t>sutikti</w:t>
      </w:r>
      <w:r w:rsidR="00F74A93" w:rsidRPr="0014692E">
        <w:rPr>
          <w:rFonts w:ascii="Times New Roman" w:hAnsi="Times New Roman" w:cs="Times New Roman"/>
          <w:sz w:val="24"/>
          <w:szCs w:val="24"/>
        </w:rPr>
        <w:t>,</w:t>
      </w:r>
      <w:r w:rsidR="003D5757" w:rsidRPr="0014692E">
        <w:rPr>
          <w:rFonts w:ascii="Times New Roman" w:hAnsi="Times New Roman" w:cs="Times New Roman"/>
          <w:sz w:val="24"/>
          <w:szCs w:val="24"/>
        </w:rPr>
        <w:t xml:space="preserve"> </w:t>
      </w:r>
      <w:r w:rsidR="00407915" w:rsidRPr="0014692E">
        <w:rPr>
          <w:rStyle w:val="copy"/>
          <w:rFonts w:ascii="Times New Roman" w:hAnsi="Times New Roman" w:cs="Times New Roman"/>
          <w:sz w:val="24"/>
          <w:szCs w:val="24"/>
        </w:rPr>
        <w:t>Valstybinė mokesčių inspekcija prie Lietuvos Respublikos finansų ministerijos</w:t>
      </w:r>
      <w:r w:rsidR="00407915" w:rsidRPr="0014692E">
        <w:rPr>
          <w:rStyle w:val="copy"/>
          <w:rFonts w:ascii="Times New Roman" w:hAnsi="Times New Roman" w:cs="Times New Roman"/>
          <w:color w:val="FF0000"/>
          <w:sz w:val="24"/>
          <w:szCs w:val="24"/>
        </w:rPr>
        <w:t xml:space="preserve"> </w:t>
      </w:r>
      <w:r w:rsidR="00407915" w:rsidRPr="0014692E">
        <w:rPr>
          <w:rFonts w:ascii="Times New Roman" w:hAnsi="Times New Roman" w:cs="Times New Roman"/>
          <w:sz w:val="24"/>
          <w:szCs w:val="24"/>
        </w:rPr>
        <w:t xml:space="preserve">vykdytų </w:t>
      </w:r>
      <w:r w:rsidR="005A23AE" w:rsidRPr="0014692E">
        <w:rPr>
          <w:rFonts w:ascii="Times New Roman" w:hAnsi="Times New Roman" w:cs="Times New Roman"/>
          <w:i/>
          <w:sz w:val="24"/>
          <w:szCs w:val="24"/>
        </w:rPr>
        <w:t>Duomenų bazių saugyklos Oracle Exadata programinės ir techninės įrangos gamintojo garantijos pratęsimo ir techninės priežiūros paslaugų</w:t>
      </w:r>
      <w:r w:rsidR="005A23AE" w:rsidRPr="0014692E">
        <w:rPr>
          <w:rFonts w:ascii="Times New Roman" w:hAnsi="Times New Roman" w:cs="Times New Roman"/>
          <w:sz w:val="24"/>
          <w:szCs w:val="24"/>
        </w:rPr>
        <w:t xml:space="preserve"> </w:t>
      </w:r>
      <w:r w:rsidR="005A23AE" w:rsidRPr="0014692E">
        <w:rPr>
          <w:rFonts w:ascii="Times New Roman" w:hAnsi="Times New Roman" w:cs="Times New Roman"/>
          <w:i/>
          <w:sz w:val="24"/>
          <w:szCs w:val="24"/>
        </w:rPr>
        <w:t xml:space="preserve">viešąjį </w:t>
      </w:r>
      <w:r w:rsidR="005A23AE" w:rsidRPr="0014692E">
        <w:rPr>
          <w:rFonts w:ascii="Times New Roman" w:eastAsia="Times New Roman" w:hAnsi="Times New Roman" w:cs="Times New Roman"/>
          <w:i/>
          <w:sz w:val="24"/>
          <w:szCs w:val="24"/>
        </w:rPr>
        <w:t xml:space="preserve">pirkimą </w:t>
      </w:r>
      <w:r w:rsidR="005A23AE" w:rsidRPr="0014692E">
        <w:rPr>
          <w:rFonts w:ascii="Times New Roman" w:eastAsia="Times New Roman" w:hAnsi="Times New Roman" w:cs="Times New Roman"/>
          <w:sz w:val="24"/>
          <w:szCs w:val="24"/>
        </w:rPr>
        <w:t xml:space="preserve">atlikti neskelbiamų derybų būdu, </w:t>
      </w:r>
      <w:r w:rsidR="005A23AE" w:rsidRPr="0014692E">
        <w:rPr>
          <w:rFonts w:ascii="Times New Roman" w:hAnsi="Times New Roman" w:cs="Times New Roman"/>
          <w:sz w:val="24"/>
          <w:szCs w:val="24"/>
        </w:rPr>
        <w:t>vadovaujantis Įstatymo 56 straipsnio 1 dalies 1 punkto nuostatomis</w:t>
      </w:r>
      <w:r w:rsidR="0014692E">
        <w:rPr>
          <w:rFonts w:ascii="Times New Roman" w:hAnsi="Times New Roman" w:cs="Times New Roman"/>
          <w:sz w:val="24"/>
          <w:szCs w:val="24"/>
        </w:rPr>
        <w:t>.</w:t>
      </w:r>
    </w:p>
    <w:p w:rsidR="00A60574" w:rsidRPr="008E3F34" w:rsidRDefault="00A60574" w:rsidP="0014692E">
      <w:pPr>
        <w:spacing w:after="0" w:line="264" w:lineRule="auto"/>
        <w:ind w:firstLine="697"/>
        <w:jc w:val="both"/>
        <w:rPr>
          <w:rFonts w:ascii="Times New Roman" w:hAnsi="Times New Roman" w:cs="Times New Roman"/>
          <w:sz w:val="24"/>
          <w:szCs w:val="24"/>
        </w:rPr>
      </w:pPr>
      <w:r w:rsidRPr="008E3F34">
        <w:rPr>
          <w:rFonts w:ascii="Times New Roman" w:hAnsi="Times New Roman" w:cs="Times New Roman"/>
          <w:sz w:val="24"/>
          <w:szCs w:val="24"/>
        </w:rPr>
        <w:lastRenderedPageBreak/>
        <w:t>Vadovaujantis Lietuvos Respublikos administracinių bylų teisenos įstatymo 5 ir 15 straipsniais, nesutikę su ši</w:t>
      </w:r>
      <w:r>
        <w:rPr>
          <w:rFonts w:ascii="Times New Roman" w:hAnsi="Times New Roman" w:cs="Times New Roman"/>
          <w:sz w:val="24"/>
          <w:szCs w:val="24"/>
        </w:rPr>
        <w:t>ais</w:t>
      </w:r>
      <w:r w:rsidRPr="008E3F34">
        <w:rPr>
          <w:rFonts w:ascii="Times New Roman" w:hAnsi="Times New Roman" w:cs="Times New Roman"/>
          <w:sz w:val="24"/>
          <w:szCs w:val="24"/>
        </w:rPr>
        <w:t xml:space="preserve"> Tarnybos sprendim</w:t>
      </w:r>
      <w:r>
        <w:rPr>
          <w:rFonts w:ascii="Times New Roman" w:hAnsi="Times New Roman" w:cs="Times New Roman"/>
          <w:sz w:val="24"/>
          <w:szCs w:val="24"/>
        </w:rPr>
        <w:t>ais</w:t>
      </w:r>
      <w:r w:rsidRPr="008E3F34">
        <w:rPr>
          <w:rFonts w:ascii="Times New Roman" w:hAnsi="Times New Roman" w:cs="Times New Roman"/>
          <w:sz w:val="24"/>
          <w:szCs w:val="24"/>
        </w:rPr>
        <w:t>, Jūs galite j</w:t>
      </w:r>
      <w:r>
        <w:rPr>
          <w:rFonts w:ascii="Times New Roman" w:hAnsi="Times New Roman" w:cs="Times New Roman"/>
          <w:sz w:val="24"/>
          <w:szCs w:val="24"/>
        </w:rPr>
        <w:t>uos</w:t>
      </w:r>
      <w:r w:rsidRPr="008E3F34">
        <w:rPr>
          <w:rFonts w:ascii="Times New Roman" w:hAnsi="Times New Roman" w:cs="Times New Roman"/>
          <w:sz w:val="24"/>
          <w:szCs w:val="24"/>
        </w:rPr>
        <w:t xml:space="preserve"> apskųsti teismui šio įstatymo nustatyta tvarka.</w:t>
      </w:r>
    </w:p>
    <w:p w:rsidR="00E47466" w:rsidRDefault="00E47466" w:rsidP="0014692E">
      <w:pPr>
        <w:spacing w:after="0" w:line="264" w:lineRule="auto"/>
        <w:ind w:firstLine="697"/>
        <w:jc w:val="both"/>
        <w:rPr>
          <w:rFonts w:ascii="Times New Roman" w:hAnsi="Times New Roman" w:cs="Times New Roman"/>
          <w:sz w:val="24"/>
          <w:szCs w:val="24"/>
        </w:rPr>
      </w:pPr>
      <w:r w:rsidRPr="004908D0">
        <w:rPr>
          <w:rFonts w:ascii="Times New Roman" w:hAnsi="Times New Roman" w:cs="Times New Roman"/>
          <w:sz w:val="24"/>
          <w:szCs w:val="24"/>
        </w:rPr>
        <w:t xml:space="preserve">Pažymėtina, kad Tarnyba, nagrinėdama perkančiosios organizacijos prašymą dėl sutikimo vykdyti pirkimą neskelbiamų derybų būdu, neatlieka išsamaus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 </w:t>
      </w:r>
    </w:p>
    <w:p w:rsidR="00F91CFE" w:rsidRDefault="00F91CFE" w:rsidP="00361610">
      <w:pPr>
        <w:widowControl w:val="0"/>
        <w:spacing w:after="0" w:line="264" w:lineRule="auto"/>
        <w:ind w:firstLine="697"/>
        <w:jc w:val="both"/>
        <w:rPr>
          <w:rFonts w:ascii="Times New Roman" w:hAnsi="Times New Roman" w:cs="Times New Roman"/>
          <w:sz w:val="24"/>
          <w:szCs w:val="24"/>
        </w:rPr>
      </w:pPr>
    </w:p>
    <w:p w:rsidR="00BD4774" w:rsidRPr="00F22225" w:rsidRDefault="00BD4774" w:rsidP="003A40D4">
      <w:pPr>
        <w:widowControl w:val="0"/>
        <w:spacing w:after="0" w:line="240" w:lineRule="auto"/>
        <w:ind w:firstLine="697"/>
        <w:jc w:val="both"/>
        <w:rPr>
          <w:rFonts w:ascii="Times New Roman" w:hAnsi="Times New Roman" w:cs="Times New Roman"/>
          <w:sz w:val="24"/>
          <w:szCs w:val="24"/>
        </w:rPr>
      </w:pPr>
    </w:p>
    <w:p w:rsidR="008E3F34" w:rsidRDefault="008E3F34" w:rsidP="003A40D4">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3A40D4">
      <w:pPr>
        <w:widowControl w:val="0"/>
        <w:spacing w:after="0" w:line="240" w:lineRule="auto"/>
        <w:ind w:firstLine="697"/>
        <w:jc w:val="both"/>
        <w:rPr>
          <w:rFonts w:ascii="Times New Roman" w:eastAsia="Times New Roman" w:hAnsi="Times New Roman" w:cs="Times New Roman"/>
          <w:sz w:val="24"/>
          <w:szCs w:val="24"/>
        </w:rPr>
      </w:pPr>
    </w:p>
    <w:p w:rsidR="0000115B" w:rsidRPr="00383351" w:rsidRDefault="0000115B" w:rsidP="00B52FD0">
      <w:pPr>
        <w:widowControl w:val="0"/>
        <w:spacing w:after="0" w:line="240" w:lineRule="auto"/>
        <w:ind w:firstLine="697"/>
        <w:jc w:val="both"/>
        <w:rPr>
          <w:rFonts w:ascii="Times New Roman" w:eastAsia="Times New Roman" w:hAnsi="Times New Roman" w:cs="Times New Roman"/>
          <w:sz w:val="24"/>
          <w:szCs w:val="24"/>
        </w:rPr>
      </w:pPr>
    </w:p>
    <w:p w:rsidR="00486801" w:rsidRPr="00383351"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 sutarčių priežiūros vyriausioji</w:t>
      </w:r>
    </w:p>
    <w:p w:rsidR="00486801" w:rsidRPr="00383351"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specialistė</w:t>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00CC1061" w:rsidRPr="00383351">
        <w:rPr>
          <w:rFonts w:ascii="Times New Roman" w:eastAsia="Times New Roman" w:hAnsi="Times New Roman" w:cs="Times New Roman"/>
          <w:sz w:val="24"/>
          <w:szCs w:val="24"/>
        </w:rPr>
        <w:t xml:space="preserve">     Inga Noreikienė</w:t>
      </w:r>
    </w:p>
    <w:p w:rsidR="00486801" w:rsidRDefault="00486801" w:rsidP="00B52FD0">
      <w:pPr>
        <w:widowControl w:val="0"/>
        <w:spacing w:after="0" w:line="240" w:lineRule="auto"/>
        <w:ind w:firstLine="697"/>
        <w:jc w:val="both"/>
        <w:rPr>
          <w:rFonts w:ascii="Times New Roman" w:eastAsia="Times New Roman" w:hAnsi="Times New Roman" w:cs="Times New Roman"/>
          <w:sz w:val="24"/>
          <w:szCs w:val="24"/>
        </w:rPr>
      </w:pPr>
    </w:p>
    <w:p w:rsidR="00486801" w:rsidRDefault="00486801"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B52FD0" w:rsidRDefault="00B52FD0" w:rsidP="00B52FD0">
      <w:pPr>
        <w:widowControl w:val="0"/>
        <w:spacing w:after="0" w:line="240" w:lineRule="auto"/>
        <w:ind w:firstLine="697"/>
        <w:jc w:val="both"/>
        <w:rPr>
          <w:rFonts w:ascii="Times New Roman" w:eastAsia="Times New Roman" w:hAnsi="Times New Roman" w:cs="Times New Roman"/>
          <w:sz w:val="24"/>
          <w:szCs w:val="24"/>
        </w:rPr>
      </w:pPr>
    </w:p>
    <w:p w:rsidR="00B52FD0" w:rsidRDefault="00B52FD0"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00115B" w:rsidRDefault="0000115B"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846DE0" w:rsidRDefault="00846DE0" w:rsidP="00B52FD0">
      <w:pPr>
        <w:widowControl w:val="0"/>
        <w:spacing w:after="0" w:line="240" w:lineRule="auto"/>
        <w:ind w:firstLine="697"/>
        <w:jc w:val="both"/>
        <w:rPr>
          <w:rFonts w:ascii="Times New Roman" w:eastAsia="Times New Roman" w:hAnsi="Times New Roman" w:cs="Times New Roman"/>
          <w:sz w:val="24"/>
          <w:szCs w:val="24"/>
        </w:rPr>
      </w:pPr>
    </w:p>
    <w:p w:rsidR="00846DE0" w:rsidRDefault="00846DE0"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AB557E" w:rsidRDefault="00AB557E" w:rsidP="00B52FD0">
      <w:pPr>
        <w:widowControl w:val="0"/>
        <w:spacing w:after="0" w:line="240" w:lineRule="auto"/>
        <w:ind w:firstLine="697"/>
        <w:jc w:val="both"/>
        <w:rPr>
          <w:rFonts w:ascii="Times New Roman" w:eastAsia="Times New Roman" w:hAnsi="Times New Roman" w:cs="Times New Roman"/>
          <w:sz w:val="24"/>
          <w:szCs w:val="24"/>
        </w:rPr>
      </w:pPr>
    </w:p>
    <w:p w:rsidR="00AB557E" w:rsidRDefault="00AB557E" w:rsidP="00B52FD0">
      <w:pPr>
        <w:widowControl w:val="0"/>
        <w:spacing w:after="0" w:line="240" w:lineRule="auto"/>
        <w:ind w:firstLine="697"/>
        <w:jc w:val="both"/>
        <w:rPr>
          <w:rFonts w:ascii="Times New Roman" w:eastAsia="Times New Roman" w:hAnsi="Times New Roman" w:cs="Times New Roman"/>
          <w:sz w:val="24"/>
          <w:szCs w:val="24"/>
        </w:rPr>
      </w:pPr>
    </w:p>
    <w:p w:rsidR="00AB557E" w:rsidRDefault="00AB557E" w:rsidP="00B52FD0">
      <w:pPr>
        <w:widowControl w:val="0"/>
        <w:spacing w:after="0" w:line="240" w:lineRule="auto"/>
        <w:ind w:firstLine="697"/>
        <w:jc w:val="both"/>
        <w:rPr>
          <w:rFonts w:ascii="Times New Roman" w:eastAsia="Times New Roman" w:hAnsi="Times New Roman" w:cs="Times New Roman"/>
          <w:sz w:val="24"/>
          <w:szCs w:val="24"/>
        </w:rPr>
      </w:pPr>
    </w:p>
    <w:p w:rsidR="00AB557E" w:rsidRDefault="00AB557E" w:rsidP="00B52FD0">
      <w:pPr>
        <w:widowControl w:val="0"/>
        <w:spacing w:after="0" w:line="240" w:lineRule="auto"/>
        <w:ind w:firstLine="697"/>
        <w:jc w:val="both"/>
        <w:rPr>
          <w:rFonts w:ascii="Times New Roman" w:eastAsia="Times New Roman" w:hAnsi="Times New Roman" w:cs="Times New Roman"/>
          <w:sz w:val="24"/>
          <w:szCs w:val="24"/>
        </w:rPr>
      </w:pPr>
    </w:p>
    <w:p w:rsidR="00AB557E" w:rsidRDefault="00AB557E" w:rsidP="00B52FD0">
      <w:pPr>
        <w:widowControl w:val="0"/>
        <w:spacing w:after="0" w:line="240" w:lineRule="auto"/>
        <w:ind w:firstLine="697"/>
        <w:jc w:val="both"/>
        <w:rPr>
          <w:rFonts w:ascii="Times New Roman" w:eastAsia="Times New Roman" w:hAnsi="Times New Roman" w:cs="Times New Roman"/>
          <w:sz w:val="24"/>
          <w:szCs w:val="24"/>
        </w:rPr>
      </w:pPr>
    </w:p>
    <w:p w:rsidR="00AB557E" w:rsidRDefault="00AB557E" w:rsidP="00B52FD0">
      <w:pPr>
        <w:widowControl w:val="0"/>
        <w:spacing w:after="0" w:line="240" w:lineRule="auto"/>
        <w:ind w:firstLine="697"/>
        <w:jc w:val="both"/>
        <w:rPr>
          <w:rFonts w:ascii="Times New Roman" w:eastAsia="Times New Roman" w:hAnsi="Times New Roman" w:cs="Times New Roman"/>
          <w:sz w:val="24"/>
          <w:szCs w:val="24"/>
        </w:rPr>
      </w:pPr>
    </w:p>
    <w:p w:rsidR="00361610" w:rsidRDefault="00361610" w:rsidP="00B52FD0">
      <w:pPr>
        <w:widowControl w:val="0"/>
        <w:spacing w:after="0" w:line="240" w:lineRule="auto"/>
        <w:ind w:firstLine="697"/>
        <w:jc w:val="both"/>
        <w:rPr>
          <w:rFonts w:ascii="Times New Roman" w:eastAsia="Times New Roman" w:hAnsi="Times New Roman" w:cs="Times New Roman"/>
          <w:sz w:val="24"/>
          <w:szCs w:val="24"/>
        </w:rPr>
      </w:pPr>
    </w:p>
    <w:p w:rsidR="00773533" w:rsidRDefault="00773533" w:rsidP="00B52FD0">
      <w:pPr>
        <w:widowControl w:val="0"/>
        <w:spacing w:after="0" w:line="240" w:lineRule="auto"/>
        <w:ind w:firstLine="697"/>
        <w:jc w:val="both"/>
        <w:rPr>
          <w:rFonts w:ascii="Times New Roman" w:eastAsia="Times New Roman" w:hAnsi="Times New Roman" w:cs="Times New Roman"/>
          <w:sz w:val="24"/>
          <w:szCs w:val="24"/>
        </w:rPr>
      </w:pPr>
    </w:p>
    <w:p w:rsidR="00486801" w:rsidRPr="00640DA7" w:rsidRDefault="00CC1061" w:rsidP="00B52FD0">
      <w:pPr>
        <w:widowControl w:val="0"/>
        <w:spacing w:after="0" w:line="240" w:lineRule="auto"/>
        <w:jc w:val="both"/>
        <w:rPr>
          <w:rFonts w:ascii="Times New Roman" w:hAnsi="Times New Roman" w:cs="Times New Roman"/>
        </w:rPr>
      </w:pPr>
      <w:bookmarkStart w:id="8" w:name="_GoBack"/>
      <w:bookmarkEnd w:id="8"/>
      <w:r w:rsidRPr="00640DA7">
        <w:rPr>
          <w:rFonts w:ascii="Times New Roman" w:hAnsi="Times New Roman" w:cs="Times New Roman"/>
        </w:rPr>
        <w:t>Inga Noreikienė, tel. (8 5) 205 2967, faks. (8 5) 213 6213, el. p. Inga.Noreikiene</w:t>
      </w:r>
      <w:r w:rsidRPr="00640DA7">
        <w:rPr>
          <w:rFonts w:ascii="Times New Roman" w:hAnsi="Times New Roman" w:cs="Times New Roman"/>
          <w:lang w:val="en-US"/>
        </w:rPr>
        <w:t>@</w:t>
      </w:r>
      <w:proofErr w:type="spellStart"/>
      <w:r w:rsidRPr="00640DA7">
        <w:rPr>
          <w:rFonts w:ascii="Times New Roman" w:hAnsi="Times New Roman" w:cs="Times New Roman"/>
          <w:lang w:val="en-US"/>
        </w:rPr>
        <w:t>vpt.lt</w:t>
      </w:r>
      <w:proofErr w:type="spellEnd"/>
    </w:p>
    <w:sectPr w:rsidR="00486801" w:rsidRPr="00640DA7" w:rsidSect="001300DC">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567" w:footer="454"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5A6" w:rsidRDefault="00F655A6" w:rsidP="007F62DB">
      <w:pPr>
        <w:spacing w:after="0" w:line="240" w:lineRule="auto"/>
      </w:pPr>
      <w:r>
        <w:separator/>
      </w:r>
    </w:p>
  </w:endnote>
  <w:endnote w:type="continuationSeparator" w:id="0">
    <w:p w:rsidR="00F655A6" w:rsidRDefault="00F655A6" w:rsidP="007F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onsolas">
    <w:panose1 w:val="020B0609020204030204"/>
    <w:charset w:val="BA"/>
    <w:family w:val="modern"/>
    <w:pitch w:val="fixed"/>
    <w:sig w:usb0="A00002EF" w:usb1="4000204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A6" w:rsidRDefault="00F655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A6" w:rsidRDefault="00F655A6">
    <w:pPr>
      <w:pStyle w:val="Footer"/>
    </w:pPr>
  </w:p>
  <w:p w:rsidR="00F655A6" w:rsidRDefault="00F655A6">
    <w:pPr>
      <w:pStyle w:val="Footer"/>
    </w:pPr>
  </w:p>
  <w:p w:rsidR="00F655A6" w:rsidRDefault="00F655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F655A6" w:rsidRPr="00DC371C" w:rsidTr="001C5996">
      <w:tc>
        <w:tcPr>
          <w:tcW w:w="3225" w:type="dxa"/>
        </w:tcPr>
        <w:p w:rsidR="00F655A6" w:rsidRPr="00FF61D0" w:rsidRDefault="00F655A6"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F655A6" w:rsidRPr="00FF61D0" w:rsidRDefault="00F655A6"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F655A6" w:rsidRPr="00FF61D0" w:rsidRDefault="00F655A6"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F655A6" w:rsidRPr="00FF61D0" w:rsidRDefault="00F655A6"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F655A6" w:rsidRPr="00FF61D0" w:rsidRDefault="00F655A6"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F655A6" w:rsidRPr="00FF61D0" w:rsidRDefault="00F655A6"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F655A6" w:rsidRPr="00FF61D0" w:rsidRDefault="00F655A6"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F655A6" w:rsidRPr="00FF61D0" w:rsidRDefault="00F655A6"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F655A6" w:rsidRPr="00FF61D0" w:rsidRDefault="00F655A6"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F655A6" w:rsidRPr="00DC371C" w:rsidRDefault="00F655A6" w:rsidP="001C599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5A6" w:rsidRDefault="00F655A6" w:rsidP="007F62DB">
      <w:pPr>
        <w:spacing w:after="0" w:line="240" w:lineRule="auto"/>
      </w:pPr>
      <w:r>
        <w:separator/>
      </w:r>
    </w:p>
  </w:footnote>
  <w:footnote w:type="continuationSeparator" w:id="0">
    <w:p w:rsidR="00F655A6" w:rsidRDefault="00F655A6" w:rsidP="007F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A6" w:rsidRDefault="00E541A2">
    <w:pPr>
      <w:pStyle w:val="Header"/>
      <w:framePr w:wrap="around" w:vAnchor="text" w:hAnchor="margin" w:xAlign="center" w:y="1"/>
      <w:rPr>
        <w:rStyle w:val="PageNumber"/>
      </w:rPr>
    </w:pPr>
    <w:r>
      <w:rPr>
        <w:rStyle w:val="PageNumber"/>
      </w:rPr>
      <w:fldChar w:fldCharType="begin"/>
    </w:r>
    <w:r w:rsidR="00F655A6">
      <w:rPr>
        <w:rStyle w:val="PageNumber"/>
      </w:rPr>
      <w:instrText xml:space="preserve">PAGE  </w:instrText>
    </w:r>
    <w:r>
      <w:rPr>
        <w:rStyle w:val="PageNumber"/>
      </w:rPr>
      <w:fldChar w:fldCharType="end"/>
    </w:r>
  </w:p>
  <w:p w:rsidR="00F655A6" w:rsidRDefault="00F655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A6" w:rsidRDefault="00E541A2">
    <w:pPr>
      <w:pStyle w:val="Header"/>
      <w:framePr w:wrap="around" w:vAnchor="text" w:hAnchor="margin" w:xAlign="center" w:y="1"/>
      <w:rPr>
        <w:rStyle w:val="PageNumber"/>
      </w:rPr>
    </w:pPr>
    <w:r>
      <w:rPr>
        <w:rStyle w:val="PageNumber"/>
      </w:rPr>
      <w:fldChar w:fldCharType="begin"/>
    </w:r>
    <w:r w:rsidR="00F655A6">
      <w:rPr>
        <w:rStyle w:val="PageNumber"/>
      </w:rPr>
      <w:instrText xml:space="preserve">PAGE  </w:instrText>
    </w:r>
    <w:r>
      <w:rPr>
        <w:rStyle w:val="PageNumber"/>
      </w:rPr>
      <w:fldChar w:fldCharType="separate"/>
    </w:r>
    <w:r w:rsidR="00702E67">
      <w:rPr>
        <w:rStyle w:val="PageNumber"/>
        <w:noProof/>
      </w:rPr>
      <w:t>2</w:t>
    </w:r>
    <w:r>
      <w:rPr>
        <w:rStyle w:val="PageNumber"/>
      </w:rPr>
      <w:fldChar w:fldCharType="end"/>
    </w:r>
  </w:p>
  <w:p w:rsidR="00F655A6" w:rsidRDefault="00F655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A6" w:rsidRDefault="00F655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7FAF"/>
    <w:multiLevelType w:val="multilevel"/>
    <w:tmpl w:val="5680F26A"/>
    <w:lvl w:ilvl="0">
      <w:start w:val="1"/>
      <w:numFmt w:val="decimal"/>
      <w:lvlText w:val="%1."/>
      <w:lvlJc w:val="left"/>
      <w:pPr>
        <w:tabs>
          <w:tab w:val="num" w:pos="2487"/>
        </w:tabs>
        <w:ind w:left="1673" w:firstLine="454"/>
      </w:pPr>
      <w:rPr>
        <w:rFonts w:hint="default"/>
      </w:rPr>
    </w:lvl>
    <w:lvl w:ilvl="1">
      <w:start w:val="1"/>
      <w:numFmt w:val="decimal"/>
      <w:lvlText w:val="%1.%2."/>
      <w:lvlJc w:val="left"/>
      <w:pPr>
        <w:tabs>
          <w:tab w:val="num" w:pos="928"/>
        </w:tabs>
        <w:ind w:left="-56" w:firstLine="624"/>
      </w:pPr>
      <w:rPr>
        <w:rFonts w:hint="default"/>
        <w:b w:val="0"/>
        <w:i w:val="0"/>
      </w:rPr>
    </w:lvl>
    <w:lvl w:ilvl="2">
      <w:start w:val="1"/>
      <w:numFmt w:val="decimal"/>
      <w:lvlText w:val="%1.%2.%3."/>
      <w:lvlJc w:val="left"/>
      <w:pPr>
        <w:tabs>
          <w:tab w:val="num" w:pos="1391"/>
        </w:tabs>
        <w:ind w:left="1391" w:hanging="681"/>
      </w:pPr>
      <w:rPr>
        <w:rFonts w:hint="default"/>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62896182"/>
    <w:multiLevelType w:val="hybridMultilevel"/>
    <w:tmpl w:val="1AD6EF76"/>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86801"/>
    <w:rsid w:val="0000115B"/>
    <w:rsid w:val="00003265"/>
    <w:rsid w:val="00004609"/>
    <w:rsid w:val="00010846"/>
    <w:rsid w:val="00010B53"/>
    <w:rsid w:val="00010BCD"/>
    <w:rsid w:val="00011562"/>
    <w:rsid w:val="00013C65"/>
    <w:rsid w:val="000303B0"/>
    <w:rsid w:val="0003418B"/>
    <w:rsid w:val="0003599B"/>
    <w:rsid w:val="0003622B"/>
    <w:rsid w:val="000445B3"/>
    <w:rsid w:val="000446C9"/>
    <w:rsid w:val="00044C8A"/>
    <w:rsid w:val="00045BDA"/>
    <w:rsid w:val="00052A59"/>
    <w:rsid w:val="0005449C"/>
    <w:rsid w:val="000641F3"/>
    <w:rsid w:val="00071072"/>
    <w:rsid w:val="00072BC6"/>
    <w:rsid w:val="00073E8A"/>
    <w:rsid w:val="00075742"/>
    <w:rsid w:val="0007758D"/>
    <w:rsid w:val="000809BF"/>
    <w:rsid w:val="00080AE5"/>
    <w:rsid w:val="000835DC"/>
    <w:rsid w:val="000917A3"/>
    <w:rsid w:val="0009547A"/>
    <w:rsid w:val="000A2455"/>
    <w:rsid w:val="000A33E4"/>
    <w:rsid w:val="000B0B15"/>
    <w:rsid w:val="000B2C14"/>
    <w:rsid w:val="000B2EB0"/>
    <w:rsid w:val="000B75F4"/>
    <w:rsid w:val="000C0EBF"/>
    <w:rsid w:val="000C3DDC"/>
    <w:rsid w:val="000C6A86"/>
    <w:rsid w:val="000D3C1D"/>
    <w:rsid w:val="000D59DA"/>
    <w:rsid w:val="000E1578"/>
    <w:rsid w:val="000E7025"/>
    <w:rsid w:val="000E720D"/>
    <w:rsid w:val="000F54FF"/>
    <w:rsid w:val="000F5810"/>
    <w:rsid w:val="000F7703"/>
    <w:rsid w:val="000F7AD1"/>
    <w:rsid w:val="00103C19"/>
    <w:rsid w:val="00104A5A"/>
    <w:rsid w:val="001065AF"/>
    <w:rsid w:val="001145D6"/>
    <w:rsid w:val="0011761A"/>
    <w:rsid w:val="00123C08"/>
    <w:rsid w:val="0012615B"/>
    <w:rsid w:val="001263E0"/>
    <w:rsid w:val="001300DC"/>
    <w:rsid w:val="00132FF5"/>
    <w:rsid w:val="00137A91"/>
    <w:rsid w:val="00140ECF"/>
    <w:rsid w:val="001413D7"/>
    <w:rsid w:val="00141C7F"/>
    <w:rsid w:val="00144367"/>
    <w:rsid w:val="0014692E"/>
    <w:rsid w:val="00147A71"/>
    <w:rsid w:val="001524C3"/>
    <w:rsid w:val="00164F24"/>
    <w:rsid w:val="001761C6"/>
    <w:rsid w:val="00180542"/>
    <w:rsid w:val="00180EE8"/>
    <w:rsid w:val="00183135"/>
    <w:rsid w:val="001837FB"/>
    <w:rsid w:val="00185E77"/>
    <w:rsid w:val="001876EF"/>
    <w:rsid w:val="0019079D"/>
    <w:rsid w:val="00191382"/>
    <w:rsid w:val="00192435"/>
    <w:rsid w:val="0019600C"/>
    <w:rsid w:val="00196B6B"/>
    <w:rsid w:val="001A3A6B"/>
    <w:rsid w:val="001A4683"/>
    <w:rsid w:val="001A57C6"/>
    <w:rsid w:val="001A604C"/>
    <w:rsid w:val="001B74B7"/>
    <w:rsid w:val="001B76CC"/>
    <w:rsid w:val="001C3572"/>
    <w:rsid w:val="001C3B1C"/>
    <w:rsid w:val="001C5996"/>
    <w:rsid w:val="001C6523"/>
    <w:rsid w:val="001D49A1"/>
    <w:rsid w:val="001D67FF"/>
    <w:rsid w:val="001E3D36"/>
    <w:rsid w:val="001E456F"/>
    <w:rsid w:val="001F5E60"/>
    <w:rsid w:val="001F780B"/>
    <w:rsid w:val="002051DD"/>
    <w:rsid w:val="00205B65"/>
    <w:rsid w:val="002178B8"/>
    <w:rsid w:val="0022047E"/>
    <w:rsid w:val="00221359"/>
    <w:rsid w:val="002253B8"/>
    <w:rsid w:val="00230DF0"/>
    <w:rsid w:val="00231688"/>
    <w:rsid w:val="002317BC"/>
    <w:rsid w:val="0023317E"/>
    <w:rsid w:val="0023458A"/>
    <w:rsid w:val="00236F10"/>
    <w:rsid w:val="00237E8A"/>
    <w:rsid w:val="00241147"/>
    <w:rsid w:val="002452E8"/>
    <w:rsid w:val="0024657E"/>
    <w:rsid w:val="00250740"/>
    <w:rsid w:val="002527B3"/>
    <w:rsid w:val="00254184"/>
    <w:rsid w:val="00257343"/>
    <w:rsid w:val="00264E64"/>
    <w:rsid w:val="00277A33"/>
    <w:rsid w:val="00277FB6"/>
    <w:rsid w:val="00286A0D"/>
    <w:rsid w:val="00290DB8"/>
    <w:rsid w:val="00293870"/>
    <w:rsid w:val="002953DF"/>
    <w:rsid w:val="002A2737"/>
    <w:rsid w:val="002A3465"/>
    <w:rsid w:val="002A7FCC"/>
    <w:rsid w:val="002B1D16"/>
    <w:rsid w:val="002B637C"/>
    <w:rsid w:val="002C0BD4"/>
    <w:rsid w:val="002C3578"/>
    <w:rsid w:val="002C6002"/>
    <w:rsid w:val="002D1A0B"/>
    <w:rsid w:val="002D647A"/>
    <w:rsid w:val="002E3B5F"/>
    <w:rsid w:val="002E6190"/>
    <w:rsid w:val="002F06B4"/>
    <w:rsid w:val="002F2FA2"/>
    <w:rsid w:val="002F3D34"/>
    <w:rsid w:val="002F4430"/>
    <w:rsid w:val="002F5837"/>
    <w:rsid w:val="0030063A"/>
    <w:rsid w:val="00302B9C"/>
    <w:rsid w:val="003036E4"/>
    <w:rsid w:val="00306DED"/>
    <w:rsid w:val="00307C18"/>
    <w:rsid w:val="00310E8C"/>
    <w:rsid w:val="003118C6"/>
    <w:rsid w:val="00321788"/>
    <w:rsid w:val="00323328"/>
    <w:rsid w:val="003265B1"/>
    <w:rsid w:val="003366C1"/>
    <w:rsid w:val="00340659"/>
    <w:rsid w:val="00342CFF"/>
    <w:rsid w:val="00343811"/>
    <w:rsid w:val="00353BD3"/>
    <w:rsid w:val="00353CF3"/>
    <w:rsid w:val="00354187"/>
    <w:rsid w:val="00356418"/>
    <w:rsid w:val="003579A6"/>
    <w:rsid w:val="00361610"/>
    <w:rsid w:val="003647C7"/>
    <w:rsid w:val="00365200"/>
    <w:rsid w:val="0037023C"/>
    <w:rsid w:val="003714F3"/>
    <w:rsid w:val="003722F0"/>
    <w:rsid w:val="00372EDB"/>
    <w:rsid w:val="003808F2"/>
    <w:rsid w:val="003824F3"/>
    <w:rsid w:val="00383351"/>
    <w:rsid w:val="00384041"/>
    <w:rsid w:val="00384D58"/>
    <w:rsid w:val="0039004B"/>
    <w:rsid w:val="00390536"/>
    <w:rsid w:val="00390CEC"/>
    <w:rsid w:val="0039502F"/>
    <w:rsid w:val="003A0B43"/>
    <w:rsid w:val="003A1F16"/>
    <w:rsid w:val="003A1F7A"/>
    <w:rsid w:val="003A3A37"/>
    <w:rsid w:val="003A40D4"/>
    <w:rsid w:val="003B031D"/>
    <w:rsid w:val="003B0662"/>
    <w:rsid w:val="003B1DCF"/>
    <w:rsid w:val="003B4A39"/>
    <w:rsid w:val="003B5D6E"/>
    <w:rsid w:val="003C1241"/>
    <w:rsid w:val="003C6A9C"/>
    <w:rsid w:val="003C73A9"/>
    <w:rsid w:val="003D0263"/>
    <w:rsid w:val="003D262B"/>
    <w:rsid w:val="003D5757"/>
    <w:rsid w:val="003D5AD2"/>
    <w:rsid w:val="003D640B"/>
    <w:rsid w:val="003D6B33"/>
    <w:rsid w:val="003D6F12"/>
    <w:rsid w:val="003D7F3A"/>
    <w:rsid w:val="003E5925"/>
    <w:rsid w:val="003E6685"/>
    <w:rsid w:val="003E7924"/>
    <w:rsid w:val="003E7DE5"/>
    <w:rsid w:val="004015F6"/>
    <w:rsid w:val="004017EA"/>
    <w:rsid w:val="00403792"/>
    <w:rsid w:val="0040461E"/>
    <w:rsid w:val="00404928"/>
    <w:rsid w:val="00404AE1"/>
    <w:rsid w:val="004059D6"/>
    <w:rsid w:val="00406A9F"/>
    <w:rsid w:val="00407915"/>
    <w:rsid w:val="00410734"/>
    <w:rsid w:val="00412803"/>
    <w:rsid w:val="00423D7E"/>
    <w:rsid w:val="004241BB"/>
    <w:rsid w:val="0042590E"/>
    <w:rsid w:val="004259D1"/>
    <w:rsid w:val="00427024"/>
    <w:rsid w:val="00427060"/>
    <w:rsid w:val="00431842"/>
    <w:rsid w:val="004354A4"/>
    <w:rsid w:val="0043728E"/>
    <w:rsid w:val="00446DCB"/>
    <w:rsid w:val="00450004"/>
    <w:rsid w:val="004628B5"/>
    <w:rsid w:val="00463206"/>
    <w:rsid w:val="0047311D"/>
    <w:rsid w:val="004765F9"/>
    <w:rsid w:val="00477CF6"/>
    <w:rsid w:val="00482805"/>
    <w:rsid w:val="00482BA1"/>
    <w:rsid w:val="00484A80"/>
    <w:rsid w:val="004850BB"/>
    <w:rsid w:val="00486801"/>
    <w:rsid w:val="0048691C"/>
    <w:rsid w:val="004908D0"/>
    <w:rsid w:val="004931E1"/>
    <w:rsid w:val="00493AC1"/>
    <w:rsid w:val="004A0A4E"/>
    <w:rsid w:val="004A1486"/>
    <w:rsid w:val="004A24F4"/>
    <w:rsid w:val="004A5A5C"/>
    <w:rsid w:val="004A5E9F"/>
    <w:rsid w:val="004A687F"/>
    <w:rsid w:val="004A754B"/>
    <w:rsid w:val="004B5BB8"/>
    <w:rsid w:val="004B7655"/>
    <w:rsid w:val="004C392E"/>
    <w:rsid w:val="004C5668"/>
    <w:rsid w:val="004D1A5C"/>
    <w:rsid w:val="004D3838"/>
    <w:rsid w:val="004D4156"/>
    <w:rsid w:val="004E009E"/>
    <w:rsid w:val="004E0AB9"/>
    <w:rsid w:val="004E4876"/>
    <w:rsid w:val="00500F4B"/>
    <w:rsid w:val="00516174"/>
    <w:rsid w:val="005173EF"/>
    <w:rsid w:val="0052197D"/>
    <w:rsid w:val="00522996"/>
    <w:rsid w:val="0053372D"/>
    <w:rsid w:val="00535FAD"/>
    <w:rsid w:val="005508C7"/>
    <w:rsid w:val="00553658"/>
    <w:rsid w:val="005543B1"/>
    <w:rsid w:val="00557140"/>
    <w:rsid w:val="00557720"/>
    <w:rsid w:val="00562456"/>
    <w:rsid w:val="00564950"/>
    <w:rsid w:val="00574868"/>
    <w:rsid w:val="005767A3"/>
    <w:rsid w:val="00581A01"/>
    <w:rsid w:val="00581FA5"/>
    <w:rsid w:val="00586CD7"/>
    <w:rsid w:val="00593A36"/>
    <w:rsid w:val="0059582D"/>
    <w:rsid w:val="005A23AE"/>
    <w:rsid w:val="005A2E90"/>
    <w:rsid w:val="005A7661"/>
    <w:rsid w:val="005B250B"/>
    <w:rsid w:val="005B2893"/>
    <w:rsid w:val="005B3B56"/>
    <w:rsid w:val="005B6E17"/>
    <w:rsid w:val="005C00BC"/>
    <w:rsid w:val="005C3578"/>
    <w:rsid w:val="005C3F21"/>
    <w:rsid w:val="005C5A86"/>
    <w:rsid w:val="005E7129"/>
    <w:rsid w:val="005F38A4"/>
    <w:rsid w:val="005F4F56"/>
    <w:rsid w:val="005F7614"/>
    <w:rsid w:val="006068F6"/>
    <w:rsid w:val="00607F48"/>
    <w:rsid w:val="00610736"/>
    <w:rsid w:val="00610D61"/>
    <w:rsid w:val="006164DA"/>
    <w:rsid w:val="00617561"/>
    <w:rsid w:val="00624B55"/>
    <w:rsid w:val="00624CD7"/>
    <w:rsid w:val="006304BF"/>
    <w:rsid w:val="006335E9"/>
    <w:rsid w:val="006352F2"/>
    <w:rsid w:val="00636338"/>
    <w:rsid w:val="00636BA4"/>
    <w:rsid w:val="00637DAD"/>
    <w:rsid w:val="00640DA7"/>
    <w:rsid w:val="00643B8B"/>
    <w:rsid w:val="00657280"/>
    <w:rsid w:val="00657599"/>
    <w:rsid w:val="0067035D"/>
    <w:rsid w:val="00683CCE"/>
    <w:rsid w:val="00685F1C"/>
    <w:rsid w:val="006867FE"/>
    <w:rsid w:val="00692C87"/>
    <w:rsid w:val="006A5D8E"/>
    <w:rsid w:val="006A62C0"/>
    <w:rsid w:val="006B1A56"/>
    <w:rsid w:val="006C4105"/>
    <w:rsid w:val="006D0E84"/>
    <w:rsid w:val="006D290F"/>
    <w:rsid w:val="006D48A4"/>
    <w:rsid w:val="006E25E7"/>
    <w:rsid w:val="006E3E62"/>
    <w:rsid w:val="006E4A78"/>
    <w:rsid w:val="006E71EF"/>
    <w:rsid w:val="006F4B35"/>
    <w:rsid w:val="006F7CA7"/>
    <w:rsid w:val="00700347"/>
    <w:rsid w:val="007011A1"/>
    <w:rsid w:val="007027BB"/>
    <w:rsid w:val="00702E67"/>
    <w:rsid w:val="00704D7D"/>
    <w:rsid w:val="007121BE"/>
    <w:rsid w:val="00720F39"/>
    <w:rsid w:val="0072595C"/>
    <w:rsid w:val="00730357"/>
    <w:rsid w:val="00734FB1"/>
    <w:rsid w:val="00744E07"/>
    <w:rsid w:val="00747254"/>
    <w:rsid w:val="0075112E"/>
    <w:rsid w:val="0075592B"/>
    <w:rsid w:val="00772284"/>
    <w:rsid w:val="007728AB"/>
    <w:rsid w:val="00773533"/>
    <w:rsid w:val="00775FD4"/>
    <w:rsid w:val="00777FA2"/>
    <w:rsid w:val="00783D14"/>
    <w:rsid w:val="0079414F"/>
    <w:rsid w:val="007961EA"/>
    <w:rsid w:val="007A17FE"/>
    <w:rsid w:val="007A39FA"/>
    <w:rsid w:val="007A3ACD"/>
    <w:rsid w:val="007A3F0B"/>
    <w:rsid w:val="007A6640"/>
    <w:rsid w:val="007A6B96"/>
    <w:rsid w:val="007B0587"/>
    <w:rsid w:val="007B28CB"/>
    <w:rsid w:val="007C4CA0"/>
    <w:rsid w:val="007D21C7"/>
    <w:rsid w:val="007D3ED7"/>
    <w:rsid w:val="007D4D5D"/>
    <w:rsid w:val="007D657F"/>
    <w:rsid w:val="007D6E58"/>
    <w:rsid w:val="007E295F"/>
    <w:rsid w:val="007E2B12"/>
    <w:rsid w:val="007F060E"/>
    <w:rsid w:val="007F1242"/>
    <w:rsid w:val="007F29B8"/>
    <w:rsid w:val="007F2EBA"/>
    <w:rsid w:val="007F35BF"/>
    <w:rsid w:val="007F62DB"/>
    <w:rsid w:val="007F66A2"/>
    <w:rsid w:val="008129A9"/>
    <w:rsid w:val="00821F76"/>
    <w:rsid w:val="00827786"/>
    <w:rsid w:val="0083073C"/>
    <w:rsid w:val="0083167E"/>
    <w:rsid w:val="00846DE0"/>
    <w:rsid w:val="0085672D"/>
    <w:rsid w:val="00857855"/>
    <w:rsid w:val="008604E0"/>
    <w:rsid w:val="00862A55"/>
    <w:rsid w:val="00863C8A"/>
    <w:rsid w:val="008646A3"/>
    <w:rsid w:val="00872BF7"/>
    <w:rsid w:val="00873895"/>
    <w:rsid w:val="008814B1"/>
    <w:rsid w:val="008817B9"/>
    <w:rsid w:val="00883FA0"/>
    <w:rsid w:val="008917A8"/>
    <w:rsid w:val="008944BC"/>
    <w:rsid w:val="008948AB"/>
    <w:rsid w:val="008949D8"/>
    <w:rsid w:val="00894B82"/>
    <w:rsid w:val="00896355"/>
    <w:rsid w:val="0089692F"/>
    <w:rsid w:val="00896AD9"/>
    <w:rsid w:val="008971DD"/>
    <w:rsid w:val="008A3F94"/>
    <w:rsid w:val="008A53F9"/>
    <w:rsid w:val="008A694D"/>
    <w:rsid w:val="008B06F8"/>
    <w:rsid w:val="008B2BAD"/>
    <w:rsid w:val="008B2E74"/>
    <w:rsid w:val="008B4FA7"/>
    <w:rsid w:val="008B6233"/>
    <w:rsid w:val="008B7110"/>
    <w:rsid w:val="008C6ECC"/>
    <w:rsid w:val="008D0D9C"/>
    <w:rsid w:val="008D48C4"/>
    <w:rsid w:val="008D4C73"/>
    <w:rsid w:val="008E16A5"/>
    <w:rsid w:val="008E1845"/>
    <w:rsid w:val="008E2464"/>
    <w:rsid w:val="008E292E"/>
    <w:rsid w:val="008E3C32"/>
    <w:rsid w:val="008E3F34"/>
    <w:rsid w:val="008E57EB"/>
    <w:rsid w:val="008F5562"/>
    <w:rsid w:val="008F73E1"/>
    <w:rsid w:val="009045DC"/>
    <w:rsid w:val="0090703E"/>
    <w:rsid w:val="00910221"/>
    <w:rsid w:val="009112F6"/>
    <w:rsid w:val="0091178C"/>
    <w:rsid w:val="009225CD"/>
    <w:rsid w:val="009302B2"/>
    <w:rsid w:val="00932A9F"/>
    <w:rsid w:val="009348BD"/>
    <w:rsid w:val="00936A80"/>
    <w:rsid w:val="00937499"/>
    <w:rsid w:val="00945271"/>
    <w:rsid w:val="00946AC8"/>
    <w:rsid w:val="0095465E"/>
    <w:rsid w:val="00955881"/>
    <w:rsid w:val="00956123"/>
    <w:rsid w:val="00956A28"/>
    <w:rsid w:val="009732F0"/>
    <w:rsid w:val="00974E2E"/>
    <w:rsid w:val="009819AB"/>
    <w:rsid w:val="00981CE1"/>
    <w:rsid w:val="00983B40"/>
    <w:rsid w:val="00984CA9"/>
    <w:rsid w:val="00985D1F"/>
    <w:rsid w:val="00986528"/>
    <w:rsid w:val="009935EA"/>
    <w:rsid w:val="00995723"/>
    <w:rsid w:val="00997773"/>
    <w:rsid w:val="009A1619"/>
    <w:rsid w:val="009A24A7"/>
    <w:rsid w:val="009B0EE0"/>
    <w:rsid w:val="009B4064"/>
    <w:rsid w:val="009C6895"/>
    <w:rsid w:val="009D1573"/>
    <w:rsid w:val="009D3C68"/>
    <w:rsid w:val="009D46BA"/>
    <w:rsid w:val="009D47CF"/>
    <w:rsid w:val="009D5042"/>
    <w:rsid w:val="009D5A79"/>
    <w:rsid w:val="009D7A04"/>
    <w:rsid w:val="009E0064"/>
    <w:rsid w:val="009E24EC"/>
    <w:rsid w:val="009E2DFC"/>
    <w:rsid w:val="009E7A20"/>
    <w:rsid w:val="009F2297"/>
    <w:rsid w:val="00A00544"/>
    <w:rsid w:val="00A06198"/>
    <w:rsid w:val="00A12BCC"/>
    <w:rsid w:val="00A2120B"/>
    <w:rsid w:val="00A2227E"/>
    <w:rsid w:val="00A24D1F"/>
    <w:rsid w:val="00A25838"/>
    <w:rsid w:val="00A3009E"/>
    <w:rsid w:val="00A30EB7"/>
    <w:rsid w:val="00A3270E"/>
    <w:rsid w:val="00A33E6F"/>
    <w:rsid w:val="00A37A6F"/>
    <w:rsid w:val="00A4378D"/>
    <w:rsid w:val="00A44A41"/>
    <w:rsid w:val="00A45734"/>
    <w:rsid w:val="00A5021D"/>
    <w:rsid w:val="00A54466"/>
    <w:rsid w:val="00A5553B"/>
    <w:rsid w:val="00A60438"/>
    <w:rsid w:val="00A60574"/>
    <w:rsid w:val="00A613E6"/>
    <w:rsid w:val="00A641DE"/>
    <w:rsid w:val="00A67210"/>
    <w:rsid w:val="00A70D0F"/>
    <w:rsid w:val="00A70DB5"/>
    <w:rsid w:val="00A71881"/>
    <w:rsid w:val="00A815DD"/>
    <w:rsid w:val="00A83BE4"/>
    <w:rsid w:val="00A84C99"/>
    <w:rsid w:val="00A8727F"/>
    <w:rsid w:val="00AA256E"/>
    <w:rsid w:val="00AA3B95"/>
    <w:rsid w:val="00AB39BA"/>
    <w:rsid w:val="00AB54EB"/>
    <w:rsid w:val="00AB557E"/>
    <w:rsid w:val="00AB79F3"/>
    <w:rsid w:val="00AC3B4C"/>
    <w:rsid w:val="00AC5C69"/>
    <w:rsid w:val="00AC76D8"/>
    <w:rsid w:val="00AC772B"/>
    <w:rsid w:val="00AD2083"/>
    <w:rsid w:val="00AD41A6"/>
    <w:rsid w:val="00AD6CF7"/>
    <w:rsid w:val="00AE063B"/>
    <w:rsid w:val="00AE62A7"/>
    <w:rsid w:val="00B10670"/>
    <w:rsid w:val="00B10D35"/>
    <w:rsid w:val="00B32FE8"/>
    <w:rsid w:val="00B417DF"/>
    <w:rsid w:val="00B41B5A"/>
    <w:rsid w:val="00B43149"/>
    <w:rsid w:val="00B52FD0"/>
    <w:rsid w:val="00B5445A"/>
    <w:rsid w:val="00B56DC2"/>
    <w:rsid w:val="00B60A6B"/>
    <w:rsid w:val="00B63D60"/>
    <w:rsid w:val="00B7019A"/>
    <w:rsid w:val="00B7463E"/>
    <w:rsid w:val="00B75B81"/>
    <w:rsid w:val="00B75DF5"/>
    <w:rsid w:val="00B81031"/>
    <w:rsid w:val="00B82B97"/>
    <w:rsid w:val="00B830EF"/>
    <w:rsid w:val="00B841CB"/>
    <w:rsid w:val="00B857A0"/>
    <w:rsid w:val="00B915E9"/>
    <w:rsid w:val="00B9320B"/>
    <w:rsid w:val="00B9460A"/>
    <w:rsid w:val="00B96938"/>
    <w:rsid w:val="00B97B00"/>
    <w:rsid w:val="00BA034B"/>
    <w:rsid w:val="00BA53B6"/>
    <w:rsid w:val="00BA5F45"/>
    <w:rsid w:val="00BB1849"/>
    <w:rsid w:val="00BB4E64"/>
    <w:rsid w:val="00BD07D4"/>
    <w:rsid w:val="00BD1D2E"/>
    <w:rsid w:val="00BD288A"/>
    <w:rsid w:val="00BD4774"/>
    <w:rsid w:val="00BD580B"/>
    <w:rsid w:val="00BD62E8"/>
    <w:rsid w:val="00BE019F"/>
    <w:rsid w:val="00BE09C7"/>
    <w:rsid w:val="00BF25EF"/>
    <w:rsid w:val="00BF6390"/>
    <w:rsid w:val="00BF6FC8"/>
    <w:rsid w:val="00BF7A84"/>
    <w:rsid w:val="00C00B36"/>
    <w:rsid w:val="00C0103F"/>
    <w:rsid w:val="00C01269"/>
    <w:rsid w:val="00C04734"/>
    <w:rsid w:val="00C10D24"/>
    <w:rsid w:val="00C13775"/>
    <w:rsid w:val="00C14F3E"/>
    <w:rsid w:val="00C20AC1"/>
    <w:rsid w:val="00C210D9"/>
    <w:rsid w:val="00C25482"/>
    <w:rsid w:val="00C33BCC"/>
    <w:rsid w:val="00C34D73"/>
    <w:rsid w:val="00C353DA"/>
    <w:rsid w:val="00C35EDE"/>
    <w:rsid w:val="00C40A93"/>
    <w:rsid w:val="00C424F9"/>
    <w:rsid w:val="00C425CA"/>
    <w:rsid w:val="00C474A0"/>
    <w:rsid w:val="00C50E5D"/>
    <w:rsid w:val="00C51100"/>
    <w:rsid w:val="00C51F94"/>
    <w:rsid w:val="00C659EC"/>
    <w:rsid w:val="00C7448A"/>
    <w:rsid w:val="00C778F4"/>
    <w:rsid w:val="00C92581"/>
    <w:rsid w:val="00CA0528"/>
    <w:rsid w:val="00CA3875"/>
    <w:rsid w:val="00CB15F9"/>
    <w:rsid w:val="00CB3732"/>
    <w:rsid w:val="00CC0BF4"/>
    <w:rsid w:val="00CC1061"/>
    <w:rsid w:val="00CC48BD"/>
    <w:rsid w:val="00CC6E04"/>
    <w:rsid w:val="00CD05E2"/>
    <w:rsid w:val="00CD105B"/>
    <w:rsid w:val="00CD591F"/>
    <w:rsid w:val="00CE5FCB"/>
    <w:rsid w:val="00CE70B8"/>
    <w:rsid w:val="00CF6A9B"/>
    <w:rsid w:val="00CF7562"/>
    <w:rsid w:val="00CF7A2A"/>
    <w:rsid w:val="00D03C30"/>
    <w:rsid w:val="00D03C36"/>
    <w:rsid w:val="00D20928"/>
    <w:rsid w:val="00D22188"/>
    <w:rsid w:val="00D2355C"/>
    <w:rsid w:val="00D23ADE"/>
    <w:rsid w:val="00D32343"/>
    <w:rsid w:val="00D37E52"/>
    <w:rsid w:val="00D40461"/>
    <w:rsid w:val="00D414C1"/>
    <w:rsid w:val="00D4267E"/>
    <w:rsid w:val="00D43FCF"/>
    <w:rsid w:val="00D464D3"/>
    <w:rsid w:val="00D50752"/>
    <w:rsid w:val="00D51D19"/>
    <w:rsid w:val="00D5222D"/>
    <w:rsid w:val="00D5422D"/>
    <w:rsid w:val="00D55142"/>
    <w:rsid w:val="00D62A28"/>
    <w:rsid w:val="00D64BB3"/>
    <w:rsid w:val="00D80243"/>
    <w:rsid w:val="00D827F4"/>
    <w:rsid w:val="00D84A93"/>
    <w:rsid w:val="00D852E6"/>
    <w:rsid w:val="00D91200"/>
    <w:rsid w:val="00DA0298"/>
    <w:rsid w:val="00DA3428"/>
    <w:rsid w:val="00DA514B"/>
    <w:rsid w:val="00DA5937"/>
    <w:rsid w:val="00DA6932"/>
    <w:rsid w:val="00DB2FB0"/>
    <w:rsid w:val="00DB4040"/>
    <w:rsid w:val="00DB5DA5"/>
    <w:rsid w:val="00DC27A8"/>
    <w:rsid w:val="00DC4834"/>
    <w:rsid w:val="00DC7A86"/>
    <w:rsid w:val="00DD2DD8"/>
    <w:rsid w:val="00DD4D96"/>
    <w:rsid w:val="00DD6379"/>
    <w:rsid w:val="00DE4560"/>
    <w:rsid w:val="00DE5C03"/>
    <w:rsid w:val="00DE6761"/>
    <w:rsid w:val="00DF1D0E"/>
    <w:rsid w:val="00DF594B"/>
    <w:rsid w:val="00E003E5"/>
    <w:rsid w:val="00E16663"/>
    <w:rsid w:val="00E20F34"/>
    <w:rsid w:val="00E21D4C"/>
    <w:rsid w:val="00E237FB"/>
    <w:rsid w:val="00E33A5A"/>
    <w:rsid w:val="00E3524C"/>
    <w:rsid w:val="00E35CEA"/>
    <w:rsid w:val="00E3657E"/>
    <w:rsid w:val="00E36B4F"/>
    <w:rsid w:val="00E43997"/>
    <w:rsid w:val="00E44514"/>
    <w:rsid w:val="00E45435"/>
    <w:rsid w:val="00E46AB5"/>
    <w:rsid w:val="00E47466"/>
    <w:rsid w:val="00E52123"/>
    <w:rsid w:val="00E541A2"/>
    <w:rsid w:val="00E56A44"/>
    <w:rsid w:val="00E5783B"/>
    <w:rsid w:val="00E66A91"/>
    <w:rsid w:val="00E7214B"/>
    <w:rsid w:val="00E752D1"/>
    <w:rsid w:val="00E80333"/>
    <w:rsid w:val="00E80F88"/>
    <w:rsid w:val="00E81EF0"/>
    <w:rsid w:val="00E842F0"/>
    <w:rsid w:val="00E917A9"/>
    <w:rsid w:val="00E935F2"/>
    <w:rsid w:val="00EA0449"/>
    <w:rsid w:val="00EA078D"/>
    <w:rsid w:val="00EA436A"/>
    <w:rsid w:val="00EB0CEC"/>
    <w:rsid w:val="00EB12E8"/>
    <w:rsid w:val="00EB17F2"/>
    <w:rsid w:val="00EB1E5C"/>
    <w:rsid w:val="00EB2802"/>
    <w:rsid w:val="00EB3780"/>
    <w:rsid w:val="00EC0CA3"/>
    <w:rsid w:val="00EC1D5A"/>
    <w:rsid w:val="00EC70D9"/>
    <w:rsid w:val="00ED0F32"/>
    <w:rsid w:val="00ED2F86"/>
    <w:rsid w:val="00ED6A32"/>
    <w:rsid w:val="00EE2A49"/>
    <w:rsid w:val="00EE4685"/>
    <w:rsid w:val="00EE54AD"/>
    <w:rsid w:val="00EE78BF"/>
    <w:rsid w:val="00EF033F"/>
    <w:rsid w:val="00EF600E"/>
    <w:rsid w:val="00F039C3"/>
    <w:rsid w:val="00F041C7"/>
    <w:rsid w:val="00F053B4"/>
    <w:rsid w:val="00F07534"/>
    <w:rsid w:val="00F11FCD"/>
    <w:rsid w:val="00F13BFA"/>
    <w:rsid w:val="00F14094"/>
    <w:rsid w:val="00F15FFA"/>
    <w:rsid w:val="00F16D40"/>
    <w:rsid w:val="00F22225"/>
    <w:rsid w:val="00F30F0C"/>
    <w:rsid w:val="00F33702"/>
    <w:rsid w:val="00F36004"/>
    <w:rsid w:val="00F41710"/>
    <w:rsid w:val="00F42D9C"/>
    <w:rsid w:val="00F46B35"/>
    <w:rsid w:val="00F51C3B"/>
    <w:rsid w:val="00F622F6"/>
    <w:rsid w:val="00F646F2"/>
    <w:rsid w:val="00F655A6"/>
    <w:rsid w:val="00F74A93"/>
    <w:rsid w:val="00F75779"/>
    <w:rsid w:val="00F85C0C"/>
    <w:rsid w:val="00F90C4A"/>
    <w:rsid w:val="00F91CFE"/>
    <w:rsid w:val="00F91D67"/>
    <w:rsid w:val="00F926A8"/>
    <w:rsid w:val="00F9444F"/>
    <w:rsid w:val="00FA16E7"/>
    <w:rsid w:val="00FA2863"/>
    <w:rsid w:val="00FB19D5"/>
    <w:rsid w:val="00FB23F3"/>
    <w:rsid w:val="00FB2DE4"/>
    <w:rsid w:val="00FB4F33"/>
    <w:rsid w:val="00FB54F6"/>
    <w:rsid w:val="00FC2B08"/>
    <w:rsid w:val="00FC6945"/>
    <w:rsid w:val="00FC6B8A"/>
    <w:rsid w:val="00FD4997"/>
    <w:rsid w:val="00FE2ADA"/>
    <w:rsid w:val="00FE6AA1"/>
    <w:rsid w:val="00FE794D"/>
    <w:rsid w:val="00FF41D2"/>
    <w:rsid w:val="00FF57C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1"/>
  </w:style>
  <w:style w:type="paragraph" w:styleId="Heading1">
    <w:name w:val="heading 1"/>
    <w:basedOn w:val="Normal"/>
    <w:next w:val="Normal"/>
    <w:link w:val="Heading1Char"/>
    <w:qFormat/>
    <w:rsid w:val="00BD580B"/>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CommentText">
    <w:name w:val="annotation text"/>
    <w:basedOn w:val="Normal"/>
    <w:link w:val="CommentTextChar"/>
    <w:rsid w:val="004015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015F6"/>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0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079D"/>
    <w:rPr>
      <w:rFonts w:ascii="Consolas" w:hAnsi="Consolas"/>
      <w:sz w:val="21"/>
      <w:szCs w:val="21"/>
    </w:rPr>
  </w:style>
  <w:style w:type="character" w:customStyle="1" w:styleId="copy">
    <w:name w:val="copy"/>
    <w:basedOn w:val="DefaultParagraphFont"/>
    <w:rsid w:val="0039004B"/>
  </w:style>
  <w:style w:type="paragraph" w:customStyle="1" w:styleId="Default">
    <w:name w:val="Default"/>
    <w:rsid w:val="00B969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BD580B"/>
    <w:rPr>
      <w:rFonts w:ascii="Times New Roman" w:eastAsia="Times New Roman" w:hAnsi="Times New Roman" w:cs="Times New Roman"/>
      <w:b/>
      <w:bCs/>
      <w:sz w:val="32"/>
      <w:szCs w:val="32"/>
    </w:rPr>
  </w:style>
  <w:style w:type="paragraph" w:customStyle="1" w:styleId="DiagramaCharChar1Diagrama">
    <w:name w:val="Diagrama Char Char1 Diagrama"/>
    <w:basedOn w:val="Normal"/>
    <w:rsid w:val="00343811"/>
    <w:pPr>
      <w:spacing w:after="160" w:line="240" w:lineRule="exact"/>
    </w:pPr>
    <w:rPr>
      <w:rFonts w:ascii="Tahoma" w:eastAsia="Times New Roman" w:hAnsi="Tahoma" w:cs="Times New Roman"/>
      <w:sz w:val="20"/>
      <w:szCs w:val="20"/>
      <w:lang w:val="en-US"/>
    </w:rPr>
  </w:style>
  <w:style w:type="character" w:customStyle="1" w:styleId="FontStyle23">
    <w:name w:val="Font Style23"/>
    <w:rsid w:val="009045DC"/>
    <w:rPr>
      <w:rFonts w:ascii="Times New Roman" w:hAnsi="Times New Roman"/>
      <w:sz w:val="22"/>
    </w:rPr>
  </w:style>
  <w:style w:type="paragraph" w:styleId="ListParagraph">
    <w:name w:val="List Paragraph"/>
    <w:basedOn w:val="Normal"/>
    <w:uiPriority w:val="34"/>
    <w:qFormat/>
    <w:rsid w:val="003A40D4"/>
    <w:pPr>
      <w:ind w:left="720"/>
      <w:contextualSpacing/>
    </w:pPr>
  </w:style>
  <w:style w:type="paragraph" w:styleId="BalloonText">
    <w:name w:val="Balloon Text"/>
    <w:basedOn w:val="Normal"/>
    <w:link w:val="BalloonTextChar"/>
    <w:uiPriority w:val="99"/>
    <w:semiHidden/>
    <w:unhideWhenUsed/>
    <w:rsid w:val="00180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9936582">
      <w:bodyDiv w:val="1"/>
      <w:marLeft w:val="0"/>
      <w:marRight w:val="0"/>
      <w:marTop w:val="0"/>
      <w:marBottom w:val="0"/>
      <w:divBdr>
        <w:top w:val="none" w:sz="0" w:space="0" w:color="auto"/>
        <w:left w:val="none" w:sz="0" w:space="0" w:color="auto"/>
        <w:bottom w:val="none" w:sz="0" w:space="0" w:color="auto"/>
        <w:right w:val="none" w:sz="0" w:space="0" w:color="auto"/>
      </w:divBdr>
    </w:div>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181313810">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9C4B1-001F-4D5F-A52F-325D2297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TotalTime>
  <Pages>3</Pages>
  <Words>5155</Words>
  <Characters>2939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Inga Noreikienė</cp:lastModifiedBy>
  <cp:revision>62</cp:revision>
  <cp:lastPrinted>2015-04-23T07:22:00Z</cp:lastPrinted>
  <dcterms:created xsi:type="dcterms:W3CDTF">2014-10-31T09:02:00Z</dcterms:created>
  <dcterms:modified xsi:type="dcterms:W3CDTF">2015-04-23T11:27:00Z</dcterms:modified>
</cp:coreProperties>
</file>