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C7133C" w:rsidRPr="000C4C16" w:rsidRDefault="00C7133C" w:rsidP="00C7133C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4"/>
          <w:szCs w:val="24"/>
        </w:rPr>
      </w:pPr>
      <w:r w:rsidRPr="000C4C16">
        <w:rPr>
          <w:rFonts w:ascii="CG Times" w:eastAsia="Times New Roman" w:hAnsi="CG Times" w:cs="Times New Roman"/>
          <w:b/>
          <w:bCs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8" o:title=""/>
          </v:shape>
          <o:OLEObject Type="Embed" ProgID="Word.Picture.8" ShapeID="_x0000_i1025" DrawAspect="Content" ObjectID="_1489910787" r:id="rId9"/>
        </w:object>
      </w:r>
    </w:p>
    <w:p w:rsidR="00C7133C" w:rsidRPr="000C4C16" w:rsidRDefault="00C7133C" w:rsidP="00C71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3D0D" w:rsidRPr="000C4C16" w:rsidRDefault="00043D0D" w:rsidP="00043D0D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043D0D" w:rsidRPr="000C4C16" w:rsidRDefault="00043D0D" w:rsidP="00043D0D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306D83" w:rsidRPr="000C4C16" w:rsidRDefault="00306D83" w:rsidP="00043D0D">
      <w:pPr>
        <w:keepLines/>
        <w:suppressAutoHyphens/>
        <w:autoSpaceDE w:val="0"/>
        <w:autoSpaceDN w:val="0"/>
        <w:adjustRightInd w:val="0"/>
        <w:spacing w:after="0" w:line="28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043D0D" w:rsidRPr="000C4C16" w:rsidRDefault="00043D0D" w:rsidP="00043D0D">
      <w:pPr>
        <w:keepLines/>
        <w:suppressAutoHyphens/>
        <w:autoSpaceDE w:val="0"/>
        <w:autoSpaceDN w:val="0"/>
        <w:adjustRightInd w:val="0"/>
        <w:spacing w:after="0" w:line="28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</w:t>
      </w:r>
    </w:p>
    <w:p w:rsidR="00043D0D" w:rsidRPr="000C4C16" w:rsidRDefault="00043D0D" w:rsidP="00043D0D">
      <w:pPr>
        <w:keepLines/>
        <w:suppressAutoHyphens/>
        <w:autoSpaceDE w:val="0"/>
        <w:autoSpaceDN w:val="0"/>
        <w:adjustRightInd w:val="0"/>
        <w:spacing w:after="0" w:line="28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dėl sutikimo</w:t>
      </w:r>
      <w:r w:rsidRPr="000C4C16">
        <w:rPr>
          <w:rFonts w:ascii="Times New Roman" w:eastAsia="Times New Roman" w:hAnsi="Times New Roman" w:cs="Times New Roman"/>
          <w:b/>
          <w:sz w:val="24"/>
          <w:szCs w:val="24"/>
        </w:rPr>
        <w:t xml:space="preserve"> VYKDYTI PIRKIMĄ NESKELBIAMŲ DERYBŲ BŪDU</w:t>
      </w:r>
    </w:p>
    <w:p w:rsidR="00043D0D" w:rsidRPr="000C4C16" w:rsidRDefault="00306D83" w:rsidP="00043D0D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0C4C1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306D83" w:rsidRPr="000C4C16" w:rsidRDefault="00306D83" w:rsidP="00043D0D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43D0D" w:rsidRPr="000C4C16" w:rsidRDefault="00043D0D" w:rsidP="00043D0D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color w:val="000000"/>
          <w:sz w:val="24"/>
          <w:szCs w:val="24"/>
        </w:rPr>
        <w:t>2015-0</w:t>
      </w:r>
      <w:r w:rsidR="002C413D" w:rsidRPr="000C4C1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C4C16">
        <w:rPr>
          <w:rFonts w:ascii="Times New Roman" w:eastAsia="Times New Roman" w:hAnsi="Times New Roman" w:cs="Times New Roman"/>
          <w:color w:val="000000"/>
          <w:sz w:val="24"/>
          <w:szCs w:val="24"/>
        </w:rPr>
        <w:t>-     Nr. 4S-</w:t>
      </w:r>
    </w:p>
    <w:p w:rsidR="00C7133C" w:rsidRPr="000C4C16" w:rsidRDefault="00043D0D" w:rsidP="00043D0D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         Vilnius</w:t>
      </w:r>
    </w:p>
    <w:tbl>
      <w:tblPr>
        <w:tblW w:w="10308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691"/>
        <w:gridCol w:w="1701"/>
        <w:gridCol w:w="567"/>
        <w:gridCol w:w="2349"/>
      </w:tblGrid>
      <w:tr w:rsidR="00C7133C" w:rsidRPr="000C4C16" w:rsidTr="00043D0D">
        <w:trPr>
          <w:cantSplit/>
          <w:trHeight w:val="439"/>
        </w:trPr>
        <w:tc>
          <w:tcPr>
            <w:tcW w:w="5691" w:type="dxa"/>
          </w:tcPr>
          <w:p w:rsidR="000C4C16" w:rsidRPr="000C4C16" w:rsidRDefault="000C4C16" w:rsidP="00043D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133C" w:rsidRPr="000C4C16" w:rsidRDefault="00C7133C" w:rsidP="001B0C9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7133C" w:rsidRPr="000C4C16" w:rsidRDefault="00C7133C" w:rsidP="001B0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EB5EB9" w:rsidRPr="000C4C16" w:rsidRDefault="00EB5EB9" w:rsidP="00744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413D" w:rsidRPr="000C4C16" w:rsidRDefault="001B0C91" w:rsidP="002145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0C4C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prašymą sutikti</w:t>
      </w:r>
      <w:r w:rsidR="007C51F2" w:rsidRPr="000C4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13D" w:rsidRPr="000C4C16">
        <w:rPr>
          <w:rFonts w:ascii="Times New Roman" w:eastAsia="Times New Roman" w:hAnsi="Times New Roman" w:cs="Times New Roman"/>
          <w:sz w:val="24"/>
          <w:szCs w:val="24"/>
        </w:rPr>
        <w:t xml:space="preserve">elektroninių mokslo duomenų bazių </w:t>
      </w:r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</w:rPr>
        <w:t>The Biomedical and Life Sciences Collections</w:t>
      </w:r>
      <w:r w:rsidR="002C413D" w:rsidRPr="000C4C16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InCites (InCites Benchmarking </w:t>
      </w:r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</w:t>
      </w:r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Analytics </w:t>
      </w:r>
      <w:r w:rsidR="002C413D" w:rsidRPr="000C4C16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InCites Journal </w:t>
      </w:r>
      <w:r w:rsidR="002C413D"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Highly Cited Data </w:t>
      </w:r>
      <w:r w:rsidR="007C51F2" w:rsidRPr="000C4C16">
        <w:rPr>
          <w:rFonts w:ascii="Times New Roman" w:eastAsia="Times New Roman" w:hAnsi="Times New Roman" w:cs="Times New Roman"/>
          <w:sz w:val="24"/>
          <w:szCs w:val="24"/>
        </w:rPr>
        <w:t>prenumeratos paslaugų</w:t>
      </w:r>
      <w:r w:rsidR="007C51F2" w:rsidRPr="000C4C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413D" w:rsidRPr="000C4C16">
        <w:rPr>
          <w:rFonts w:ascii="Times New Roman" w:eastAsia="Times New Roman" w:hAnsi="Times New Roman" w:cs="Times New Roman"/>
          <w:sz w:val="24"/>
          <w:szCs w:val="24"/>
        </w:rPr>
        <w:t xml:space="preserve">viešuosius pirkimus </w:t>
      </w:r>
      <w:r w:rsidR="00674BAD" w:rsidRPr="000C4C16">
        <w:rPr>
          <w:rFonts w:ascii="Times New Roman" w:eastAsia="Times New Roman" w:hAnsi="Times New Roman" w:cs="Times New Roman"/>
          <w:sz w:val="24"/>
          <w:szCs w:val="24"/>
        </w:rPr>
        <w:t xml:space="preserve">vykdyti </w:t>
      </w:r>
      <w:r w:rsidR="002C413D" w:rsidRPr="000C4C16">
        <w:rPr>
          <w:rFonts w:ascii="Times New Roman" w:eastAsia="Times New Roman" w:hAnsi="Times New Roman" w:cs="Times New Roman"/>
          <w:sz w:val="24"/>
          <w:szCs w:val="24"/>
        </w:rPr>
        <w:t>neskelbiamų derybų būdu, vadovaujantis Įstatymo 56 straipsnio 1 dalies 3 punkto nuostatomis.</w:t>
      </w:r>
    </w:p>
    <w:p w:rsidR="00A3546E" w:rsidRPr="000C4C16" w:rsidRDefault="007C51F2" w:rsidP="00A35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1F2">
        <w:rPr>
          <w:rFonts w:ascii="Times New Roman" w:eastAsia="Times New Roman" w:hAnsi="Times New Roman" w:cs="Times New Roman"/>
          <w:sz w:val="24"/>
          <w:szCs w:val="24"/>
        </w:rPr>
        <w:t xml:space="preserve">Lietuvos mokslinių bibliotekų asociacijos (toliau – Perkančioji organizacija) prašymas motyvuojamas tuo, kad </w:t>
      </w:r>
      <w:r w:rsidR="005504C2" w:rsidRPr="000C4C16">
        <w:rPr>
          <w:rFonts w:ascii="Times New Roman" w:eastAsia="Times New Roman" w:hAnsi="Times New Roman" w:cs="Times New Roman"/>
          <w:sz w:val="24"/>
          <w:szCs w:val="24"/>
        </w:rPr>
        <w:t xml:space="preserve">elektroninės mokslo 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>duomenų baz</w:t>
      </w:r>
      <w:r w:rsidR="005504C2" w:rsidRPr="000C4C16">
        <w:rPr>
          <w:rFonts w:ascii="Times New Roman" w:eastAsia="Times New Roman" w:hAnsi="Times New Roman" w:cs="Times New Roman"/>
          <w:sz w:val="24"/>
          <w:szCs w:val="24"/>
        </w:rPr>
        <w:t xml:space="preserve">ės </w:t>
      </w:r>
      <w:r w:rsidR="005504C2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The Biomedical and Life Sciences Collections </w:t>
      </w:r>
      <w:r w:rsidR="005504C2" w:rsidRPr="000C4C16">
        <w:rPr>
          <w:rFonts w:ascii="Times New Roman" w:eastAsia="Times New Roman" w:hAnsi="Times New Roman" w:cs="Times New Roman"/>
          <w:sz w:val="24"/>
          <w:szCs w:val="24"/>
        </w:rPr>
        <w:t>(1 duomenų bazė) pre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 xml:space="preserve">numeratos paslaugas Lietuvai gali suteikti tik konkretus tiekėjas – </w:t>
      </w:r>
      <w:r w:rsidR="005504C2" w:rsidRPr="000C4C16">
        <w:rPr>
          <w:rFonts w:ascii="Times New Roman" w:eastAsia="Times New Roman" w:hAnsi="Times New Roman" w:cs="Times New Roman"/>
          <w:i/>
          <w:sz w:val="24"/>
          <w:szCs w:val="24"/>
        </w:rPr>
        <w:t>Henry Stewart Talks Ltd</w:t>
      </w:r>
      <w:r w:rsidR="005504C2" w:rsidRPr="000C4C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>Tai patvirtina 201</w:t>
      </w:r>
      <w:r w:rsidR="005504C2" w:rsidRPr="000C4C1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 xml:space="preserve"> m. kovo </w:t>
      </w:r>
      <w:r w:rsidR="005504C2" w:rsidRPr="000C4C16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5504C2" w:rsidRPr="000C4C16">
        <w:rPr>
          <w:rFonts w:ascii="Times New Roman" w:eastAsia="Times New Roman" w:hAnsi="Times New Roman" w:cs="Times New Roman"/>
          <w:i/>
          <w:sz w:val="24"/>
          <w:szCs w:val="24"/>
        </w:rPr>
        <w:t>Henry Stewart Talks Ltd</w:t>
      </w:r>
      <w:r w:rsidR="005504C2" w:rsidRPr="000C4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98B" w:rsidRPr="000C4C16">
        <w:rPr>
          <w:rFonts w:ascii="Times New Roman" w:eastAsia="Times New Roman" w:hAnsi="Times New Roman" w:cs="Times New Roman"/>
          <w:sz w:val="24"/>
          <w:szCs w:val="24"/>
        </w:rPr>
        <w:t>r</w:t>
      </w:r>
      <w:r w:rsidR="005504C2" w:rsidRPr="000C4C16">
        <w:rPr>
          <w:rFonts w:ascii="Times New Roman" w:eastAsia="Times New Roman" w:hAnsi="Times New Roman" w:cs="Times New Roman"/>
          <w:sz w:val="24"/>
          <w:szCs w:val="24"/>
        </w:rPr>
        <w:t xml:space="preserve">aštas, 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 xml:space="preserve">kuriame nurodyta, kad </w:t>
      </w:r>
      <w:r w:rsidR="0005598B" w:rsidRPr="000C4C16">
        <w:rPr>
          <w:rFonts w:ascii="Times New Roman" w:eastAsia="Times New Roman" w:hAnsi="Times New Roman" w:cs="Times New Roman"/>
          <w:i/>
          <w:sz w:val="24"/>
          <w:szCs w:val="24"/>
        </w:rPr>
        <w:t>Henry Stewart Talks Ltd</w:t>
      </w:r>
      <w:r w:rsidR="0005598B" w:rsidRPr="000C4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>yra ši</w:t>
      </w:r>
      <w:r w:rsidR="0005598B" w:rsidRPr="000C4C16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>duomenų baz</w:t>
      </w:r>
      <w:r w:rsidR="0005598B" w:rsidRPr="000C4C16">
        <w:rPr>
          <w:rFonts w:ascii="Times New Roman" w:eastAsia="Times New Roman" w:hAnsi="Times New Roman" w:cs="Times New Roman"/>
          <w:sz w:val="24"/>
          <w:szCs w:val="24"/>
        </w:rPr>
        <w:t xml:space="preserve">ės 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>leidėjas</w:t>
      </w:r>
      <w:r w:rsidR="0005598B" w:rsidRPr="000C4C16">
        <w:rPr>
          <w:rFonts w:ascii="Times New Roman" w:eastAsia="Times New Roman" w:hAnsi="Times New Roman" w:cs="Times New Roman"/>
          <w:sz w:val="24"/>
          <w:szCs w:val="24"/>
        </w:rPr>
        <w:t xml:space="preserve"> ir išskirtines teises turintis platintojas </w:t>
      </w:r>
      <w:r w:rsidRPr="007C51F2">
        <w:rPr>
          <w:rFonts w:ascii="Times New Roman" w:eastAsia="Times New Roman" w:hAnsi="Times New Roman" w:cs="Times New Roman"/>
          <w:sz w:val="24"/>
          <w:szCs w:val="24"/>
        </w:rPr>
        <w:t>Lietuvo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 xml:space="preserve">je. Elektroninės mokslo 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>duomenų baz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 xml:space="preserve">ės </w:t>
      </w:r>
      <w:r w:rsidR="00A3546E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InCites (InCites Benchmarking </w:t>
      </w:r>
      <w:r w:rsidR="003A098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  <w:r w:rsidR="00A3546E"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</w:t>
      </w:r>
      <w:r w:rsidR="00A3546E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Analytics 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A3546E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InCites Journal </w:t>
      </w:r>
      <w:r w:rsidR="00A3546E"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Highly Cited Data 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>(1 duomenų bazė) pre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 xml:space="preserve">numeratos paslaugas Lietuvai gali suteikti tik konkretus tiekėjas – </w:t>
      </w:r>
      <w:r w:rsidR="00A3546E" w:rsidRPr="000C4C16">
        <w:rPr>
          <w:rFonts w:ascii="Times New Roman" w:eastAsia="Times New Roman" w:hAnsi="Times New Roman" w:cs="Times New Roman"/>
          <w:i/>
          <w:sz w:val="24"/>
          <w:szCs w:val="24"/>
        </w:rPr>
        <w:t>Thomson Reuters (Scientific) LLC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 xml:space="preserve">Tai patvirtina </w:t>
      </w:r>
      <w:r w:rsidR="000C4C1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 xml:space="preserve"> m. kovo 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 xml:space="preserve">raštas, 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 xml:space="preserve">kuriame nurodyta, kad </w:t>
      </w:r>
      <w:r w:rsidR="00A3546E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Thomson Reuters (Scientific) LLC 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>yra ši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A3546E" w:rsidRPr="007C51F2">
        <w:rPr>
          <w:rFonts w:ascii="Times New Roman" w:eastAsia="Times New Roman" w:hAnsi="Times New Roman" w:cs="Times New Roman"/>
          <w:sz w:val="24"/>
          <w:szCs w:val="24"/>
        </w:rPr>
        <w:t>duomenų baz</w:t>
      </w:r>
      <w:r w:rsidR="00A3546E" w:rsidRPr="000C4C16">
        <w:rPr>
          <w:rFonts w:ascii="Times New Roman" w:eastAsia="Times New Roman" w:hAnsi="Times New Roman" w:cs="Times New Roman"/>
          <w:sz w:val="24"/>
          <w:szCs w:val="24"/>
        </w:rPr>
        <w:t>ės kūrėjas.</w:t>
      </w:r>
    </w:p>
    <w:p w:rsidR="007C51F2" w:rsidRPr="000C4C16" w:rsidRDefault="00802AA0" w:rsidP="00802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sz w:val="24"/>
          <w:szCs w:val="24"/>
        </w:rPr>
        <w:t>A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>tsižv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>elgdama į išdėstytas aplinkybes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 bei siekdama užtikrinti elektroninių mokslo duomenų išteklių prenumeratą Lietuvos bibliotekoms efektyviausiu būdu, Perkančioji organizacija prašo Tarnybos sutikimo leisti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pirkti: 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iš </w:t>
      </w:r>
      <w:r w:rsidR="00FF14A3">
        <w:rPr>
          <w:rFonts w:ascii="Times New Roman" w:eastAsia="Times New Roman" w:hAnsi="Times New Roman" w:cs="Times New Roman"/>
          <w:sz w:val="24"/>
          <w:szCs w:val="24"/>
        </w:rPr>
        <w:t xml:space="preserve">tiekėjo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>Henry Stewart Talks Ltd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>elektronin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ės 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>mokslo duomenų baz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ės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The Biomedical and Life Sciences Collections 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>prenumeratos paslaugas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>, iš</w:t>
      </w:r>
      <w:r w:rsidR="00FF14A3">
        <w:rPr>
          <w:rFonts w:ascii="Times New Roman" w:eastAsia="Times New Roman" w:hAnsi="Times New Roman" w:cs="Times New Roman"/>
          <w:sz w:val="24"/>
          <w:szCs w:val="24"/>
        </w:rPr>
        <w:t xml:space="preserve"> tiekėjo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>Thomson Reuters (Scientific) LLC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– elektroninės mokslo duomenų bazės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InCites (InCites Benchmarking </w:t>
      </w:r>
      <w:r w:rsidR="00FF14A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Analytics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InCites Journal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&amp; Highly Cited Data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prenumeratos paslaugas neskelbi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amų derybų būdu, vadovaujantis Įstatymo 56 straipsnio 1 dalies 3 punkto nuostatomis (Viešojo pirkimo komisijos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2015 m. kovo 9 d. 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posėdžio protokolas Nr.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>15/01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>-DB).</w:t>
      </w:r>
    </w:p>
    <w:p w:rsidR="00412383" w:rsidRPr="000C4C16" w:rsidRDefault="00412383" w:rsidP="003228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Įstatymo 56 straipsnio 1 dalies 3 punkto nuostatos numato, kad </w:t>
      </w:r>
      <w:r w:rsidRPr="000C4C16">
        <w:rPr>
          <w:rFonts w:ascii="Times New Roman" w:eastAsia="Times New Roman" w:hAnsi="Times New Roman" w:cs="Times New Roman"/>
          <w:bCs/>
          <w:sz w:val="24"/>
          <w:szCs w:val="24"/>
        </w:rPr>
        <w:t>prekės, paslaugos ar darbai</w:t>
      </w:r>
      <w:r w:rsidRPr="000C4C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perkami: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dėl techninių ar meninių priežasčių arba dėl priežasčių, susijusių su išimtinių teisių apsauga, prekes patiekti, paslaugas pateikti ar darbus atlikti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gali tik konkretus tiekėjas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>.“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Perkančiosios organizacijos prašyme nurodytos aplinkybės ir pateikti dokumentai patvirtina, kad elektroninės duomenų bazės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The Biomedical and Life Sciences Collections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prenumeratos paslaugas šiuo atveju gali pateikti tik konkretus tiekėjas –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>Henry Stewart Talks Ltd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, o elektroninės mokslo duomenų bazės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InCites (InCites Benchmarking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Analytics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InCites Journal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Highly Cited Data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prenumeratos paslaugas – </w:t>
      </w:r>
      <w:r w:rsidR="00FF14A3">
        <w:rPr>
          <w:rFonts w:ascii="Times New Roman" w:eastAsia="Times New Roman" w:hAnsi="Times New Roman" w:cs="Times New Roman"/>
          <w:sz w:val="24"/>
          <w:szCs w:val="24"/>
        </w:rPr>
        <w:t xml:space="preserve">tiekėjas </w:t>
      </w:r>
      <w:r w:rsidRPr="000C4C16">
        <w:rPr>
          <w:rFonts w:ascii="Times New Roman" w:eastAsia="Times New Roman" w:hAnsi="Times New Roman" w:cs="Times New Roman"/>
          <w:i/>
          <w:sz w:val="24"/>
          <w:szCs w:val="24"/>
        </w:rPr>
        <w:t>Thomson Reuters (Scientific) LLC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 xml:space="preserve">, t. y.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tenkinamos neskelbiamų derybų sąlygos, nurodytos Įstatymo 56 straipsnio </w:t>
      </w:r>
      <w:r w:rsidR="00FF14A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>1 dalies 3 punkte. </w:t>
      </w:r>
    </w:p>
    <w:p w:rsidR="000266CF" w:rsidRDefault="00412383" w:rsidP="007473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sz w:val="24"/>
          <w:szCs w:val="24"/>
        </w:rPr>
        <w:t>Tarnyba, vadovaudamasi Įstatymo 8</w:t>
      </w:r>
      <w:r w:rsidRPr="000C4C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0C4C16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0C4C16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Lietuvos mokslinių bibliotekų asociacija 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 xml:space="preserve">elektroninių mokslo duomenų bazių </w:t>
      </w:r>
      <w:r w:rsidR="003228B4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The Biomedical and </w:t>
      </w:r>
      <w:r w:rsidR="003228B4" w:rsidRPr="000C4C1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Life Sciences Collections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3228B4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InCites (InCites Benchmarking </w:t>
      </w:r>
      <w:r w:rsidR="003228B4"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</w:t>
      </w:r>
      <w:r w:rsidR="003228B4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Analytics 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3228B4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InCites Journal </w:t>
      </w:r>
      <w:r w:rsidR="003228B4" w:rsidRPr="000C4C1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&amp; Highly Cited Data 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>prenumeratos paslaugų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>viešuosius pirkimus vykdytų neskelbiamų derybų būdu, vadovaujantis Įstatymo 56 straipsnio 1 dalies 3 punkto nuostatomis,</w:t>
      </w:r>
      <w:r w:rsidR="007C51F2" w:rsidRPr="007C51F2">
        <w:rPr>
          <w:rFonts w:ascii="Times New Roman" w:eastAsia="Times New Roman" w:hAnsi="Times New Roman" w:cs="Times New Roman"/>
          <w:sz w:val="24"/>
          <w:szCs w:val="24"/>
        </w:rPr>
        <w:t xml:space="preserve"> įsigyjant šias paslaugas 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 xml:space="preserve">atitinkamai iš </w:t>
      </w:r>
      <w:r w:rsidR="003228B4" w:rsidRPr="000C4C16">
        <w:rPr>
          <w:rFonts w:ascii="Times New Roman" w:eastAsia="Times New Roman" w:hAnsi="Times New Roman" w:cs="Times New Roman"/>
          <w:i/>
          <w:sz w:val="24"/>
          <w:szCs w:val="24"/>
        </w:rPr>
        <w:t xml:space="preserve">Henry Stewart Talks Ltd 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3228B4" w:rsidRPr="000C4C16">
        <w:rPr>
          <w:rFonts w:ascii="Times New Roman" w:eastAsia="Times New Roman" w:hAnsi="Times New Roman" w:cs="Times New Roman"/>
          <w:i/>
          <w:sz w:val="24"/>
          <w:szCs w:val="24"/>
        </w:rPr>
        <w:t>Thomson Reuters (Scientific)</w:t>
      </w:r>
      <w:r w:rsidR="00FF14A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228B4" w:rsidRPr="000C4C16">
        <w:rPr>
          <w:rFonts w:ascii="Times New Roman" w:eastAsia="Times New Roman" w:hAnsi="Times New Roman" w:cs="Times New Roman"/>
          <w:i/>
          <w:sz w:val="24"/>
          <w:szCs w:val="24"/>
        </w:rPr>
        <w:t>LLC</w:t>
      </w:r>
      <w:r w:rsidR="003228B4" w:rsidRPr="000C4C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3465" w:rsidRPr="00893465" w:rsidRDefault="00893465" w:rsidP="0089346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Pr="0089346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Vadovaujantis Lietuvos Respublikos administracinių bylų teisenos įstatymo 5 ir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                </w:t>
      </w:r>
      <w:r w:rsidRPr="0089346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 straipsniais, nesutikę su šiuo Tarnybos sprendimu, Jūs galite jį apskųsti teismui šio įstatymo nustatyta tvarka.</w:t>
      </w:r>
    </w:p>
    <w:p w:rsidR="006A14B6" w:rsidRPr="006A14B6" w:rsidRDefault="000266CF" w:rsidP="004D3D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4B6">
        <w:rPr>
          <w:rFonts w:ascii="Times New Roman" w:eastAsia="Times New Roman" w:hAnsi="Times New Roman" w:cs="Times New Roman"/>
          <w:b/>
          <w:sz w:val="24"/>
          <w:szCs w:val="24"/>
        </w:rPr>
        <w:t>Atkreipiame Jūsų dėmesį į tai</w:t>
      </w:r>
      <w:r>
        <w:rPr>
          <w:rFonts w:ascii="Times New Roman" w:eastAsia="Times New Roman" w:hAnsi="Times New Roman" w:cs="Times New Roman"/>
          <w:sz w:val="24"/>
          <w:szCs w:val="24"/>
        </w:rPr>
        <w:t>, kad</w:t>
      </w:r>
      <w:r w:rsidR="00747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6">
        <w:rPr>
          <w:rFonts w:ascii="Times New Roman" w:eastAsia="Times New Roman" w:hAnsi="Times New Roman" w:cs="Times New Roman"/>
          <w:sz w:val="24"/>
          <w:szCs w:val="24"/>
        </w:rPr>
        <w:t xml:space="preserve">perkančiajai </w:t>
      </w:r>
      <w:r w:rsidR="006432FB">
        <w:rPr>
          <w:rFonts w:ascii="Times New Roman" w:eastAsia="Times New Roman" w:hAnsi="Times New Roman" w:cs="Times New Roman"/>
          <w:sz w:val="24"/>
          <w:szCs w:val="24"/>
        </w:rPr>
        <w:t xml:space="preserve">organizacijai </w:t>
      </w:r>
      <w:r w:rsidR="006A14B6">
        <w:rPr>
          <w:rFonts w:ascii="Times New Roman" w:eastAsia="Times New Roman" w:hAnsi="Times New Roman" w:cs="Times New Roman"/>
          <w:sz w:val="24"/>
          <w:szCs w:val="24"/>
        </w:rPr>
        <w:t>reikalingos B paslaugos, nu</w:t>
      </w:r>
      <w:r w:rsidR="00BF4FEF">
        <w:rPr>
          <w:rFonts w:ascii="Times New Roman" w:eastAsia="Times New Roman" w:hAnsi="Times New Roman" w:cs="Times New Roman"/>
          <w:sz w:val="24"/>
          <w:szCs w:val="24"/>
        </w:rPr>
        <w:t>statytos</w:t>
      </w:r>
      <w:r w:rsidR="006A14B6">
        <w:rPr>
          <w:rFonts w:ascii="Times New Roman" w:eastAsia="Times New Roman" w:hAnsi="Times New Roman" w:cs="Times New Roman"/>
          <w:sz w:val="24"/>
          <w:szCs w:val="24"/>
        </w:rPr>
        <w:t xml:space="preserve"> Įstatymo 2</w:t>
      </w:r>
      <w:r w:rsidRPr="000266CF">
        <w:rPr>
          <w:rFonts w:ascii="Times New Roman" w:eastAsia="Times New Roman" w:hAnsi="Times New Roman" w:cs="Times New Roman"/>
          <w:sz w:val="24"/>
          <w:szCs w:val="24"/>
        </w:rPr>
        <w:t xml:space="preserve"> priedėl</w:t>
      </w:r>
      <w:r w:rsidR="00D774BF">
        <w:rPr>
          <w:rFonts w:ascii="Times New Roman" w:eastAsia="Times New Roman" w:hAnsi="Times New Roman" w:cs="Times New Roman"/>
          <w:sz w:val="24"/>
          <w:szCs w:val="24"/>
        </w:rPr>
        <w:t>yje</w:t>
      </w:r>
      <w:r w:rsidR="006A14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4B6" w:rsidRPr="000266CF">
        <w:rPr>
          <w:rFonts w:ascii="Times New Roman" w:eastAsia="Times New Roman" w:hAnsi="Times New Roman" w:cs="Times New Roman"/>
          <w:sz w:val="24"/>
          <w:szCs w:val="24"/>
        </w:rPr>
        <w:t>neatsižvelgiant į pirkimo vertę</w:t>
      </w:r>
      <w:r w:rsidR="00BF4F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14B6">
        <w:rPr>
          <w:rFonts w:ascii="Times New Roman" w:eastAsia="Times New Roman" w:hAnsi="Times New Roman" w:cs="Times New Roman"/>
          <w:sz w:val="24"/>
          <w:szCs w:val="24"/>
        </w:rPr>
        <w:t xml:space="preserve"> gali būti įsigyjamos vykdant supaprastintus pirkimus</w:t>
      </w:r>
      <w:r w:rsidRPr="00026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6">
        <w:rPr>
          <w:rFonts w:ascii="Times New Roman" w:eastAsia="Times New Roman" w:hAnsi="Times New Roman" w:cs="Times New Roman"/>
          <w:sz w:val="24"/>
          <w:szCs w:val="24"/>
        </w:rPr>
        <w:t>(Įstatymo 84 straipsnio 2 dalis)</w:t>
      </w:r>
      <w:r w:rsidR="004D3DF2">
        <w:rPr>
          <w:rFonts w:ascii="Times New Roman" w:eastAsia="Times New Roman" w:hAnsi="Times New Roman" w:cs="Times New Roman"/>
          <w:sz w:val="24"/>
          <w:szCs w:val="24"/>
        </w:rPr>
        <w:t xml:space="preserve">, kuriems taikomos </w:t>
      </w:r>
      <w:r w:rsidR="004D3DF2" w:rsidRPr="00BF4FEF">
        <w:rPr>
          <w:rFonts w:ascii="Times New Roman" w:eastAsia="Times New Roman" w:hAnsi="Times New Roman" w:cs="Times New Roman"/>
          <w:sz w:val="24"/>
          <w:szCs w:val="24"/>
        </w:rPr>
        <w:t xml:space="preserve">Įstatymo IV skyriaus nuostatos ir </w:t>
      </w:r>
      <w:r w:rsidR="004D3DF2">
        <w:rPr>
          <w:rFonts w:ascii="Times New Roman" w:eastAsia="Times New Roman" w:hAnsi="Times New Roman" w:cs="Times New Roman"/>
          <w:sz w:val="24"/>
          <w:szCs w:val="24"/>
        </w:rPr>
        <w:t xml:space="preserve">kuriuos perkančioji organizacija atlieka </w:t>
      </w:r>
      <w:r w:rsidR="004D3DF2" w:rsidRPr="00BF4FEF">
        <w:rPr>
          <w:rFonts w:ascii="Times New Roman" w:eastAsia="Times New Roman" w:hAnsi="Times New Roman" w:cs="Times New Roman"/>
          <w:sz w:val="24"/>
          <w:szCs w:val="24"/>
        </w:rPr>
        <w:t>pagal savo pasitvirtintas supaprastintų</w:t>
      </w:r>
      <w:r w:rsidR="004D3DF2">
        <w:rPr>
          <w:rFonts w:ascii="Times New Roman" w:eastAsia="Times New Roman" w:hAnsi="Times New Roman" w:cs="Times New Roman"/>
          <w:sz w:val="24"/>
          <w:szCs w:val="24"/>
        </w:rPr>
        <w:t xml:space="preserve"> viešųjų </w:t>
      </w:r>
      <w:r w:rsidR="004D3DF2" w:rsidRPr="00BF4FEF">
        <w:rPr>
          <w:rFonts w:ascii="Times New Roman" w:eastAsia="Times New Roman" w:hAnsi="Times New Roman" w:cs="Times New Roman"/>
          <w:sz w:val="24"/>
          <w:szCs w:val="24"/>
        </w:rPr>
        <w:t>pirkimų taisykles</w:t>
      </w:r>
      <w:r w:rsidR="004D3D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4FEF">
        <w:rPr>
          <w:rFonts w:ascii="Times New Roman" w:eastAsia="Times New Roman" w:hAnsi="Times New Roman" w:cs="Times New Roman"/>
          <w:sz w:val="24"/>
          <w:szCs w:val="24"/>
        </w:rPr>
        <w:t>Įstatymo 8</w:t>
      </w:r>
      <w:r w:rsidR="00BF4FE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="00BF4FEF">
        <w:rPr>
          <w:rFonts w:ascii="Times New Roman" w:eastAsia="Times New Roman" w:hAnsi="Times New Roman" w:cs="Times New Roman"/>
          <w:sz w:val="24"/>
          <w:szCs w:val="24"/>
        </w:rPr>
        <w:t>straipsnio 2</w:t>
      </w:r>
      <w:r w:rsidR="00BF4FEF" w:rsidRPr="00BF4FEF">
        <w:rPr>
          <w:rFonts w:ascii="Times New Roman" w:eastAsia="Times New Roman" w:hAnsi="Times New Roman" w:cs="Times New Roman"/>
          <w:sz w:val="24"/>
          <w:szCs w:val="24"/>
        </w:rPr>
        <w:t xml:space="preserve"> dalies 7 punkte numatyta Tarnybos teisė duoti sutikimą perkančiajai organizacijai </w:t>
      </w:r>
      <w:r w:rsidR="00BF4FEF">
        <w:rPr>
          <w:rFonts w:ascii="Times New Roman" w:eastAsia="Times New Roman" w:hAnsi="Times New Roman" w:cs="Times New Roman"/>
          <w:sz w:val="24"/>
          <w:szCs w:val="24"/>
        </w:rPr>
        <w:t xml:space="preserve">atlikti pirkimą </w:t>
      </w:r>
      <w:r w:rsidR="00BF4FEF" w:rsidRPr="00BF4FEF">
        <w:rPr>
          <w:rFonts w:ascii="Times New Roman" w:eastAsia="Times New Roman" w:hAnsi="Times New Roman" w:cs="Times New Roman"/>
          <w:sz w:val="24"/>
          <w:szCs w:val="24"/>
        </w:rPr>
        <w:t>neskelbiam</w:t>
      </w:r>
      <w:r w:rsidR="00BF4FEF">
        <w:rPr>
          <w:rFonts w:ascii="Times New Roman" w:eastAsia="Times New Roman" w:hAnsi="Times New Roman" w:cs="Times New Roman"/>
          <w:sz w:val="24"/>
          <w:szCs w:val="24"/>
        </w:rPr>
        <w:t>ų</w:t>
      </w:r>
      <w:r w:rsidR="00BF4FEF" w:rsidRPr="00BF4FEF">
        <w:rPr>
          <w:rFonts w:ascii="Times New Roman" w:eastAsia="Times New Roman" w:hAnsi="Times New Roman" w:cs="Times New Roman"/>
          <w:sz w:val="24"/>
          <w:szCs w:val="24"/>
        </w:rPr>
        <w:t xml:space="preserve"> deryb</w:t>
      </w:r>
      <w:r w:rsidR="00BF4FEF">
        <w:rPr>
          <w:rFonts w:ascii="Times New Roman" w:eastAsia="Times New Roman" w:hAnsi="Times New Roman" w:cs="Times New Roman"/>
          <w:sz w:val="24"/>
          <w:szCs w:val="24"/>
        </w:rPr>
        <w:t>ų būdu</w:t>
      </w:r>
      <w:r w:rsidR="00BF4FEF" w:rsidRPr="00BF4FEF">
        <w:rPr>
          <w:rFonts w:ascii="Times New Roman" w:eastAsia="Times New Roman" w:hAnsi="Times New Roman" w:cs="Times New Roman"/>
          <w:sz w:val="24"/>
          <w:szCs w:val="24"/>
        </w:rPr>
        <w:t xml:space="preserve"> tik Įstatymo 56 straipsnio numatytais atvejais (kai atliekamas tarptautinės vertės pirkimas), išskyrus Įstatymo 56 straipsnio </w:t>
      </w:r>
      <w:r w:rsidR="004D3DF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F4FEF" w:rsidRPr="00BF4FEF">
        <w:rPr>
          <w:rFonts w:ascii="Times New Roman" w:eastAsia="Times New Roman" w:hAnsi="Times New Roman" w:cs="Times New Roman"/>
          <w:sz w:val="24"/>
          <w:szCs w:val="24"/>
        </w:rPr>
        <w:t>5 dalyje nustatytus atvejus</w:t>
      </w:r>
      <w:r w:rsidR="004D3DF2">
        <w:rPr>
          <w:rFonts w:ascii="Times New Roman" w:eastAsia="Times New Roman" w:hAnsi="Times New Roman" w:cs="Times New Roman"/>
          <w:sz w:val="24"/>
          <w:szCs w:val="24"/>
        </w:rPr>
        <w:t>, todėl perkančiajai organizacijai priėmus sprendimą vykdyti supaprastintą pirkimą apie jį neskelbiant</w:t>
      </w:r>
      <w:r w:rsidR="00BF4FEF" w:rsidRPr="00BF4F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3DF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F4FEF" w:rsidRPr="00BF4FEF">
        <w:rPr>
          <w:rFonts w:ascii="Times New Roman" w:eastAsia="Times New Roman" w:hAnsi="Times New Roman" w:cs="Times New Roman"/>
          <w:sz w:val="24"/>
          <w:szCs w:val="24"/>
        </w:rPr>
        <w:t>arnyb</w:t>
      </w:r>
      <w:r w:rsidR="004D3DF2">
        <w:rPr>
          <w:rFonts w:ascii="Times New Roman" w:eastAsia="Times New Roman" w:hAnsi="Times New Roman" w:cs="Times New Roman"/>
          <w:sz w:val="24"/>
          <w:szCs w:val="24"/>
        </w:rPr>
        <w:t>os sutikim</w:t>
      </w:r>
      <w:r w:rsidR="00FF14A3">
        <w:rPr>
          <w:rFonts w:ascii="Times New Roman" w:eastAsia="Times New Roman" w:hAnsi="Times New Roman" w:cs="Times New Roman"/>
          <w:sz w:val="24"/>
          <w:szCs w:val="24"/>
        </w:rPr>
        <w:t xml:space="preserve">as vykdyti tokį pirkimą nebūtų </w:t>
      </w:r>
      <w:r w:rsidR="00BF4FEF" w:rsidRPr="00BF4FEF">
        <w:rPr>
          <w:rFonts w:ascii="Times New Roman" w:eastAsia="Times New Roman" w:hAnsi="Times New Roman" w:cs="Times New Roman"/>
          <w:sz w:val="24"/>
          <w:szCs w:val="24"/>
        </w:rPr>
        <w:t>reik</w:t>
      </w:r>
      <w:r w:rsidR="00FF14A3">
        <w:rPr>
          <w:rFonts w:ascii="Times New Roman" w:eastAsia="Times New Roman" w:hAnsi="Times New Roman" w:cs="Times New Roman"/>
          <w:sz w:val="24"/>
          <w:szCs w:val="24"/>
        </w:rPr>
        <w:t xml:space="preserve">alingas. </w:t>
      </w:r>
      <w:r w:rsidR="00FF14A3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4D3DF2" w:rsidRPr="007473FB">
        <w:rPr>
          <w:rFonts w:ascii="Times New Roman" w:eastAsia="Times New Roman" w:hAnsi="Times New Roman" w:cs="Times New Roman"/>
          <w:i/>
          <w:sz w:val="24"/>
          <w:szCs w:val="24"/>
        </w:rPr>
        <w:t>rimename</w:t>
      </w:r>
      <w:r w:rsidR="004D3DF2" w:rsidRPr="000266CF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BF4FEF" w:rsidRPr="00BF4FEF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="004D3DF2">
        <w:rPr>
          <w:rFonts w:ascii="Times New Roman" w:eastAsia="Times New Roman" w:hAnsi="Times New Roman" w:cs="Times New Roman"/>
          <w:sz w:val="24"/>
          <w:szCs w:val="24"/>
        </w:rPr>
        <w:t xml:space="preserve">visais atvejais </w:t>
      </w:r>
      <w:r w:rsidR="006A14B6" w:rsidRPr="000266CF">
        <w:rPr>
          <w:rFonts w:ascii="Times New Roman" w:eastAsia="Times New Roman" w:hAnsi="Times New Roman" w:cs="Times New Roman"/>
          <w:sz w:val="24"/>
          <w:szCs w:val="24"/>
        </w:rPr>
        <w:t>yra atsakinga už tinkamą pirkimo būdo pasirinkimą ir visapusišką aplinkybių, lemiančių neskelbiamo pirkimo v</w:t>
      </w:r>
      <w:r w:rsidR="004D3DF2">
        <w:rPr>
          <w:rFonts w:ascii="Times New Roman" w:eastAsia="Times New Roman" w:hAnsi="Times New Roman" w:cs="Times New Roman"/>
          <w:sz w:val="24"/>
          <w:szCs w:val="24"/>
        </w:rPr>
        <w:t xml:space="preserve">ykdymo pasirinkimą, įvertinimą, t. y. </w:t>
      </w:r>
      <w:r w:rsidR="006A14B6" w:rsidRPr="006A14B6">
        <w:rPr>
          <w:rFonts w:ascii="Times New Roman" w:eastAsia="Times New Roman" w:hAnsi="Times New Roman" w:cs="Times New Roman"/>
          <w:sz w:val="24"/>
          <w:szCs w:val="24"/>
        </w:rPr>
        <w:t>perkančioji organizacija privalo įvertinti visas aplinkybes, kad būtų užtikrintas Įstatymo</w:t>
      </w:r>
      <w:r w:rsidR="00FF1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6" w:rsidRPr="006A14B6">
        <w:rPr>
          <w:rFonts w:ascii="Times New Roman" w:eastAsia="Times New Roman" w:hAnsi="Times New Roman" w:cs="Times New Roman"/>
          <w:sz w:val="24"/>
          <w:szCs w:val="24"/>
        </w:rPr>
        <w:t>3 straipsnyje nustatytų pagrindinių viešųjų pirkimų principų laikymasis ir tikslo siekimas.</w:t>
      </w:r>
    </w:p>
    <w:p w:rsidR="007C51F2" w:rsidRPr="007C51F2" w:rsidRDefault="007C51F2" w:rsidP="007C5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1F2" w:rsidRDefault="007C51F2" w:rsidP="00E8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DF2" w:rsidRPr="000C4C16" w:rsidRDefault="004D3DF2" w:rsidP="00E86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9"/>
        <w:gridCol w:w="4836"/>
      </w:tblGrid>
      <w:tr w:rsidR="009304A6" w:rsidRPr="000C4C16" w:rsidTr="000E2F9B">
        <w:tc>
          <w:tcPr>
            <w:tcW w:w="4839" w:type="dxa"/>
          </w:tcPr>
          <w:p w:rsidR="0030240C" w:rsidRPr="000C4C16" w:rsidRDefault="00592E3F" w:rsidP="0030240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C16">
              <w:rPr>
                <w:rFonts w:ascii="Times New Roman" w:hAnsi="Times New Roman"/>
                <w:sz w:val="24"/>
                <w:szCs w:val="24"/>
              </w:rPr>
              <w:t>Prevencijos ir pirkimo sutarčių priežiūros skyriaus vyriausioji specialistė</w:t>
            </w:r>
          </w:p>
          <w:p w:rsidR="0030240C" w:rsidRPr="000C4C16" w:rsidRDefault="0030240C" w:rsidP="000E2F9B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9304A6" w:rsidRPr="000C4C16" w:rsidRDefault="00FF14A3" w:rsidP="000E2F9B">
            <w:pPr>
              <w:tabs>
                <w:tab w:val="left" w:pos="9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92E3F" w:rsidRPr="000C4C16">
              <w:rPr>
                <w:rFonts w:ascii="Times New Roman" w:hAnsi="Times New Roman"/>
                <w:sz w:val="24"/>
                <w:szCs w:val="24"/>
              </w:rPr>
              <w:t>Henrika Šileikė</w:t>
            </w:r>
          </w:p>
        </w:tc>
      </w:tr>
    </w:tbl>
    <w:p w:rsidR="0087479B" w:rsidRPr="000C4C16" w:rsidRDefault="0087479B" w:rsidP="008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479B" w:rsidRPr="000C4C16" w:rsidRDefault="0087479B" w:rsidP="00874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33C" w:rsidRPr="000C4C16" w:rsidRDefault="00C7133C" w:rsidP="00C713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9304A6" w:rsidRPr="000C4C16" w:rsidRDefault="00306D83" w:rsidP="004A3F97">
      <w:pPr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C16"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 w:rsidR="00810DDC" w:rsidRPr="000C4C16">
        <w:rPr>
          <w:rFonts w:ascii="Times New Roman" w:eastAsia="Times New Roman" w:hAnsi="Times New Roman" w:cs="Times New Roman"/>
          <w:sz w:val="24"/>
          <w:szCs w:val="24"/>
        </w:rPr>
        <w:t xml:space="preserve">Šileikė, tel. (8 5)  219 7034, faks. (8 5)  213 6213, el. p. </w:t>
      </w:r>
      <w:hyperlink r:id="rId10" w:history="1">
        <w:r w:rsidR="00810DDC" w:rsidRPr="000C4C16">
          <w:rPr>
            <w:rFonts w:ascii="Times New Roman" w:eastAsia="Times New Roman" w:hAnsi="Times New Roman" w:cs="Times New Roman"/>
            <w:sz w:val="24"/>
            <w:szCs w:val="24"/>
          </w:rPr>
          <w:t>Henrika.Sileike@vpt.lt</w:t>
        </w:r>
      </w:hyperlink>
    </w:p>
    <w:sectPr w:rsidR="009304A6" w:rsidRPr="000C4C16" w:rsidSect="003228B4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E1" w:rsidRDefault="009704E1">
      <w:pPr>
        <w:spacing w:after="0" w:line="240" w:lineRule="auto"/>
      </w:pPr>
      <w:r>
        <w:separator/>
      </w:r>
    </w:p>
  </w:endnote>
  <w:endnote w:type="continuationSeparator" w:id="0">
    <w:p w:rsidR="009704E1" w:rsidRDefault="0097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4E1" w:rsidRDefault="009704E1">
    <w:pPr>
      <w:pStyle w:val="Porat"/>
    </w:pPr>
  </w:p>
  <w:p w:rsidR="009704E1" w:rsidRDefault="009704E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4E1" w:rsidRPr="00462DAC" w:rsidRDefault="009704E1" w:rsidP="001B0C91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</w:t>
    </w:r>
    <w:r w:rsidR="00810DDC">
      <w:rPr>
        <w:rFonts w:ascii="Times New Roman" w:hAnsi="Times New Roman" w:cs="Times New Roman"/>
        <w:sz w:val="18"/>
      </w:rPr>
      <w:t xml:space="preserve"> </w:t>
    </w:r>
    <w:r w:rsidRPr="00462DAC">
      <w:rPr>
        <w:rFonts w:ascii="Times New Roman" w:hAnsi="Times New Roman" w:cs="Times New Roman"/>
        <w:sz w:val="18"/>
      </w:rPr>
      <w:t xml:space="preserve">219 7001                                Duomenys kaupiami ir saugomi                             </w:t>
    </w:r>
  </w:p>
  <w:p w:rsidR="009704E1" w:rsidRPr="00462DAC" w:rsidRDefault="009704E1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Kareivių g. 1, 08221 Vilnius                                              Faks. (8 5) </w:t>
    </w:r>
    <w:r w:rsidR="00810DDC">
      <w:rPr>
        <w:rFonts w:ascii="Times New Roman" w:hAnsi="Times New Roman" w:cs="Times New Roman"/>
        <w:sz w:val="18"/>
      </w:rPr>
      <w:t xml:space="preserve"> </w:t>
    </w:r>
    <w:r w:rsidRPr="00462DAC">
      <w:rPr>
        <w:rFonts w:ascii="Times New Roman" w:hAnsi="Times New Roman" w:cs="Times New Roman"/>
        <w:sz w:val="18"/>
      </w:rPr>
      <w:t xml:space="preserve">213 6213                               Juridinių asmenų registre </w:t>
    </w:r>
  </w:p>
  <w:p w:rsidR="009704E1" w:rsidRPr="00462DAC" w:rsidRDefault="009704E1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462DAC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462DAC">
      <w:rPr>
        <w:rFonts w:ascii="Times New Roman" w:hAnsi="Times New Roman" w:cs="Times New Roman"/>
        <w:sz w:val="18"/>
      </w:rPr>
      <w:t>El.p</w:t>
    </w:r>
    <w:proofErr w:type="spellEnd"/>
    <w:r w:rsidRPr="00462DAC">
      <w:rPr>
        <w:rFonts w:ascii="Times New Roman" w:hAnsi="Times New Roman" w:cs="Times New Roman"/>
        <w:sz w:val="18"/>
      </w:rPr>
      <w:t>. info@vpt.lt                                     Kodas  188656261</w:t>
    </w:r>
  </w:p>
  <w:p w:rsidR="009704E1" w:rsidRPr="00462DAC" w:rsidRDefault="009704E1" w:rsidP="001B0C91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E1" w:rsidRDefault="009704E1">
      <w:pPr>
        <w:spacing w:after="0" w:line="240" w:lineRule="auto"/>
      </w:pPr>
      <w:r>
        <w:separator/>
      </w:r>
    </w:p>
  </w:footnote>
  <w:footnote w:type="continuationSeparator" w:id="0">
    <w:p w:rsidR="009704E1" w:rsidRDefault="00970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4E1" w:rsidRDefault="009704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704E1" w:rsidRDefault="009704E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4E1" w:rsidRDefault="009704E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346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704E1" w:rsidRDefault="009704E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3C"/>
    <w:rsid w:val="000266CF"/>
    <w:rsid w:val="00043D0D"/>
    <w:rsid w:val="00046C15"/>
    <w:rsid w:val="0005598B"/>
    <w:rsid w:val="000758F9"/>
    <w:rsid w:val="00086955"/>
    <w:rsid w:val="000A03B4"/>
    <w:rsid w:val="000C3AE0"/>
    <w:rsid w:val="000C4C16"/>
    <w:rsid w:val="000D538D"/>
    <w:rsid w:val="000F7AD1"/>
    <w:rsid w:val="00131EBC"/>
    <w:rsid w:val="00160834"/>
    <w:rsid w:val="00185956"/>
    <w:rsid w:val="001B0C91"/>
    <w:rsid w:val="0020525A"/>
    <w:rsid w:val="0021451A"/>
    <w:rsid w:val="0028454C"/>
    <w:rsid w:val="002C413D"/>
    <w:rsid w:val="002D1FBD"/>
    <w:rsid w:val="0030240C"/>
    <w:rsid w:val="00306D83"/>
    <w:rsid w:val="003228B4"/>
    <w:rsid w:val="00323B1A"/>
    <w:rsid w:val="00344983"/>
    <w:rsid w:val="00370033"/>
    <w:rsid w:val="00382079"/>
    <w:rsid w:val="003A0989"/>
    <w:rsid w:val="003A14A5"/>
    <w:rsid w:val="003C0DAB"/>
    <w:rsid w:val="003E11D7"/>
    <w:rsid w:val="003E7FA0"/>
    <w:rsid w:val="0040743C"/>
    <w:rsid w:val="00412383"/>
    <w:rsid w:val="00480BB6"/>
    <w:rsid w:val="004A3F97"/>
    <w:rsid w:val="004A7DD5"/>
    <w:rsid w:val="004C5BCE"/>
    <w:rsid w:val="004D3DF2"/>
    <w:rsid w:val="004F6343"/>
    <w:rsid w:val="0054526D"/>
    <w:rsid w:val="005504C2"/>
    <w:rsid w:val="00566247"/>
    <w:rsid w:val="00571C79"/>
    <w:rsid w:val="0058034D"/>
    <w:rsid w:val="00592042"/>
    <w:rsid w:val="00592E3F"/>
    <w:rsid w:val="005B1740"/>
    <w:rsid w:val="005C0EFD"/>
    <w:rsid w:val="005C5B59"/>
    <w:rsid w:val="005C72C3"/>
    <w:rsid w:val="005E7899"/>
    <w:rsid w:val="00616CFD"/>
    <w:rsid w:val="00636D27"/>
    <w:rsid w:val="006432FB"/>
    <w:rsid w:val="00667F52"/>
    <w:rsid w:val="00674BAD"/>
    <w:rsid w:val="006A14B6"/>
    <w:rsid w:val="006C60CF"/>
    <w:rsid w:val="007441A3"/>
    <w:rsid w:val="007473FB"/>
    <w:rsid w:val="007B22D0"/>
    <w:rsid w:val="007B2E34"/>
    <w:rsid w:val="007C51F2"/>
    <w:rsid w:val="007D311D"/>
    <w:rsid w:val="007E5451"/>
    <w:rsid w:val="007F764D"/>
    <w:rsid w:val="00802AA0"/>
    <w:rsid w:val="00810DDC"/>
    <w:rsid w:val="008319C1"/>
    <w:rsid w:val="0086596B"/>
    <w:rsid w:val="0087479B"/>
    <w:rsid w:val="00893465"/>
    <w:rsid w:val="00921717"/>
    <w:rsid w:val="009304A6"/>
    <w:rsid w:val="00932E20"/>
    <w:rsid w:val="009704E1"/>
    <w:rsid w:val="00A3546E"/>
    <w:rsid w:val="00AA24A3"/>
    <w:rsid w:val="00AB309B"/>
    <w:rsid w:val="00AB5363"/>
    <w:rsid w:val="00AF6DF8"/>
    <w:rsid w:val="00B131CA"/>
    <w:rsid w:val="00BB0252"/>
    <w:rsid w:val="00BD6C3B"/>
    <w:rsid w:val="00BE5E5E"/>
    <w:rsid w:val="00BF4FEF"/>
    <w:rsid w:val="00C166F3"/>
    <w:rsid w:val="00C204AB"/>
    <w:rsid w:val="00C221CD"/>
    <w:rsid w:val="00C7133C"/>
    <w:rsid w:val="00C74865"/>
    <w:rsid w:val="00CB3477"/>
    <w:rsid w:val="00CB7D22"/>
    <w:rsid w:val="00CD478C"/>
    <w:rsid w:val="00D774BF"/>
    <w:rsid w:val="00D867FD"/>
    <w:rsid w:val="00DC1557"/>
    <w:rsid w:val="00DD554E"/>
    <w:rsid w:val="00DE28F7"/>
    <w:rsid w:val="00E32C8A"/>
    <w:rsid w:val="00E54DBB"/>
    <w:rsid w:val="00E5608B"/>
    <w:rsid w:val="00E86407"/>
    <w:rsid w:val="00EA5766"/>
    <w:rsid w:val="00EB50AC"/>
    <w:rsid w:val="00EB5EB9"/>
    <w:rsid w:val="00EF3936"/>
    <w:rsid w:val="00F053B4"/>
    <w:rsid w:val="00F71967"/>
    <w:rsid w:val="00FB49B4"/>
    <w:rsid w:val="00FD3919"/>
    <w:rsid w:val="00FD4643"/>
    <w:rsid w:val="00FF0102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13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7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133C"/>
  </w:style>
  <w:style w:type="paragraph" w:styleId="Porat">
    <w:name w:val="footer"/>
    <w:basedOn w:val="prastasis"/>
    <w:link w:val="PoratDiagrama"/>
    <w:uiPriority w:val="99"/>
    <w:unhideWhenUsed/>
    <w:rsid w:val="00C7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133C"/>
  </w:style>
  <w:style w:type="character" w:styleId="Puslapionumeris">
    <w:name w:val="page number"/>
    <w:basedOn w:val="Numatytasispastraiposriftas"/>
    <w:rsid w:val="00C7133C"/>
  </w:style>
  <w:style w:type="character" w:styleId="Hipersaitas">
    <w:name w:val="Hyperlink"/>
    <w:rsid w:val="009304A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F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13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7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133C"/>
  </w:style>
  <w:style w:type="paragraph" w:styleId="Porat">
    <w:name w:val="footer"/>
    <w:basedOn w:val="prastasis"/>
    <w:link w:val="PoratDiagrama"/>
    <w:uiPriority w:val="99"/>
    <w:unhideWhenUsed/>
    <w:rsid w:val="00C7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133C"/>
  </w:style>
  <w:style w:type="character" w:styleId="Puslapionumeris">
    <w:name w:val="page number"/>
    <w:basedOn w:val="Numatytasispastraiposriftas"/>
    <w:rsid w:val="00C7133C"/>
  </w:style>
  <w:style w:type="character" w:styleId="Hipersaitas">
    <w:name w:val="Hyperlink"/>
    <w:rsid w:val="009304A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enrika.Sileik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5F3B-E1FA-4E38-977C-48FDAE49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3512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Henrika Šileikė</cp:lastModifiedBy>
  <cp:revision>21</cp:revision>
  <cp:lastPrinted>2015-04-03T11:05:00Z</cp:lastPrinted>
  <dcterms:created xsi:type="dcterms:W3CDTF">2015-04-03T07:17:00Z</dcterms:created>
  <dcterms:modified xsi:type="dcterms:W3CDTF">2015-04-07T08:20:00Z</dcterms:modified>
</cp:coreProperties>
</file>