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E20" w:rsidRPr="00440BEF" w:rsidRDefault="005A3E20" w:rsidP="005A3E20">
      <w:pPr>
        <w:jc w:val="center"/>
        <w:rPr>
          <w:rFonts w:ascii="CG Times" w:hAnsi="CG Times"/>
          <w:sz w:val="23"/>
          <w:szCs w:val="23"/>
        </w:rPr>
      </w:pPr>
      <w:r w:rsidRPr="00440BEF">
        <w:rPr>
          <w:rFonts w:ascii="CG Times" w:hAnsi="CG Times"/>
          <w:sz w:val="23"/>
          <w:szCs w:val="23"/>
        </w:rPr>
        <w:object w:dxaOrig="87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74198239" r:id="rId7"/>
        </w:object>
      </w:r>
      <w:r w:rsidRPr="00440BEF">
        <w:rPr>
          <w:noProof/>
          <w:lang w:eastAsia="lt-LT"/>
        </w:rPr>
        <w:drawing>
          <wp:anchor distT="0" distB="0" distL="114300" distR="114300" simplePos="0" relativeHeight="251659264" behindDoc="1" locked="0" layoutInCell="1" allowOverlap="1" wp14:anchorId="1CAA1DA2" wp14:editId="453F8640">
            <wp:simplePos x="0" y="0"/>
            <wp:positionH relativeFrom="margin">
              <wp:posOffset>5206365</wp:posOffset>
            </wp:positionH>
            <wp:positionV relativeFrom="margin">
              <wp:posOffset>13335</wp:posOffset>
            </wp:positionV>
            <wp:extent cx="542925" cy="542925"/>
            <wp:effectExtent l="0" t="0" r="9525" b="9525"/>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descr="Euro ivedimas_sablonai ZENKLAS Full COL &amp; euras_lt"/>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pic:spPr>
                </pic:pic>
              </a:graphicData>
            </a:graphic>
            <wp14:sizeRelH relativeFrom="page">
              <wp14:pctWidth>0</wp14:pctWidth>
            </wp14:sizeRelH>
            <wp14:sizeRelV relativeFrom="page">
              <wp14:pctHeight>0</wp14:pctHeight>
            </wp14:sizeRelV>
          </wp:anchor>
        </w:drawing>
      </w:r>
    </w:p>
    <w:p w:rsidR="000D4FE0" w:rsidRPr="006E2981" w:rsidRDefault="000D4FE0" w:rsidP="000D4FE0"/>
    <w:p w:rsidR="000D4FE0" w:rsidRPr="006E2981" w:rsidRDefault="000D4FE0" w:rsidP="000D4FE0">
      <w:pPr>
        <w:rPr>
          <w:sz w:val="24"/>
          <w:szCs w:val="24"/>
        </w:rPr>
      </w:pPr>
    </w:p>
    <w:p w:rsidR="000D4FE0" w:rsidRPr="006E2981" w:rsidRDefault="000D4FE0" w:rsidP="000D4FE0">
      <w:pPr>
        <w:pStyle w:val="Antrat1"/>
        <w:jc w:val="center"/>
        <w:rPr>
          <w:sz w:val="24"/>
          <w:szCs w:val="24"/>
        </w:rPr>
      </w:pPr>
      <w:r w:rsidRPr="006E2981">
        <w:rPr>
          <w:sz w:val="24"/>
          <w:szCs w:val="24"/>
        </w:rPr>
        <w:t>VIEŠŲJŲ PIRKIMŲ TARNYBA</w:t>
      </w:r>
    </w:p>
    <w:p w:rsidR="000D4FE0" w:rsidRDefault="000D4FE0" w:rsidP="000D4FE0">
      <w:pPr>
        <w:rPr>
          <w:sz w:val="24"/>
          <w:szCs w:val="24"/>
        </w:rPr>
      </w:pPr>
    </w:p>
    <w:p w:rsidR="000D4FE0" w:rsidRPr="006E2981" w:rsidRDefault="000D4FE0" w:rsidP="000D4FE0">
      <w:pPr>
        <w:rPr>
          <w:sz w:val="24"/>
          <w:szCs w:val="24"/>
        </w:rPr>
      </w:pPr>
    </w:p>
    <w:tbl>
      <w:tblPr>
        <w:tblW w:w="9525" w:type="dxa"/>
        <w:tblInd w:w="87" w:type="dxa"/>
        <w:tblLayout w:type="fixed"/>
        <w:tblLook w:val="04A0" w:firstRow="1" w:lastRow="0" w:firstColumn="1" w:lastColumn="0" w:noHBand="0" w:noVBand="1"/>
      </w:tblPr>
      <w:tblGrid>
        <w:gridCol w:w="5270"/>
        <w:gridCol w:w="1844"/>
        <w:gridCol w:w="596"/>
        <w:gridCol w:w="1815"/>
      </w:tblGrid>
      <w:tr w:rsidR="000D4FE0" w:rsidRPr="006E2981" w:rsidTr="00077BA7">
        <w:trPr>
          <w:cantSplit/>
          <w:trHeight w:val="1595"/>
        </w:trPr>
        <w:tc>
          <w:tcPr>
            <w:tcW w:w="5270" w:type="dxa"/>
          </w:tcPr>
          <w:p w:rsidR="000D4FE0" w:rsidRPr="006E2981" w:rsidRDefault="000D4FE0" w:rsidP="00077BA7">
            <w:pPr>
              <w:spacing w:line="256" w:lineRule="auto"/>
              <w:rPr>
                <w:sz w:val="24"/>
                <w:szCs w:val="24"/>
              </w:rPr>
            </w:pPr>
            <w:r>
              <w:rPr>
                <w:sz w:val="24"/>
                <w:szCs w:val="24"/>
              </w:rPr>
              <w:t>Kauno miesto savivaldybės administracijai</w:t>
            </w:r>
          </w:p>
          <w:p w:rsidR="000D4FE0" w:rsidRPr="006E2981" w:rsidRDefault="000D4FE0" w:rsidP="00077BA7">
            <w:pPr>
              <w:spacing w:line="256" w:lineRule="auto"/>
              <w:rPr>
                <w:sz w:val="24"/>
                <w:szCs w:val="24"/>
              </w:rPr>
            </w:pPr>
            <w:r>
              <w:rPr>
                <w:sz w:val="24"/>
                <w:szCs w:val="24"/>
              </w:rPr>
              <w:t>Laisvės al. 96</w:t>
            </w:r>
          </w:p>
          <w:p w:rsidR="000D4FE0" w:rsidRPr="006E2981" w:rsidRDefault="000D4FE0" w:rsidP="00077BA7">
            <w:pPr>
              <w:spacing w:line="256" w:lineRule="auto"/>
              <w:rPr>
                <w:sz w:val="24"/>
                <w:szCs w:val="24"/>
              </w:rPr>
            </w:pPr>
            <w:r w:rsidRPr="006E2981">
              <w:rPr>
                <w:sz w:val="24"/>
                <w:szCs w:val="24"/>
              </w:rPr>
              <w:t>LT-</w:t>
            </w:r>
            <w:r>
              <w:rPr>
                <w:sz w:val="24"/>
                <w:szCs w:val="24"/>
              </w:rPr>
              <w:t>44251 Kaunas</w:t>
            </w:r>
          </w:p>
        </w:tc>
        <w:tc>
          <w:tcPr>
            <w:tcW w:w="1844" w:type="dxa"/>
          </w:tcPr>
          <w:p w:rsidR="000D4FE0" w:rsidRPr="006E2981" w:rsidRDefault="000D4FE0" w:rsidP="00077BA7">
            <w:pPr>
              <w:spacing w:line="256" w:lineRule="auto"/>
              <w:rPr>
                <w:sz w:val="24"/>
                <w:szCs w:val="24"/>
              </w:rPr>
            </w:pPr>
            <w:r w:rsidRPr="006E2981">
              <w:rPr>
                <w:sz w:val="24"/>
                <w:szCs w:val="24"/>
              </w:rPr>
              <w:t xml:space="preserve"> </w:t>
            </w:r>
            <w:r>
              <w:rPr>
                <w:sz w:val="24"/>
                <w:szCs w:val="24"/>
              </w:rPr>
              <w:t xml:space="preserve">     2014-</w:t>
            </w:r>
            <w:r w:rsidR="00AB6641">
              <w:rPr>
                <w:sz w:val="24"/>
                <w:szCs w:val="24"/>
              </w:rPr>
              <w:t>10</w:t>
            </w:r>
            <w:r w:rsidRPr="006E2981">
              <w:rPr>
                <w:sz w:val="24"/>
                <w:szCs w:val="24"/>
              </w:rPr>
              <w:t>-</w:t>
            </w:r>
          </w:p>
          <w:p w:rsidR="000D4FE0" w:rsidRPr="006E2981" w:rsidRDefault="000D4FE0" w:rsidP="00077BA7">
            <w:pPr>
              <w:pStyle w:val="Antrat3"/>
              <w:spacing w:line="256" w:lineRule="auto"/>
              <w:jc w:val="left"/>
            </w:pPr>
            <w:r w:rsidRPr="006E2981">
              <w:t xml:space="preserve">   Į  2014-</w:t>
            </w:r>
            <w:r w:rsidR="00AB6641">
              <w:t>09-12</w:t>
            </w:r>
          </w:p>
          <w:p w:rsidR="000D4FE0" w:rsidRPr="006E2981" w:rsidRDefault="000D4FE0" w:rsidP="00077BA7">
            <w:pPr>
              <w:spacing w:line="256" w:lineRule="auto"/>
              <w:rPr>
                <w:sz w:val="24"/>
                <w:szCs w:val="24"/>
              </w:rPr>
            </w:pPr>
          </w:p>
        </w:tc>
        <w:tc>
          <w:tcPr>
            <w:tcW w:w="596" w:type="dxa"/>
          </w:tcPr>
          <w:p w:rsidR="000D4FE0" w:rsidRPr="006E2981" w:rsidRDefault="000D4FE0" w:rsidP="00077BA7">
            <w:pPr>
              <w:spacing w:line="256" w:lineRule="auto"/>
              <w:rPr>
                <w:sz w:val="24"/>
                <w:szCs w:val="24"/>
              </w:rPr>
            </w:pPr>
            <w:r w:rsidRPr="006E2981">
              <w:rPr>
                <w:sz w:val="24"/>
                <w:szCs w:val="24"/>
              </w:rPr>
              <w:t>Nr.</w:t>
            </w:r>
          </w:p>
          <w:p w:rsidR="000D4FE0" w:rsidRPr="006E2981" w:rsidRDefault="000D4FE0" w:rsidP="00077BA7">
            <w:pPr>
              <w:spacing w:line="256" w:lineRule="auto"/>
              <w:rPr>
                <w:sz w:val="24"/>
                <w:szCs w:val="24"/>
              </w:rPr>
            </w:pPr>
            <w:r w:rsidRPr="006E2981">
              <w:rPr>
                <w:sz w:val="24"/>
                <w:szCs w:val="24"/>
              </w:rPr>
              <w:t>Nr.</w:t>
            </w:r>
          </w:p>
          <w:p w:rsidR="000D4FE0" w:rsidRPr="006E2981" w:rsidRDefault="000D4FE0" w:rsidP="00077BA7">
            <w:pPr>
              <w:spacing w:line="256" w:lineRule="auto"/>
              <w:rPr>
                <w:b/>
                <w:sz w:val="24"/>
                <w:szCs w:val="24"/>
              </w:rPr>
            </w:pPr>
            <w:r w:rsidRPr="006E2981">
              <w:rPr>
                <w:sz w:val="24"/>
                <w:szCs w:val="24"/>
              </w:rPr>
              <w:tab/>
            </w:r>
          </w:p>
        </w:tc>
        <w:tc>
          <w:tcPr>
            <w:tcW w:w="1815" w:type="dxa"/>
            <w:hideMark/>
          </w:tcPr>
          <w:p w:rsidR="000D4FE0" w:rsidRPr="006E2981" w:rsidRDefault="000D4FE0" w:rsidP="00077BA7">
            <w:pPr>
              <w:spacing w:line="256" w:lineRule="auto"/>
              <w:rPr>
                <w:sz w:val="24"/>
                <w:szCs w:val="24"/>
              </w:rPr>
            </w:pPr>
            <w:r w:rsidRPr="006E2981">
              <w:rPr>
                <w:sz w:val="24"/>
                <w:szCs w:val="24"/>
              </w:rPr>
              <w:t>4S-</w:t>
            </w:r>
          </w:p>
          <w:p w:rsidR="000D4FE0" w:rsidRPr="006E2981" w:rsidRDefault="000D4FE0" w:rsidP="00AB6641">
            <w:pPr>
              <w:spacing w:line="256" w:lineRule="auto"/>
              <w:rPr>
                <w:sz w:val="24"/>
                <w:szCs w:val="24"/>
              </w:rPr>
            </w:pPr>
            <w:r>
              <w:rPr>
                <w:sz w:val="24"/>
                <w:szCs w:val="24"/>
              </w:rPr>
              <w:t>(33.194)R-</w:t>
            </w:r>
            <w:r w:rsidR="00AB6641">
              <w:rPr>
                <w:sz w:val="24"/>
                <w:szCs w:val="24"/>
              </w:rPr>
              <w:t>5254</w:t>
            </w:r>
          </w:p>
        </w:tc>
      </w:tr>
    </w:tbl>
    <w:p w:rsidR="000D4FE0" w:rsidRPr="00BB72FA" w:rsidRDefault="000D4FE0" w:rsidP="000D4FE0">
      <w:pPr>
        <w:jc w:val="both"/>
        <w:rPr>
          <w:sz w:val="24"/>
          <w:szCs w:val="24"/>
        </w:rPr>
      </w:pPr>
      <w:r w:rsidRPr="00BB72FA">
        <w:rPr>
          <w:b/>
          <w:sz w:val="24"/>
        </w:rPr>
        <w:t>DĖL SUTIKIMO VYKDYTI PIRKIMĄ NESKELBIAMŲ DERYBŲ BŪDU</w:t>
      </w:r>
    </w:p>
    <w:p w:rsidR="000D4FE0" w:rsidRPr="00BB72FA" w:rsidRDefault="000D4FE0" w:rsidP="000D4FE0">
      <w:pPr>
        <w:ind w:firstLine="851"/>
        <w:jc w:val="both"/>
        <w:rPr>
          <w:sz w:val="24"/>
          <w:szCs w:val="24"/>
        </w:rPr>
      </w:pPr>
    </w:p>
    <w:p w:rsidR="000D4FE0" w:rsidRDefault="000D4FE0" w:rsidP="000D4FE0">
      <w:pPr>
        <w:ind w:firstLine="851"/>
        <w:jc w:val="both"/>
        <w:rPr>
          <w:sz w:val="24"/>
          <w:szCs w:val="24"/>
        </w:rPr>
      </w:pPr>
      <w:r w:rsidRPr="00BB72FA">
        <w:rPr>
          <w:sz w:val="24"/>
          <w:szCs w:val="24"/>
        </w:rPr>
        <w:t>Viešųjų pirkimų tarnyba (toliau – Tarnyba), vadovaudamasi Lietuvos Respu</w:t>
      </w:r>
      <w:r>
        <w:rPr>
          <w:sz w:val="24"/>
          <w:szCs w:val="24"/>
        </w:rPr>
        <w:t>blikos viešųjų pirkimų įstatymo</w:t>
      </w:r>
      <w:r w:rsidRPr="00BB72FA">
        <w:rPr>
          <w:sz w:val="24"/>
          <w:szCs w:val="24"/>
        </w:rPr>
        <w:t xml:space="preserve"> (toliau – Įstatymas) 8</w:t>
      </w:r>
      <w:r w:rsidRPr="00BB72FA">
        <w:rPr>
          <w:sz w:val="24"/>
          <w:szCs w:val="24"/>
          <w:vertAlign w:val="superscript"/>
        </w:rPr>
        <w:t>2</w:t>
      </w:r>
      <w:r w:rsidRPr="00BB72FA">
        <w:rPr>
          <w:sz w:val="24"/>
          <w:szCs w:val="24"/>
        </w:rPr>
        <w:t xml:space="preserve"> straipsnio 2 dalies 7 punkto nuostatomis, išnagrinėjo </w:t>
      </w:r>
      <w:r>
        <w:rPr>
          <w:sz w:val="24"/>
          <w:szCs w:val="24"/>
        </w:rPr>
        <w:t>Kauno miesto savivaldybės administracijos (toliau – Perkančioji organizacija)</w:t>
      </w:r>
      <w:r w:rsidRPr="00BB72FA">
        <w:rPr>
          <w:sz w:val="24"/>
          <w:szCs w:val="24"/>
        </w:rPr>
        <w:t xml:space="preserve"> </w:t>
      </w:r>
      <w:r w:rsidRPr="00BB72FA">
        <w:rPr>
          <w:sz w:val="24"/>
        </w:rPr>
        <w:t>prašymą</w:t>
      </w:r>
      <w:r>
        <w:rPr>
          <w:sz w:val="24"/>
        </w:rPr>
        <w:t xml:space="preserve"> ir jį pagrindžiančią informaciją dėl</w:t>
      </w:r>
      <w:r w:rsidRPr="00BB72FA">
        <w:rPr>
          <w:sz w:val="24"/>
        </w:rPr>
        <w:t xml:space="preserve"> sutik</w:t>
      </w:r>
      <w:r>
        <w:rPr>
          <w:sz w:val="24"/>
        </w:rPr>
        <w:t xml:space="preserve">imo </w:t>
      </w:r>
      <w:r w:rsidRPr="00BB72FA">
        <w:rPr>
          <w:sz w:val="24"/>
          <w:szCs w:val="24"/>
        </w:rPr>
        <w:t>vykd</w:t>
      </w:r>
      <w:r>
        <w:rPr>
          <w:sz w:val="24"/>
          <w:szCs w:val="24"/>
        </w:rPr>
        <w:t xml:space="preserve">yti </w:t>
      </w:r>
      <w:r w:rsidR="0072714B" w:rsidRPr="0072714B">
        <w:rPr>
          <w:i/>
          <w:sz w:val="24"/>
          <w:szCs w:val="24"/>
        </w:rPr>
        <w:t>D</w:t>
      </w:r>
      <w:r w:rsidR="00AB6641" w:rsidRPr="0072714B">
        <w:rPr>
          <w:i/>
          <w:sz w:val="24"/>
          <w:szCs w:val="24"/>
        </w:rPr>
        <w:t>okumentų valdymo sistemos „Kontora 2004“ duomenų mainų modulio sukūrimo paslaugų</w:t>
      </w:r>
      <w:r w:rsidRPr="0072714B">
        <w:rPr>
          <w:i/>
          <w:sz w:val="24"/>
          <w:szCs w:val="24"/>
        </w:rPr>
        <w:t xml:space="preserve"> viešąjį pirkimą</w:t>
      </w:r>
      <w:r w:rsidRPr="0072714B">
        <w:rPr>
          <w:sz w:val="24"/>
          <w:szCs w:val="24"/>
        </w:rPr>
        <w:t xml:space="preserve"> </w:t>
      </w:r>
      <w:r w:rsidRPr="00BB72FA">
        <w:rPr>
          <w:sz w:val="24"/>
          <w:szCs w:val="24"/>
        </w:rPr>
        <w:t>neskelbiamų derybų būdu, vadovaujantis Įstatymo 56 straipsnio 1 dalies 3 punkto nuostatomis</w:t>
      </w:r>
      <w:r>
        <w:rPr>
          <w:sz w:val="24"/>
          <w:szCs w:val="24"/>
        </w:rPr>
        <w:t>.</w:t>
      </w:r>
    </w:p>
    <w:p w:rsidR="0031572F" w:rsidRDefault="000D4FE0" w:rsidP="001E27D1">
      <w:pPr>
        <w:ind w:firstLine="851"/>
        <w:jc w:val="both"/>
        <w:rPr>
          <w:sz w:val="24"/>
          <w:szCs w:val="24"/>
        </w:rPr>
      </w:pPr>
      <w:r>
        <w:rPr>
          <w:sz w:val="24"/>
          <w:szCs w:val="24"/>
        </w:rPr>
        <w:t>Perkančioji organizacija nurodo</w:t>
      </w:r>
      <w:r w:rsidRPr="00B83371">
        <w:rPr>
          <w:sz w:val="24"/>
          <w:szCs w:val="24"/>
        </w:rPr>
        <w:t>, kad</w:t>
      </w:r>
      <w:r>
        <w:rPr>
          <w:sz w:val="24"/>
          <w:szCs w:val="24"/>
        </w:rPr>
        <w:t xml:space="preserve"> </w:t>
      </w:r>
      <w:r w:rsidR="00A641FD">
        <w:rPr>
          <w:sz w:val="24"/>
          <w:szCs w:val="24"/>
        </w:rPr>
        <w:t>dokumentų valdymui naudoja</w:t>
      </w:r>
      <w:r w:rsidR="00164FEB">
        <w:rPr>
          <w:sz w:val="24"/>
          <w:szCs w:val="24"/>
        </w:rPr>
        <w:t xml:space="preserve"> dokumentų valdymo sistem</w:t>
      </w:r>
      <w:r w:rsidR="00DF2E05">
        <w:rPr>
          <w:sz w:val="24"/>
          <w:szCs w:val="24"/>
        </w:rPr>
        <w:t>ą</w:t>
      </w:r>
      <w:r w:rsidR="00164FEB">
        <w:rPr>
          <w:sz w:val="24"/>
          <w:szCs w:val="24"/>
        </w:rPr>
        <w:t xml:space="preserve"> „Kontora 2004“</w:t>
      </w:r>
      <w:r w:rsidR="00DF2E05">
        <w:rPr>
          <w:sz w:val="24"/>
          <w:szCs w:val="24"/>
        </w:rPr>
        <w:t xml:space="preserve"> (toliau – Kontora)</w:t>
      </w:r>
      <w:r w:rsidR="00164FEB">
        <w:rPr>
          <w:sz w:val="24"/>
          <w:szCs w:val="24"/>
        </w:rPr>
        <w:t>, kuri</w:t>
      </w:r>
      <w:r w:rsidR="00DF2E05">
        <w:rPr>
          <w:sz w:val="24"/>
          <w:szCs w:val="24"/>
        </w:rPr>
        <w:t>ą pagal</w:t>
      </w:r>
      <w:r w:rsidR="00164FEB">
        <w:rPr>
          <w:sz w:val="24"/>
          <w:szCs w:val="24"/>
        </w:rPr>
        <w:t xml:space="preserve"> 2003 m. kovo 28 d. sutart</w:t>
      </w:r>
      <w:r w:rsidR="00DF2E05">
        <w:rPr>
          <w:sz w:val="24"/>
          <w:szCs w:val="24"/>
        </w:rPr>
        <w:t>į Nr. 2003/K-25 įdiegė UAB „</w:t>
      </w:r>
      <w:proofErr w:type="spellStart"/>
      <w:r w:rsidR="00DF2E05">
        <w:rPr>
          <w:sz w:val="24"/>
          <w:szCs w:val="24"/>
        </w:rPr>
        <w:t>Iterija</w:t>
      </w:r>
      <w:proofErr w:type="spellEnd"/>
      <w:r w:rsidR="00DF2E05">
        <w:rPr>
          <w:sz w:val="24"/>
          <w:szCs w:val="24"/>
        </w:rPr>
        <w:t>“</w:t>
      </w:r>
      <w:r w:rsidR="00164FEB">
        <w:rPr>
          <w:sz w:val="24"/>
          <w:szCs w:val="24"/>
        </w:rPr>
        <w:t>. 2009 m. spalio 1 d. UAB „</w:t>
      </w:r>
      <w:proofErr w:type="spellStart"/>
      <w:r w:rsidR="00164FEB">
        <w:rPr>
          <w:sz w:val="24"/>
          <w:szCs w:val="24"/>
        </w:rPr>
        <w:t>Iterija</w:t>
      </w:r>
      <w:proofErr w:type="spellEnd"/>
      <w:r w:rsidR="00164FEB">
        <w:rPr>
          <w:sz w:val="24"/>
          <w:szCs w:val="24"/>
        </w:rPr>
        <w:t xml:space="preserve">“, vykdydama savo veiklos optimizavimą, visas autorių turtines, nuosavybės ir kitas intelektines ar pramoninės nuosavybės teises į Kontorą ir jos pagrindu sukurtas sistemas </w:t>
      </w:r>
      <w:r w:rsidR="00DF2E05">
        <w:rPr>
          <w:sz w:val="24"/>
          <w:szCs w:val="24"/>
        </w:rPr>
        <w:t xml:space="preserve">perdavė </w:t>
      </w:r>
      <w:r w:rsidR="00164FEB">
        <w:rPr>
          <w:sz w:val="24"/>
          <w:szCs w:val="24"/>
        </w:rPr>
        <w:t xml:space="preserve">UAB „Kantorius“ ir apie tai 2009 m. lapkričio 11 d. raštu </w:t>
      </w:r>
      <w:r w:rsidR="00DF2E05">
        <w:rPr>
          <w:sz w:val="24"/>
          <w:szCs w:val="24"/>
        </w:rPr>
        <w:t xml:space="preserve">   </w:t>
      </w:r>
      <w:r w:rsidR="00164FEB">
        <w:rPr>
          <w:sz w:val="24"/>
          <w:szCs w:val="24"/>
        </w:rPr>
        <w:t xml:space="preserve">Nr. 1-87 informavo Perkančiąją organizaciją. </w:t>
      </w:r>
      <w:r w:rsidR="00C0489D">
        <w:rPr>
          <w:sz w:val="24"/>
          <w:szCs w:val="24"/>
        </w:rPr>
        <w:t>Su UAB „</w:t>
      </w:r>
      <w:proofErr w:type="spellStart"/>
      <w:r w:rsidR="00C0489D">
        <w:rPr>
          <w:sz w:val="24"/>
          <w:szCs w:val="24"/>
        </w:rPr>
        <w:t>Iterija</w:t>
      </w:r>
      <w:proofErr w:type="spellEnd"/>
      <w:r w:rsidR="00C0489D">
        <w:rPr>
          <w:sz w:val="24"/>
          <w:szCs w:val="24"/>
        </w:rPr>
        <w:t>“ sudaryta Kontoros priežiūros sutartis buvo nutraukta</w:t>
      </w:r>
      <w:r w:rsidR="00DF2E05">
        <w:rPr>
          <w:sz w:val="24"/>
          <w:szCs w:val="24"/>
        </w:rPr>
        <w:t>.</w:t>
      </w:r>
      <w:r w:rsidR="00DF2E05" w:rsidRPr="00DF2E05">
        <w:rPr>
          <w:sz w:val="24"/>
          <w:szCs w:val="24"/>
        </w:rPr>
        <w:t xml:space="preserve"> </w:t>
      </w:r>
      <w:r w:rsidR="00DF2E05">
        <w:rPr>
          <w:sz w:val="24"/>
          <w:szCs w:val="24"/>
        </w:rPr>
        <w:t>Perkančioji organizacija nurodo, kad su UAB „Kantorius“</w:t>
      </w:r>
      <w:r w:rsidR="001E27D1">
        <w:rPr>
          <w:sz w:val="24"/>
          <w:szCs w:val="24"/>
        </w:rPr>
        <w:t>, kaip vieninteliu autorinių teisių savininku, turinčiu teisę platinti, modifikuoti sistemą ir teikti jos priežiūros paslaugas,</w:t>
      </w:r>
      <w:r w:rsidR="00DF2E05">
        <w:rPr>
          <w:sz w:val="24"/>
          <w:szCs w:val="24"/>
        </w:rPr>
        <w:t xml:space="preserve"> dėl Kontoros priežiūros paslaugų teikimo buvo pasirašytos dvi sutartys: 2010 m. kovo 23 d. sutartis </w:t>
      </w:r>
      <w:r w:rsidR="001E27D1">
        <w:rPr>
          <w:sz w:val="24"/>
          <w:szCs w:val="24"/>
        </w:rPr>
        <w:t xml:space="preserve">      </w:t>
      </w:r>
      <w:r w:rsidR="00DF2E05">
        <w:rPr>
          <w:sz w:val="24"/>
          <w:szCs w:val="24"/>
        </w:rPr>
        <w:t xml:space="preserve">Nr. 201-2-144 ir 2013 m. liepos 2 d. sutartis Nr. SR-1428, kurios galiojimo terminas buvo numatytas iki 2014 m. liepos 2 d. </w:t>
      </w:r>
      <w:r w:rsidR="0031572F">
        <w:rPr>
          <w:sz w:val="24"/>
          <w:szCs w:val="24"/>
        </w:rPr>
        <w:t>2013 m. spalio 28 d. Perkančioji organizacija gavo UAB „</w:t>
      </w:r>
      <w:proofErr w:type="spellStart"/>
      <w:r w:rsidR="0031572F">
        <w:rPr>
          <w:sz w:val="24"/>
          <w:szCs w:val="24"/>
        </w:rPr>
        <w:t>Nevda</w:t>
      </w:r>
      <w:proofErr w:type="spellEnd"/>
      <w:r w:rsidR="0031572F">
        <w:rPr>
          <w:sz w:val="24"/>
          <w:szCs w:val="24"/>
        </w:rPr>
        <w:t xml:space="preserve">“ raštą </w:t>
      </w:r>
      <w:r w:rsidR="001E27D1">
        <w:rPr>
          <w:sz w:val="24"/>
          <w:szCs w:val="24"/>
        </w:rPr>
        <w:t xml:space="preserve">           </w:t>
      </w:r>
      <w:r w:rsidR="00A641FD">
        <w:rPr>
          <w:sz w:val="24"/>
          <w:szCs w:val="24"/>
        </w:rPr>
        <w:t>Nr. 1310/16, kuriame informuojama</w:t>
      </w:r>
      <w:r w:rsidR="0031572F">
        <w:rPr>
          <w:sz w:val="24"/>
          <w:szCs w:val="24"/>
        </w:rPr>
        <w:t xml:space="preserve">, kad šį įmonė yra Kontoros autorių turtinių teisių turėtoja ir šios teisės daugiau niekam nėra perleistos ar suteiktos. </w:t>
      </w:r>
      <w:r w:rsidR="00624543">
        <w:rPr>
          <w:sz w:val="24"/>
          <w:szCs w:val="24"/>
        </w:rPr>
        <w:t xml:space="preserve">UAB „Kantorius“ 2013 m. lapkričio </w:t>
      </w:r>
      <w:r w:rsidR="00535E8D">
        <w:rPr>
          <w:sz w:val="24"/>
          <w:szCs w:val="24"/>
        </w:rPr>
        <w:t>8</w:t>
      </w:r>
      <w:r w:rsidR="00624543">
        <w:rPr>
          <w:sz w:val="24"/>
          <w:szCs w:val="24"/>
        </w:rPr>
        <w:t xml:space="preserve"> d. raštu </w:t>
      </w:r>
      <w:r w:rsidR="00535E8D">
        <w:rPr>
          <w:sz w:val="24"/>
          <w:szCs w:val="24"/>
        </w:rPr>
        <w:t xml:space="preserve">    Nr. KS-201311/</w:t>
      </w:r>
      <w:r w:rsidR="00624543">
        <w:rPr>
          <w:sz w:val="24"/>
          <w:szCs w:val="24"/>
        </w:rPr>
        <w:t>2 informavo, kad nebeturi galimybių teikti Kontoros priežiūros paslaugas, ir patvirtino, kad UAB „</w:t>
      </w:r>
      <w:proofErr w:type="spellStart"/>
      <w:r w:rsidR="00624543">
        <w:rPr>
          <w:sz w:val="24"/>
          <w:szCs w:val="24"/>
        </w:rPr>
        <w:t>Nevda</w:t>
      </w:r>
      <w:proofErr w:type="spellEnd"/>
      <w:r w:rsidR="00624543">
        <w:rPr>
          <w:sz w:val="24"/>
          <w:szCs w:val="24"/>
        </w:rPr>
        <w:t>“ nuo 2013 m. spalio 14</w:t>
      </w:r>
      <w:r w:rsidR="001E27D1">
        <w:rPr>
          <w:sz w:val="24"/>
          <w:szCs w:val="24"/>
        </w:rPr>
        <w:t xml:space="preserve"> </w:t>
      </w:r>
      <w:r w:rsidR="00624543">
        <w:rPr>
          <w:sz w:val="24"/>
          <w:szCs w:val="24"/>
        </w:rPr>
        <w:t xml:space="preserve">d. turi visas Kontoros autorių turtines teises, įskaitant teises į visus Kontoros modulius, papildinius, dokumentaciją ir išeities kodus. </w:t>
      </w:r>
    </w:p>
    <w:p w:rsidR="005524FD" w:rsidRDefault="001E27D1" w:rsidP="00D00D41">
      <w:pPr>
        <w:ind w:firstLine="851"/>
        <w:jc w:val="both"/>
        <w:rPr>
          <w:sz w:val="24"/>
          <w:szCs w:val="24"/>
        </w:rPr>
      </w:pPr>
      <w:r>
        <w:rPr>
          <w:sz w:val="24"/>
          <w:szCs w:val="24"/>
        </w:rPr>
        <w:t>Perkančioji organizacija taip pat nurodo, kad s</w:t>
      </w:r>
      <w:r w:rsidR="00624543">
        <w:rPr>
          <w:sz w:val="24"/>
          <w:szCs w:val="24"/>
        </w:rPr>
        <w:t xml:space="preserve">avivaldybės poreikiams </w:t>
      </w:r>
      <w:r w:rsidR="00A641FD">
        <w:rPr>
          <w:sz w:val="24"/>
          <w:szCs w:val="24"/>
        </w:rPr>
        <w:t xml:space="preserve">buvo </w:t>
      </w:r>
      <w:r w:rsidR="00624543">
        <w:rPr>
          <w:sz w:val="24"/>
          <w:szCs w:val="24"/>
        </w:rPr>
        <w:t>reikalinga įsigyti p</w:t>
      </w:r>
      <w:r>
        <w:rPr>
          <w:sz w:val="24"/>
          <w:szCs w:val="24"/>
        </w:rPr>
        <w:t xml:space="preserve">apildomą Kontoros funkcionalumą: </w:t>
      </w:r>
      <w:r w:rsidR="00624543">
        <w:rPr>
          <w:sz w:val="24"/>
          <w:szCs w:val="24"/>
        </w:rPr>
        <w:t>dokumentų</w:t>
      </w:r>
      <w:r>
        <w:rPr>
          <w:sz w:val="24"/>
          <w:szCs w:val="24"/>
        </w:rPr>
        <w:t xml:space="preserve"> </w:t>
      </w:r>
      <w:r w:rsidR="00624543">
        <w:rPr>
          <w:sz w:val="24"/>
          <w:szCs w:val="24"/>
        </w:rPr>
        <w:t>rengimo Kontoroje modulį, dokumentų valdymo funkcionalumą papildyti elektroninių doku</w:t>
      </w:r>
      <w:r w:rsidR="00A641FD">
        <w:rPr>
          <w:sz w:val="24"/>
          <w:szCs w:val="24"/>
        </w:rPr>
        <w:t>mentų valdymo funkcionalumu,</w:t>
      </w:r>
      <w:r w:rsidR="00624543">
        <w:rPr>
          <w:sz w:val="24"/>
          <w:szCs w:val="24"/>
        </w:rPr>
        <w:t xml:space="preserve"> kad būtų galima automatiniu būdu perduoti Kontoroje užregistruotus dokumentus ir dokumentų projektus, jų registracijos duomenis ir kitą Kontoroje tvarkomą informaciją iš Kontoros į Lietuvos Respublikos teisės aktų informacinę sistemą</w:t>
      </w:r>
      <w:r w:rsidR="001B497E">
        <w:rPr>
          <w:sz w:val="24"/>
          <w:szCs w:val="24"/>
        </w:rPr>
        <w:t xml:space="preserve"> (toliau - TAIS)</w:t>
      </w:r>
      <w:r w:rsidR="00624543">
        <w:rPr>
          <w:sz w:val="24"/>
          <w:szCs w:val="24"/>
        </w:rPr>
        <w:t xml:space="preserve"> ir Teisės aktų registrą</w:t>
      </w:r>
      <w:r w:rsidR="001B497E">
        <w:rPr>
          <w:sz w:val="24"/>
          <w:szCs w:val="24"/>
        </w:rPr>
        <w:t xml:space="preserve"> (toliau - TAR)</w:t>
      </w:r>
      <w:r w:rsidR="00624543">
        <w:rPr>
          <w:sz w:val="24"/>
          <w:szCs w:val="24"/>
        </w:rPr>
        <w:t>, planuojama</w:t>
      </w:r>
      <w:r w:rsidR="001B497E">
        <w:rPr>
          <w:sz w:val="24"/>
          <w:szCs w:val="24"/>
        </w:rPr>
        <w:t xml:space="preserve"> įsigyti integracijos (duomenų mainų) su TAIS</w:t>
      </w:r>
      <w:r w:rsidR="00853276">
        <w:rPr>
          <w:sz w:val="24"/>
          <w:szCs w:val="24"/>
        </w:rPr>
        <w:t xml:space="preserve"> ir TAR funkcionalumą.</w:t>
      </w:r>
      <w:r w:rsidR="00D00D41">
        <w:rPr>
          <w:sz w:val="24"/>
          <w:szCs w:val="24"/>
        </w:rPr>
        <w:t xml:space="preserve"> </w:t>
      </w:r>
      <w:r w:rsidR="00853276">
        <w:rPr>
          <w:sz w:val="24"/>
          <w:szCs w:val="24"/>
        </w:rPr>
        <w:t xml:space="preserve">Tarnybos sutikimas minėtų paslaugų pirkimą vykdyti neskelbiamų derybų būdu buvo gautas Nr. 2014 m. kovo 27 d. raštu </w:t>
      </w:r>
      <w:r w:rsidR="00D00D41">
        <w:rPr>
          <w:sz w:val="24"/>
          <w:szCs w:val="24"/>
        </w:rPr>
        <w:t xml:space="preserve">           </w:t>
      </w:r>
      <w:r w:rsidR="00853276">
        <w:rPr>
          <w:sz w:val="24"/>
          <w:szCs w:val="24"/>
        </w:rPr>
        <w:t>Nr. 4S-1043</w:t>
      </w:r>
      <w:r>
        <w:rPr>
          <w:sz w:val="24"/>
          <w:szCs w:val="24"/>
        </w:rPr>
        <w:t xml:space="preserve"> „Dėl sutikimo vykdyti pirkimą neskelbiamų derybų būdu“</w:t>
      </w:r>
      <w:r w:rsidR="00853276">
        <w:rPr>
          <w:sz w:val="24"/>
          <w:szCs w:val="24"/>
        </w:rPr>
        <w:t>. Atlikus neskelbiamų derybų procedūras, 2014 m. gegužės 6 d. buvo pasirašyta šiuo metu galiojanti sutartis su UAB „</w:t>
      </w:r>
      <w:proofErr w:type="spellStart"/>
      <w:r w:rsidR="00853276">
        <w:rPr>
          <w:sz w:val="24"/>
          <w:szCs w:val="24"/>
        </w:rPr>
        <w:t>Nevda</w:t>
      </w:r>
      <w:proofErr w:type="spellEnd"/>
      <w:r w:rsidR="00853276">
        <w:rPr>
          <w:sz w:val="24"/>
          <w:szCs w:val="24"/>
        </w:rPr>
        <w:t xml:space="preserve">“ dėl </w:t>
      </w:r>
      <w:r>
        <w:rPr>
          <w:sz w:val="24"/>
          <w:szCs w:val="24"/>
        </w:rPr>
        <w:t>Kontoros</w:t>
      </w:r>
      <w:r w:rsidR="00853276">
        <w:rPr>
          <w:sz w:val="24"/>
          <w:szCs w:val="24"/>
        </w:rPr>
        <w:t xml:space="preserve"> priežiūros ir jos papildymo nauju funkcionalumu paslaugų pirkimo.</w:t>
      </w:r>
      <w:r>
        <w:rPr>
          <w:sz w:val="24"/>
          <w:szCs w:val="24"/>
        </w:rPr>
        <w:t xml:space="preserve"> </w:t>
      </w:r>
      <w:r w:rsidR="00853276">
        <w:rPr>
          <w:sz w:val="24"/>
          <w:szCs w:val="24"/>
        </w:rPr>
        <w:t xml:space="preserve">Šiuo metu tinkamam </w:t>
      </w:r>
      <w:r>
        <w:rPr>
          <w:sz w:val="24"/>
          <w:szCs w:val="24"/>
        </w:rPr>
        <w:t>Kontoros</w:t>
      </w:r>
      <w:r w:rsidR="00853276">
        <w:rPr>
          <w:sz w:val="24"/>
          <w:szCs w:val="24"/>
        </w:rPr>
        <w:t xml:space="preserve"> funkcionavimui užtikrinti atsirado </w:t>
      </w:r>
      <w:r w:rsidR="00853276" w:rsidRPr="000F3314">
        <w:rPr>
          <w:sz w:val="24"/>
          <w:szCs w:val="24"/>
        </w:rPr>
        <w:t xml:space="preserve">universalaus duomenų mainų modulio sukūrimo </w:t>
      </w:r>
      <w:r w:rsidR="00853276" w:rsidRPr="000F3314">
        <w:rPr>
          <w:sz w:val="24"/>
          <w:szCs w:val="24"/>
        </w:rPr>
        <w:lastRenderedPageBreak/>
        <w:t>poreikis.</w:t>
      </w:r>
      <w:r w:rsidR="00853276">
        <w:rPr>
          <w:sz w:val="24"/>
          <w:szCs w:val="24"/>
        </w:rPr>
        <w:t xml:space="preserve"> Šis universalus modulis reikalingas tam, kad naudojamos/diegiamos informacinės sistemos būtų integruotos su Kontora ir galėtų keistis su ja duomenimis, t. y. visi raštai, užduotys ir pan., suformuotos per kitas informacines sistemas, turi patekti su visais savo metaduomenimis į Kontorą ir iš jos gauti registracijos duomenis. Tokio universalaus modulio sukūrimo paslaugas gali suteikti tik UAB „</w:t>
      </w:r>
      <w:proofErr w:type="spellStart"/>
      <w:r w:rsidR="00853276">
        <w:rPr>
          <w:sz w:val="24"/>
          <w:szCs w:val="24"/>
        </w:rPr>
        <w:t>Nevda</w:t>
      </w:r>
      <w:proofErr w:type="spellEnd"/>
      <w:r w:rsidR="00853276">
        <w:rPr>
          <w:sz w:val="24"/>
          <w:szCs w:val="24"/>
        </w:rPr>
        <w:t>“, nes šiuo metu tik UAB „</w:t>
      </w:r>
      <w:proofErr w:type="spellStart"/>
      <w:r w:rsidR="00853276">
        <w:rPr>
          <w:sz w:val="24"/>
          <w:szCs w:val="24"/>
        </w:rPr>
        <w:t>Nevda</w:t>
      </w:r>
      <w:proofErr w:type="spellEnd"/>
      <w:r w:rsidR="00853276">
        <w:rPr>
          <w:sz w:val="24"/>
          <w:szCs w:val="24"/>
        </w:rPr>
        <w:t xml:space="preserve">“ turi autorių turtinių teisių į Kontorą turėtojo teises, </w:t>
      </w:r>
      <w:r w:rsidR="00D00D41">
        <w:rPr>
          <w:sz w:val="24"/>
          <w:szCs w:val="24"/>
        </w:rPr>
        <w:t xml:space="preserve">tarp jų ir teisę savo nuožiūra </w:t>
      </w:r>
      <w:r w:rsidR="00853276">
        <w:rPr>
          <w:sz w:val="24"/>
          <w:szCs w:val="24"/>
        </w:rPr>
        <w:t xml:space="preserve">adaptuoti, keisti ir platinti šiuos kūrinius. Atsižvelgiant į tai, Perkančiosios organizacijos Viešojo pirkimo komisija </w:t>
      </w:r>
      <w:r w:rsidR="00454F15">
        <w:rPr>
          <w:sz w:val="24"/>
          <w:szCs w:val="24"/>
        </w:rPr>
        <w:t xml:space="preserve">priėmė sprendimą </w:t>
      </w:r>
      <w:r w:rsidR="0072714B" w:rsidRPr="0072714B">
        <w:rPr>
          <w:i/>
          <w:sz w:val="24"/>
          <w:szCs w:val="24"/>
        </w:rPr>
        <w:t>D</w:t>
      </w:r>
      <w:r w:rsidR="00454F15" w:rsidRPr="0072714B">
        <w:rPr>
          <w:i/>
          <w:sz w:val="24"/>
          <w:szCs w:val="24"/>
        </w:rPr>
        <w:t xml:space="preserve">okumentų valdymo sistemos „Kontora 2004“ duomenų mainų modulio sukūrimo paslaugų </w:t>
      </w:r>
      <w:r w:rsidR="0033118E" w:rsidRPr="0072714B">
        <w:rPr>
          <w:i/>
          <w:sz w:val="24"/>
          <w:szCs w:val="24"/>
        </w:rPr>
        <w:t xml:space="preserve">viešąjį </w:t>
      </w:r>
      <w:r w:rsidR="00454F15" w:rsidRPr="0072714B">
        <w:rPr>
          <w:i/>
          <w:sz w:val="24"/>
          <w:szCs w:val="24"/>
        </w:rPr>
        <w:t>pirkimą</w:t>
      </w:r>
      <w:r w:rsidR="00454F15" w:rsidRPr="0072714B">
        <w:rPr>
          <w:sz w:val="24"/>
          <w:szCs w:val="24"/>
        </w:rPr>
        <w:t xml:space="preserve"> </w:t>
      </w:r>
      <w:r w:rsidR="00454F15">
        <w:rPr>
          <w:sz w:val="24"/>
          <w:szCs w:val="24"/>
        </w:rPr>
        <w:t>vykdyti neskelbiamų derybų būdu, vadovaujantis Įstatymo</w:t>
      </w:r>
      <w:r w:rsidR="0033118E">
        <w:rPr>
          <w:sz w:val="24"/>
          <w:szCs w:val="24"/>
        </w:rPr>
        <w:t xml:space="preserve"> 56 straipsnio 1 dalies 3 punkto nuostatomis</w:t>
      </w:r>
      <w:r w:rsidR="00454F15">
        <w:rPr>
          <w:sz w:val="24"/>
          <w:szCs w:val="24"/>
        </w:rPr>
        <w:t>, kviečiant jose dalyvauti UAB „</w:t>
      </w:r>
      <w:proofErr w:type="spellStart"/>
      <w:r w:rsidR="00454F15">
        <w:rPr>
          <w:sz w:val="24"/>
          <w:szCs w:val="24"/>
        </w:rPr>
        <w:t>Nevda</w:t>
      </w:r>
      <w:proofErr w:type="spellEnd"/>
      <w:r w:rsidR="00454F15">
        <w:rPr>
          <w:sz w:val="24"/>
          <w:szCs w:val="24"/>
        </w:rPr>
        <w:t>“</w:t>
      </w:r>
      <w:r w:rsidR="00022558">
        <w:rPr>
          <w:sz w:val="24"/>
          <w:szCs w:val="24"/>
        </w:rPr>
        <w:t xml:space="preserve"> (2014 m. rugsėjo </w:t>
      </w:r>
      <w:r w:rsidR="0072714B">
        <w:rPr>
          <w:sz w:val="24"/>
          <w:szCs w:val="24"/>
        </w:rPr>
        <w:t xml:space="preserve"> </w:t>
      </w:r>
      <w:r w:rsidR="00022558">
        <w:rPr>
          <w:sz w:val="24"/>
          <w:szCs w:val="24"/>
        </w:rPr>
        <w:t>10 d. Viešojo pirkimo komisijos posėdžio protokolas Nr. 32-16-49).</w:t>
      </w:r>
    </w:p>
    <w:p w:rsidR="000D4FE0" w:rsidRDefault="000D4FE0" w:rsidP="005524FD">
      <w:pPr>
        <w:ind w:firstLine="851"/>
        <w:jc w:val="both"/>
        <w:rPr>
          <w:sz w:val="24"/>
          <w:szCs w:val="24"/>
        </w:rPr>
      </w:pPr>
      <w:r w:rsidRPr="004F1D4C">
        <w:rPr>
          <w:sz w:val="24"/>
          <w:szCs w:val="24"/>
        </w:rPr>
        <w:t>Įstatymo 56 straipsnio 1 dalies 3 punkto nuostatos numato, kad paslaugos neskelbiamų</w:t>
      </w:r>
      <w:r w:rsidRPr="00B90C30">
        <w:rPr>
          <w:sz w:val="24"/>
          <w:szCs w:val="24"/>
        </w:rPr>
        <w:t xml:space="preserve"> derybų būdu gali būti perkamos: </w:t>
      </w:r>
      <w:r w:rsidRPr="00B90C30">
        <w:rPr>
          <w:i/>
          <w:sz w:val="24"/>
          <w:szCs w:val="24"/>
        </w:rPr>
        <w:t>„jeigu dėl techninių ar meninių priežasčių arba dėl priežasčių, susijusių su išimtinių teisių apsauga</w:t>
      </w:r>
      <w:r w:rsidRPr="00011759">
        <w:rPr>
          <w:i/>
          <w:sz w:val="24"/>
          <w:szCs w:val="24"/>
        </w:rPr>
        <w:t>, prekes pateikti</w:t>
      </w:r>
      <w:r w:rsidRPr="00011759">
        <w:rPr>
          <w:i/>
          <w:sz w:val="24"/>
          <w:szCs w:val="24"/>
          <w:u w:val="single"/>
        </w:rPr>
        <w:t>, paslaugas pateikti</w:t>
      </w:r>
      <w:r w:rsidRPr="00B90C30">
        <w:rPr>
          <w:i/>
          <w:sz w:val="24"/>
          <w:szCs w:val="24"/>
        </w:rPr>
        <w:t xml:space="preserve"> ar darbus atlikti </w:t>
      </w:r>
      <w:r w:rsidRPr="00B90C30">
        <w:rPr>
          <w:i/>
          <w:sz w:val="24"/>
          <w:szCs w:val="24"/>
          <w:u w:val="single"/>
        </w:rPr>
        <w:t>gali tik konkretus tiekėjas</w:t>
      </w:r>
      <w:r w:rsidRPr="00B90C30">
        <w:rPr>
          <w:i/>
          <w:sz w:val="24"/>
          <w:szCs w:val="24"/>
        </w:rPr>
        <w:t>“</w:t>
      </w:r>
      <w:r w:rsidR="00D00D41">
        <w:rPr>
          <w:sz w:val="24"/>
          <w:szCs w:val="24"/>
        </w:rPr>
        <w:t>.</w:t>
      </w:r>
      <w:r>
        <w:rPr>
          <w:sz w:val="24"/>
          <w:szCs w:val="24"/>
        </w:rPr>
        <w:t xml:space="preserve"> </w:t>
      </w:r>
      <w:r w:rsidRPr="00B90C30">
        <w:rPr>
          <w:sz w:val="24"/>
          <w:szCs w:val="24"/>
        </w:rPr>
        <w:t xml:space="preserve">Perkančiosios organizacijos prašyme nurodytos aplinkybės ir pateikti dokumentai patvirtina, kad </w:t>
      </w:r>
      <w:r w:rsidR="0072714B" w:rsidRPr="0072714B">
        <w:rPr>
          <w:i/>
          <w:sz w:val="24"/>
          <w:szCs w:val="24"/>
        </w:rPr>
        <w:t>D</w:t>
      </w:r>
      <w:r w:rsidR="005524FD" w:rsidRPr="0072714B">
        <w:rPr>
          <w:i/>
          <w:sz w:val="24"/>
          <w:szCs w:val="24"/>
        </w:rPr>
        <w:t>okumentų valdymo sistemos „Kontora 2004“ duomenų mainų modulio sukūrimo paslaugas</w:t>
      </w:r>
      <w:r w:rsidRPr="00B90C30">
        <w:rPr>
          <w:sz w:val="24"/>
          <w:szCs w:val="24"/>
        </w:rPr>
        <w:t xml:space="preserve"> šiuo atveju gali </w:t>
      </w:r>
      <w:r>
        <w:rPr>
          <w:sz w:val="24"/>
          <w:szCs w:val="24"/>
        </w:rPr>
        <w:t>atlikti</w:t>
      </w:r>
      <w:r w:rsidRPr="00B90C30">
        <w:rPr>
          <w:sz w:val="24"/>
          <w:szCs w:val="24"/>
        </w:rPr>
        <w:t xml:space="preserve"> tik </w:t>
      </w:r>
      <w:r>
        <w:rPr>
          <w:i/>
          <w:sz w:val="24"/>
          <w:szCs w:val="24"/>
        </w:rPr>
        <w:t>UAB „</w:t>
      </w:r>
      <w:proofErr w:type="spellStart"/>
      <w:r w:rsidR="005524FD">
        <w:rPr>
          <w:i/>
          <w:sz w:val="24"/>
          <w:szCs w:val="24"/>
        </w:rPr>
        <w:t>Nevda</w:t>
      </w:r>
      <w:proofErr w:type="spellEnd"/>
      <w:r>
        <w:rPr>
          <w:i/>
          <w:sz w:val="24"/>
          <w:szCs w:val="24"/>
        </w:rPr>
        <w:t>“</w:t>
      </w:r>
      <w:r w:rsidRPr="00B90C30">
        <w:rPr>
          <w:sz w:val="24"/>
          <w:szCs w:val="24"/>
          <w:lang w:val="en-US"/>
        </w:rPr>
        <w:t>,</w:t>
      </w:r>
      <w:r w:rsidR="005524FD">
        <w:rPr>
          <w:sz w:val="24"/>
          <w:szCs w:val="24"/>
        </w:rPr>
        <w:t xml:space="preserve"> </w:t>
      </w:r>
      <w:r w:rsidRPr="00B90C30">
        <w:rPr>
          <w:sz w:val="24"/>
          <w:szCs w:val="24"/>
        </w:rPr>
        <w:t>t. y. tenkinamos neskelbiamų derybų sąlygos, nurodytos Įstatymo 56 straipsnio 1 dalies 3 punkte.</w:t>
      </w:r>
      <w:r>
        <w:rPr>
          <w:sz w:val="24"/>
          <w:szCs w:val="24"/>
        </w:rPr>
        <w:t xml:space="preserve"> Atsižvelgdama į tai, </w:t>
      </w:r>
      <w:r w:rsidRPr="00B90C30">
        <w:rPr>
          <w:sz w:val="24"/>
          <w:szCs w:val="24"/>
        </w:rPr>
        <w:t>Tarnyba, vadovaudamasi Įstatymo 8</w:t>
      </w:r>
      <w:r w:rsidRPr="00B90C30">
        <w:rPr>
          <w:sz w:val="24"/>
          <w:szCs w:val="24"/>
          <w:vertAlign w:val="superscript"/>
        </w:rPr>
        <w:t>2</w:t>
      </w:r>
      <w:r w:rsidRPr="00B90C30">
        <w:rPr>
          <w:sz w:val="24"/>
          <w:szCs w:val="24"/>
        </w:rPr>
        <w:t xml:space="preserve"> straipsnio 2 dalies 7 punkto nuostatomis, </w:t>
      </w:r>
      <w:r w:rsidRPr="00B90C30">
        <w:rPr>
          <w:b/>
          <w:sz w:val="24"/>
          <w:szCs w:val="24"/>
        </w:rPr>
        <w:t>sutinka</w:t>
      </w:r>
      <w:r w:rsidRPr="00B90C30">
        <w:rPr>
          <w:sz w:val="24"/>
          <w:szCs w:val="24"/>
        </w:rPr>
        <w:t>,</w:t>
      </w:r>
      <w:r w:rsidRPr="00B90C30">
        <w:rPr>
          <w:color w:val="000000"/>
          <w:sz w:val="24"/>
          <w:szCs w:val="24"/>
        </w:rPr>
        <w:t xml:space="preserve"> </w:t>
      </w:r>
      <w:r w:rsidRPr="00B90C30">
        <w:rPr>
          <w:sz w:val="24"/>
          <w:szCs w:val="24"/>
        </w:rPr>
        <w:t xml:space="preserve">kad </w:t>
      </w:r>
      <w:r w:rsidR="0072714B">
        <w:rPr>
          <w:sz w:val="24"/>
          <w:szCs w:val="24"/>
        </w:rPr>
        <w:t xml:space="preserve">Kauno miesto savivaldybės administracija </w:t>
      </w:r>
      <w:r w:rsidR="0072714B" w:rsidRPr="0072714B">
        <w:rPr>
          <w:i/>
          <w:sz w:val="24"/>
          <w:szCs w:val="24"/>
        </w:rPr>
        <w:t>D</w:t>
      </w:r>
      <w:r w:rsidR="005524FD" w:rsidRPr="0072714B">
        <w:rPr>
          <w:i/>
          <w:sz w:val="24"/>
          <w:szCs w:val="24"/>
        </w:rPr>
        <w:t>okumentų valdymo sistemos „Kontora 2004“ duomenų mainų modulio sukūrimo paslaugų viešąjį pirkimą</w:t>
      </w:r>
      <w:r w:rsidR="005524FD" w:rsidRPr="0072714B">
        <w:rPr>
          <w:sz w:val="24"/>
          <w:szCs w:val="24"/>
        </w:rPr>
        <w:t xml:space="preserve"> </w:t>
      </w:r>
      <w:r w:rsidR="00D00D41">
        <w:rPr>
          <w:sz w:val="24"/>
          <w:szCs w:val="24"/>
        </w:rPr>
        <w:t xml:space="preserve">atliktų </w:t>
      </w:r>
      <w:bookmarkStart w:id="0" w:name="_GoBack"/>
      <w:bookmarkEnd w:id="0"/>
      <w:r w:rsidRPr="00BB72FA">
        <w:rPr>
          <w:sz w:val="24"/>
          <w:szCs w:val="24"/>
        </w:rPr>
        <w:t>neskelbiamų derybų būdu, vadovaujantis Įstatymo 56 straipsnio 1 dalies 3 punkto nuostatomis</w:t>
      </w:r>
      <w:r>
        <w:rPr>
          <w:sz w:val="24"/>
          <w:szCs w:val="24"/>
        </w:rPr>
        <w:t>, į derybas kviečiant UAB „</w:t>
      </w:r>
      <w:proofErr w:type="spellStart"/>
      <w:r w:rsidR="005524FD">
        <w:rPr>
          <w:sz w:val="24"/>
          <w:szCs w:val="24"/>
        </w:rPr>
        <w:t>Nevda</w:t>
      </w:r>
      <w:proofErr w:type="spellEnd"/>
      <w:r>
        <w:rPr>
          <w:sz w:val="24"/>
          <w:szCs w:val="24"/>
        </w:rPr>
        <w:t>“.</w:t>
      </w:r>
    </w:p>
    <w:p w:rsidR="00D80000" w:rsidRDefault="00D80000" w:rsidP="005524FD">
      <w:pPr>
        <w:ind w:firstLine="851"/>
        <w:jc w:val="both"/>
        <w:rPr>
          <w:sz w:val="24"/>
          <w:szCs w:val="24"/>
        </w:rPr>
      </w:pPr>
    </w:p>
    <w:p w:rsidR="000D4FE0" w:rsidRDefault="000D4FE0" w:rsidP="000D4FE0">
      <w:pPr>
        <w:jc w:val="both"/>
        <w:rPr>
          <w:sz w:val="24"/>
          <w:szCs w:val="24"/>
        </w:rPr>
      </w:pPr>
    </w:p>
    <w:p w:rsidR="000D4FE0" w:rsidRDefault="000D4FE0" w:rsidP="000D4FE0">
      <w:pPr>
        <w:jc w:val="both"/>
        <w:rPr>
          <w:sz w:val="24"/>
          <w:szCs w:val="24"/>
        </w:rPr>
      </w:pPr>
    </w:p>
    <w:p w:rsidR="000D4FE0" w:rsidRDefault="000D4FE0" w:rsidP="000D4FE0">
      <w:pPr>
        <w:jc w:val="both"/>
        <w:rPr>
          <w:sz w:val="24"/>
          <w:szCs w:val="24"/>
        </w:rPr>
      </w:pPr>
      <w:r>
        <w:rPr>
          <w:sz w:val="24"/>
          <w:szCs w:val="24"/>
        </w:rPr>
        <w:t>Direktorius</w:t>
      </w:r>
      <w:r>
        <w:rPr>
          <w:sz w:val="24"/>
          <w:szCs w:val="24"/>
        </w:rPr>
        <w:tab/>
        <w:t xml:space="preserve"> </w:t>
      </w:r>
      <w:r>
        <w:rPr>
          <w:sz w:val="24"/>
          <w:szCs w:val="24"/>
        </w:rPr>
        <w:tab/>
      </w:r>
      <w:r>
        <w:rPr>
          <w:sz w:val="24"/>
          <w:szCs w:val="24"/>
        </w:rPr>
        <w:tab/>
      </w:r>
      <w:r>
        <w:rPr>
          <w:sz w:val="24"/>
          <w:szCs w:val="24"/>
        </w:rPr>
        <w:tab/>
      </w:r>
      <w:r>
        <w:rPr>
          <w:sz w:val="24"/>
          <w:szCs w:val="24"/>
        </w:rPr>
        <w:tab/>
        <w:t xml:space="preserve">Žydrūnas </w:t>
      </w:r>
      <w:proofErr w:type="spellStart"/>
      <w:r>
        <w:rPr>
          <w:sz w:val="24"/>
          <w:szCs w:val="24"/>
        </w:rPr>
        <w:t>Plytnikas</w:t>
      </w:r>
      <w:proofErr w:type="spellEnd"/>
    </w:p>
    <w:p w:rsidR="000D4FE0" w:rsidRPr="00FA2B5D"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1E27D1" w:rsidRDefault="001E27D1" w:rsidP="000D4FE0">
      <w:pPr>
        <w:rPr>
          <w:sz w:val="24"/>
          <w:szCs w:val="24"/>
        </w:rPr>
      </w:pPr>
    </w:p>
    <w:p w:rsidR="001E27D1" w:rsidRDefault="001E27D1" w:rsidP="000D4FE0">
      <w:pPr>
        <w:rPr>
          <w:sz w:val="24"/>
          <w:szCs w:val="24"/>
        </w:rPr>
      </w:pPr>
    </w:p>
    <w:p w:rsidR="001E27D1" w:rsidRDefault="001E27D1"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Default="000D4FE0" w:rsidP="000D4FE0">
      <w:pPr>
        <w:rPr>
          <w:sz w:val="24"/>
          <w:szCs w:val="24"/>
        </w:rPr>
      </w:pPr>
    </w:p>
    <w:p w:rsidR="000D4FE0" w:rsidRPr="00FA2B5D" w:rsidRDefault="000D4FE0" w:rsidP="000D4FE0">
      <w:pPr>
        <w:rPr>
          <w:sz w:val="24"/>
          <w:szCs w:val="24"/>
        </w:rPr>
      </w:pPr>
    </w:p>
    <w:p w:rsidR="000D4FE0" w:rsidRDefault="000D4FE0" w:rsidP="000D4FE0">
      <w:pPr>
        <w:rPr>
          <w:sz w:val="24"/>
          <w:szCs w:val="24"/>
        </w:rPr>
      </w:pPr>
    </w:p>
    <w:p w:rsidR="000D4FE0" w:rsidRDefault="000D4FE0" w:rsidP="000D4FE0">
      <w:pPr>
        <w:jc w:val="both"/>
      </w:pPr>
      <w:r w:rsidRPr="00FA2B5D">
        <w:t xml:space="preserve">Lina Klingienė, tel. (8 5)  219 7050, faks. (8 5)  213 6213, el. p. </w:t>
      </w:r>
      <w:hyperlink r:id="rId9" w:history="1">
        <w:r w:rsidRPr="005B721C">
          <w:rPr>
            <w:rStyle w:val="Hipersaitas"/>
          </w:rPr>
          <w:t>Lina.Klingiene@vpt.lt</w:t>
        </w:r>
      </w:hyperlink>
    </w:p>
    <w:p w:rsidR="005659D1" w:rsidRDefault="005659D1"/>
    <w:sectPr w:rsidR="005659D1" w:rsidSect="004A2498">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C4B" w:rsidRDefault="004B2C4B">
      <w:r>
        <w:separator/>
      </w:r>
    </w:p>
  </w:endnote>
  <w:endnote w:type="continuationSeparator" w:id="0">
    <w:p w:rsidR="004B2C4B" w:rsidRDefault="004B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022558"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022558"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022558"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C4B" w:rsidRDefault="004B2C4B">
      <w:r>
        <w:separator/>
      </w:r>
    </w:p>
  </w:footnote>
  <w:footnote w:type="continuationSeparator" w:id="0">
    <w:p w:rsidR="004B2C4B" w:rsidRDefault="004B2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E0"/>
    <w:rsid w:val="00022558"/>
    <w:rsid w:val="000D4FE0"/>
    <w:rsid w:val="000F3314"/>
    <w:rsid w:val="00164FEB"/>
    <w:rsid w:val="001B497E"/>
    <w:rsid w:val="001E27D1"/>
    <w:rsid w:val="00206C42"/>
    <w:rsid w:val="0031572F"/>
    <w:rsid w:val="0033118E"/>
    <w:rsid w:val="00454F15"/>
    <w:rsid w:val="004A2498"/>
    <w:rsid w:val="004B2C4B"/>
    <w:rsid w:val="00535E8D"/>
    <w:rsid w:val="005524FD"/>
    <w:rsid w:val="005659D1"/>
    <w:rsid w:val="005A3E20"/>
    <w:rsid w:val="00624543"/>
    <w:rsid w:val="0072714B"/>
    <w:rsid w:val="00853276"/>
    <w:rsid w:val="00A641FD"/>
    <w:rsid w:val="00AB6641"/>
    <w:rsid w:val="00C0489D"/>
    <w:rsid w:val="00D00D41"/>
    <w:rsid w:val="00D80000"/>
    <w:rsid w:val="00DF2E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96C45-D166-4A4C-B154-0E4E8BFA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FE0"/>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D4FE0"/>
    <w:pPr>
      <w:keepNext/>
      <w:outlineLvl w:val="0"/>
    </w:pPr>
    <w:rPr>
      <w:b/>
      <w:bCs/>
      <w:sz w:val="32"/>
      <w:szCs w:val="32"/>
    </w:rPr>
  </w:style>
  <w:style w:type="paragraph" w:styleId="Antrat3">
    <w:name w:val="heading 3"/>
    <w:basedOn w:val="prastasis"/>
    <w:next w:val="prastasis"/>
    <w:link w:val="Antrat3Diagrama"/>
    <w:unhideWhenUsed/>
    <w:qFormat/>
    <w:rsid w:val="000D4FE0"/>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D4FE0"/>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0D4FE0"/>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D4FE0"/>
    <w:rPr>
      <w:color w:val="0563C1" w:themeColor="hyperlink"/>
      <w:u w:val="single"/>
    </w:rPr>
  </w:style>
  <w:style w:type="paragraph" w:styleId="Antrats">
    <w:name w:val="header"/>
    <w:basedOn w:val="prastasis"/>
    <w:link w:val="AntratsDiagrama"/>
    <w:uiPriority w:val="99"/>
    <w:unhideWhenUsed/>
    <w:rsid w:val="00D00D41"/>
    <w:pPr>
      <w:tabs>
        <w:tab w:val="center" w:pos="4819"/>
        <w:tab w:val="right" w:pos="9638"/>
      </w:tabs>
    </w:pPr>
  </w:style>
  <w:style w:type="character" w:customStyle="1" w:styleId="AntratsDiagrama">
    <w:name w:val="Antraštės Diagrama"/>
    <w:basedOn w:val="Numatytasispastraiposriftas"/>
    <w:link w:val="Antrats"/>
    <w:uiPriority w:val="99"/>
    <w:rsid w:val="00D00D41"/>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D00D41"/>
    <w:pPr>
      <w:tabs>
        <w:tab w:val="center" w:pos="4819"/>
        <w:tab w:val="right" w:pos="9638"/>
      </w:tabs>
    </w:pPr>
  </w:style>
  <w:style w:type="character" w:customStyle="1" w:styleId="PoratDiagrama">
    <w:name w:val="Poraštė Diagrama"/>
    <w:basedOn w:val="Numatytasispastraiposriftas"/>
    <w:link w:val="Porat"/>
    <w:uiPriority w:val="99"/>
    <w:rsid w:val="00D00D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Lina.Kling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2</Pages>
  <Words>3592</Words>
  <Characters>2048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15</cp:revision>
  <dcterms:created xsi:type="dcterms:W3CDTF">2014-09-17T07:06:00Z</dcterms:created>
  <dcterms:modified xsi:type="dcterms:W3CDTF">2014-10-07T11:44:00Z</dcterms:modified>
</cp:coreProperties>
</file>