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C7133C" w:rsidRPr="00D13D5E" w:rsidRDefault="00C7133C" w:rsidP="00C7133C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D13D5E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67520560" r:id="rId8"/>
        </w:object>
      </w:r>
    </w:p>
    <w:p w:rsidR="00C7133C" w:rsidRPr="00D13D5E" w:rsidRDefault="00C7133C" w:rsidP="00C7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D13D5E" w:rsidRDefault="00C7133C" w:rsidP="00744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13D5E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C7133C" w:rsidRDefault="00C7133C" w:rsidP="00C713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2079" w:rsidRPr="00D13D5E" w:rsidRDefault="00382079" w:rsidP="00C713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08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691"/>
        <w:gridCol w:w="1701"/>
        <w:gridCol w:w="567"/>
        <w:gridCol w:w="2349"/>
      </w:tblGrid>
      <w:tr w:rsidR="00C7133C" w:rsidRPr="00D13D5E" w:rsidTr="00E5608B">
        <w:trPr>
          <w:cantSplit/>
          <w:trHeight w:val="1453"/>
        </w:trPr>
        <w:tc>
          <w:tcPr>
            <w:tcW w:w="5691" w:type="dxa"/>
          </w:tcPr>
          <w:p w:rsidR="001B0C91" w:rsidRPr="00B76A6A" w:rsidRDefault="00DE28F7" w:rsidP="001B0C91">
            <w:pPr>
              <w:spacing w:after="0" w:line="240" w:lineRule="auto"/>
              <w:ind w:left="-87" w:firstLine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VšĮ </w:t>
            </w:r>
            <w:r w:rsidR="007441A3">
              <w:rPr>
                <w:rFonts w:ascii="Times New Roman" w:eastAsia="Times New Roman" w:hAnsi="Times New Roman"/>
                <w:sz w:val="24"/>
                <w:szCs w:val="24"/>
              </w:rPr>
              <w:t>Alytaus profesinio rengimo centrui</w:t>
            </w:r>
          </w:p>
          <w:p w:rsidR="00636D27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Putinų g. 40</w:t>
            </w:r>
          </w:p>
          <w:p w:rsidR="00C7133C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62175 Alytus</w:t>
            </w:r>
          </w:p>
          <w:p w:rsidR="007441A3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441A3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VšĮ Europos socialinio fondo agentūrai</w:t>
            </w:r>
          </w:p>
          <w:p w:rsidR="007441A3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Gynėjų g. 16</w:t>
            </w:r>
          </w:p>
          <w:p w:rsidR="007441A3" w:rsidRPr="00636D27" w:rsidRDefault="007441A3" w:rsidP="001B0C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01109 Vilnius </w:t>
            </w:r>
          </w:p>
          <w:p w:rsidR="00382079" w:rsidRDefault="00382079" w:rsidP="0028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DDC" w:rsidRDefault="00810DDC" w:rsidP="0028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33C" w:rsidRPr="00D13D5E" w:rsidRDefault="00C7133C" w:rsidP="001B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33C" w:rsidRPr="00D13D5E" w:rsidRDefault="00C7133C" w:rsidP="001B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6D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41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133C" w:rsidRDefault="001B0C91" w:rsidP="001B0C9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Į 2014</w:t>
            </w:r>
            <w:r w:rsidR="00C7133C"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6D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41A3">
              <w:rPr>
                <w:rFonts w:ascii="Times New Roman" w:eastAsia="Times New Roman" w:hAnsi="Times New Roman" w:cs="Times New Roman"/>
                <w:sz w:val="24"/>
                <w:szCs w:val="24"/>
              </w:rPr>
              <w:t>6-26</w:t>
            </w:r>
          </w:p>
          <w:p w:rsidR="00EB5EB9" w:rsidRPr="00D13D5E" w:rsidRDefault="00EB5EB9" w:rsidP="001B0C9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2014-07-21</w:t>
            </w:r>
          </w:p>
          <w:p w:rsidR="00C7133C" w:rsidRPr="00D13D5E" w:rsidRDefault="00C7133C" w:rsidP="001B0C9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133C" w:rsidRPr="00D13D5E" w:rsidRDefault="00C7133C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7133C" w:rsidRDefault="00C7133C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EB5EB9" w:rsidRPr="00D13D5E" w:rsidRDefault="00EB5EB9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7133C" w:rsidRPr="00D13D5E" w:rsidRDefault="00C7133C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C7133C" w:rsidRDefault="00C7133C" w:rsidP="001B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636D27" w:rsidRDefault="007441A3" w:rsidP="0074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(1.20</w:t>
            </w:r>
            <w:r w:rsidR="00DE28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)-V9-822</w:t>
            </w:r>
          </w:p>
          <w:p w:rsidR="00EB5EB9" w:rsidRPr="00D13D5E" w:rsidRDefault="00EB5EB9" w:rsidP="0074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(1.20)-V9-945</w:t>
            </w:r>
          </w:p>
        </w:tc>
      </w:tr>
    </w:tbl>
    <w:p w:rsidR="00C7133C" w:rsidRPr="00D13D5E" w:rsidRDefault="00C7133C" w:rsidP="00C71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C7133C" w:rsidRDefault="00C7133C" w:rsidP="00C71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C71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78C" w:rsidRDefault="001B0C91" w:rsidP="00DE2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="00DE28F7">
        <w:rPr>
          <w:rFonts w:ascii="Times New Roman" w:eastAsia="Times New Roman" w:hAnsi="Times New Roman" w:cs="Times New Roman"/>
          <w:b/>
          <w:sz w:val="24"/>
          <w:szCs w:val="20"/>
        </w:rPr>
        <w:t>p</w:t>
      </w:r>
      <w:r w:rsidR="007441A3" w:rsidRPr="007441A3">
        <w:rPr>
          <w:rFonts w:ascii="Times New Roman" w:eastAsia="Times New Roman" w:hAnsi="Times New Roman" w:cs="Times New Roman"/>
          <w:b/>
          <w:sz w:val="24"/>
          <w:szCs w:val="20"/>
        </w:rPr>
        <w:t>rojekto „Inžinerinės pramonės sektorinio praktinio mokymo centro įkūrimas Alytaus PRC“ metalo apdirbimo programinio valdymo laboratorijos įrangos pirkimas</w:t>
      </w:r>
      <w:r w:rsidR="007441A3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</w:t>
      </w:r>
      <w:r w:rsidR="002D1FBD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="00480BB6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FD4643">
        <w:rPr>
          <w:rFonts w:ascii="Times New Roman" w:eastAsia="Times New Roman" w:hAnsi="Times New Roman" w:cs="Times New Roman"/>
          <w:sz w:val="24"/>
          <w:szCs w:val="20"/>
        </w:rPr>
        <w:t>M</w:t>
      </w:r>
      <w:r w:rsidR="00FD4643" w:rsidRPr="00FD4643">
        <w:rPr>
          <w:rFonts w:ascii="Times New Roman" w:eastAsia="Times New Roman" w:hAnsi="Times New Roman" w:cs="Times New Roman"/>
          <w:sz w:val="24"/>
          <w:szCs w:val="20"/>
        </w:rPr>
        <w:t>etalo apdirbimo programinio valdymo laboratorijos įrang</w:t>
      </w:r>
      <w:r w:rsidR="00FD4643">
        <w:rPr>
          <w:rFonts w:ascii="Times New Roman" w:eastAsia="Times New Roman" w:hAnsi="Times New Roman" w:cs="Times New Roman"/>
          <w:sz w:val="24"/>
          <w:szCs w:val="20"/>
        </w:rPr>
        <w:t>a“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0BB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FD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balandžio 2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d. Centrinėje viešųjų pirkimų informacinėje sistemoje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80BB6">
        <w:rPr>
          <w:rFonts w:ascii="Times New Roman" w:eastAsia="Times New Roman" w:hAnsi="Times New Roman" w:cs="Times New Roman"/>
          <w:color w:val="000000"/>
          <w:sz w:val="24"/>
          <w:szCs w:val="24"/>
        </w:rPr>
        <w:t>pirkimo Nr. 1</w:t>
      </w:r>
      <w:r w:rsidR="00FD4643">
        <w:rPr>
          <w:rFonts w:ascii="Times New Roman" w:eastAsia="Times New Roman" w:hAnsi="Times New Roman" w:cs="Times New Roman"/>
          <w:color w:val="000000"/>
          <w:sz w:val="24"/>
          <w:szCs w:val="24"/>
        </w:rPr>
        <w:t>49731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BB6">
        <w:rPr>
          <w:rFonts w:ascii="Times New Roman" w:eastAsia="Times New Roman" w:hAnsi="Times New Roman" w:cs="Times New Roman"/>
          <w:sz w:val="24"/>
          <w:szCs w:val="24"/>
        </w:rPr>
        <w:t xml:space="preserve">tiekėjų, </w:t>
      </w:r>
      <w:r w:rsidR="00CD478C">
        <w:rPr>
          <w:rFonts w:ascii="Times New Roman" w:eastAsia="Times New Roman" w:hAnsi="Times New Roman" w:cs="Times New Roman"/>
          <w:sz w:val="24"/>
          <w:szCs w:val="24"/>
        </w:rPr>
        <w:t>dalyvavusių Pirkime, pasiūlymai buvo atmesti.</w:t>
      </w:r>
    </w:p>
    <w:p w:rsidR="00DE28F7" w:rsidRPr="00CB7D22" w:rsidRDefault="00480BB6" w:rsidP="00CB7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CB7D22">
        <w:rPr>
          <w:rFonts w:ascii="Times New Roman" w:eastAsia="Times New Roman" w:hAnsi="Times New Roman" w:cs="Times New Roman"/>
          <w:sz w:val="24"/>
          <w:szCs w:val="24"/>
        </w:rPr>
        <w:t xml:space="preserve">VšĮ Alytaus profesinio rengimo centro (toliau – </w:t>
      </w:r>
      <w:r w:rsidR="00C7133C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133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 w:rsidR="00CB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="00C7133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 w:rsidR="00CB7D22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rašyme nurodytų aplinkybių bei jas pagrindžiančių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nustatyta, kad</w:t>
      </w:r>
      <w:r w:rsidR="00C7133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pasiūlymus pateikė 3 tiekėjai: UAB „</w:t>
      </w:r>
      <w:proofErr w:type="spellStart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Atomeksim</w:t>
      </w:r>
      <w:proofErr w:type="spellEnd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“, UAB „</w:t>
      </w:r>
      <w:proofErr w:type="spellStart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Asela</w:t>
      </w:r>
      <w:proofErr w:type="spellEnd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„FESTO“. Tiekėjo UAB „</w:t>
      </w:r>
      <w:proofErr w:type="spellStart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Atomeksim</w:t>
      </w:r>
      <w:proofErr w:type="spellEnd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“ pasiūlymas buvo atmestas kaip neatitinkantis techninės specifikacijos reikalavimų</w:t>
      </w:r>
      <w:r w:rsidR="004A3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A14A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4A3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iešojo pirkimo komisijos 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 m. birželio 13 d. </w:t>
      </w:r>
      <w:r w:rsidR="004A3F97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protokolas Nr. (1.20.)-V11-405)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 w:rsidR="00B13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tiekėjų </w:t>
      </w:r>
      <w:r w:rsidR="00C221CD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Asela</w:t>
      </w:r>
      <w:proofErr w:type="spellEnd"/>
      <w:r w:rsidR="00C221C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</w:t>
      </w:r>
      <w:r w:rsidR="00C221CD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FESTO</w:t>
      </w:r>
      <w:r w:rsidR="00C221C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31CA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</w:t>
      </w:r>
      <w:r w:rsidR="00810DD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dėl per didel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Perkančiajai organizacijai nepriimtin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kain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205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525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A14A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iešojo pirkimo komisijos </w:t>
      </w:r>
      <w:r w:rsidR="00205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 m. birželio 23 d. </w:t>
      </w:r>
      <w:r w:rsidR="004A3F97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protokolas Nr. 411-(1.20.)-V11)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. Apsvarsčius t</w:t>
      </w:r>
      <w:r w:rsidR="00EA576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lesnę Pirkimo eigą, buvo nu</w:t>
      </w:r>
      <w:r w:rsidR="00EA5766">
        <w:rPr>
          <w:rFonts w:ascii="Times New Roman" w:eastAsia="Times New Roman" w:hAnsi="Times New Roman" w:cs="Times New Roman"/>
          <w:sz w:val="24"/>
          <w:szCs w:val="24"/>
        </w:rPr>
        <w:t>spr</w:t>
      </w:r>
      <w:r w:rsidR="00DE28F7">
        <w:rPr>
          <w:rFonts w:ascii="Times New Roman" w:eastAsia="Times New Roman" w:hAnsi="Times New Roman" w:cs="Times New Roman"/>
          <w:sz w:val="24"/>
          <w:szCs w:val="24"/>
        </w:rPr>
        <w:t>ęsta</w:t>
      </w:r>
      <w:r w:rsidR="0058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E34">
        <w:rPr>
          <w:rFonts w:ascii="Times New Roman" w:eastAsia="Times New Roman" w:hAnsi="Times New Roman" w:cs="Times New Roman"/>
          <w:sz w:val="24"/>
          <w:szCs w:val="24"/>
        </w:rPr>
        <w:t>kreip</w:t>
      </w:r>
      <w:r w:rsidR="005C72C3">
        <w:rPr>
          <w:rFonts w:ascii="Times New Roman" w:eastAsia="Times New Roman" w:hAnsi="Times New Roman" w:cs="Times New Roman"/>
          <w:sz w:val="24"/>
          <w:szCs w:val="24"/>
        </w:rPr>
        <w:t>tis į Tarnybą sutikimo dėl</w:t>
      </w:r>
      <w:r w:rsidR="0058034D" w:rsidRPr="00726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8F7">
        <w:rPr>
          <w:rFonts w:ascii="Times New Roman" w:eastAsia="Times New Roman" w:hAnsi="Times New Roman" w:cs="Times New Roman"/>
          <w:b/>
          <w:sz w:val="24"/>
          <w:szCs w:val="20"/>
        </w:rPr>
        <w:t>p</w:t>
      </w:r>
      <w:r w:rsidR="00DE28F7" w:rsidRPr="007441A3">
        <w:rPr>
          <w:rFonts w:ascii="Times New Roman" w:eastAsia="Times New Roman" w:hAnsi="Times New Roman" w:cs="Times New Roman"/>
          <w:b/>
          <w:sz w:val="24"/>
          <w:szCs w:val="20"/>
        </w:rPr>
        <w:t>rojekto „Inžinerinės pramonės sektorinio praktinio mokymo centro įkūrimas Alytaus PRC“ metalo apdirbimo programinio valdymo laboratorijos įrangos pirkim</w:t>
      </w:r>
      <w:r w:rsidR="00DE28F7">
        <w:rPr>
          <w:rFonts w:ascii="Times New Roman" w:eastAsia="Times New Roman" w:hAnsi="Times New Roman" w:cs="Times New Roman"/>
          <w:b/>
          <w:sz w:val="24"/>
          <w:szCs w:val="20"/>
        </w:rPr>
        <w:t>o</w:t>
      </w:r>
      <w:r w:rsidR="00DE28F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5C72C3">
        <w:rPr>
          <w:rFonts w:ascii="Times New Roman" w:eastAsia="Times New Roman" w:hAnsi="Times New Roman" w:cs="Times New Roman"/>
          <w:sz w:val="24"/>
          <w:szCs w:val="20"/>
        </w:rPr>
        <w:t xml:space="preserve">vykdymo </w:t>
      </w:r>
      <w:r w:rsidR="0058034D" w:rsidRPr="0072646A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</w:t>
      </w:r>
      <w:r w:rsidR="0058034D">
        <w:rPr>
          <w:rFonts w:ascii="Times New Roman" w:eastAsia="Times New Roman" w:hAnsi="Times New Roman" w:cs="Times New Roman"/>
          <w:sz w:val="24"/>
          <w:szCs w:val="24"/>
        </w:rPr>
        <w:t>o 1 dalies</w:t>
      </w:r>
      <w:r w:rsidR="00CB7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34D">
        <w:rPr>
          <w:rFonts w:ascii="Times New Roman" w:eastAsia="Times New Roman" w:hAnsi="Times New Roman" w:cs="Times New Roman"/>
          <w:sz w:val="24"/>
          <w:szCs w:val="24"/>
        </w:rPr>
        <w:t xml:space="preserve">1 punkto </w:t>
      </w:r>
      <w:r w:rsidR="0058034D" w:rsidRPr="007B2E34">
        <w:rPr>
          <w:rFonts w:ascii="Times New Roman" w:eastAsia="Times New Roman" w:hAnsi="Times New Roman" w:cs="Times New Roman"/>
          <w:sz w:val="24"/>
          <w:szCs w:val="24"/>
        </w:rPr>
        <w:t>nuostatomis</w:t>
      </w:r>
      <w:r w:rsidR="007B2E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E34" w:rsidRPr="007B2E34">
        <w:rPr>
          <w:rFonts w:ascii="Times New Roman" w:hAnsi="Times New Roman" w:cs="Times New Roman"/>
          <w:sz w:val="24"/>
          <w:szCs w:val="24"/>
        </w:rPr>
        <w:t xml:space="preserve"> t. y.</w:t>
      </w:r>
      <w:r w:rsidR="00810DDC">
        <w:rPr>
          <w:rFonts w:ascii="Times New Roman" w:hAnsi="Times New Roman" w:cs="Times New Roman"/>
          <w:sz w:val="24"/>
          <w:szCs w:val="24"/>
        </w:rPr>
        <w:t xml:space="preserve"> iš esmės </w:t>
      </w:r>
      <w:r w:rsidR="007B2E34">
        <w:rPr>
          <w:rFonts w:ascii="Times New Roman" w:hAnsi="Times New Roman" w:cs="Times New Roman"/>
          <w:sz w:val="24"/>
          <w:szCs w:val="24"/>
        </w:rPr>
        <w:t xml:space="preserve">nekeičiant </w:t>
      </w:r>
      <w:r w:rsidR="00DE28F7">
        <w:rPr>
          <w:rFonts w:ascii="Times New Roman" w:hAnsi="Times New Roman" w:cs="Times New Roman"/>
          <w:sz w:val="24"/>
          <w:szCs w:val="24"/>
        </w:rPr>
        <w:t>P</w:t>
      </w:r>
      <w:r w:rsidR="007B2E34">
        <w:rPr>
          <w:rFonts w:ascii="Times New Roman" w:hAnsi="Times New Roman" w:cs="Times New Roman"/>
          <w:sz w:val="24"/>
          <w:szCs w:val="24"/>
        </w:rPr>
        <w:t xml:space="preserve">irkimo sąlygų </w:t>
      </w:r>
      <w:r w:rsidR="00810DDC">
        <w:rPr>
          <w:rFonts w:ascii="Times New Roman" w:hAnsi="Times New Roman" w:cs="Times New Roman"/>
          <w:sz w:val="24"/>
          <w:szCs w:val="24"/>
        </w:rPr>
        <w:t xml:space="preserve">ir </w:t>
      </w:r>
      <w:r w:rsidR="007B2E34" w:rsidRPr="007B2E34">
        <w:rPr>
          <w:rFonts w:ascii="Times New Roman" w:hAnsi="Times New Roman" w:cs="Times New Roman"/>
          <w:sz w:val="24"/>
          <w:szCs w:val="24"/>
        </w:rPr>
        <w:t>į derybas kviečiant nustatytus kvalifikacinius ir pasiūlymų pateikimo reikalavimus atitikusius tiekėjus</w:t>
      </w:r>
      <w:r w:rsidR="00CB7D22"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 w:rsidR="00CB7D22">
        <w:rPr>
          <w:rFonts w:ascii="Times New Roman" w:hAnsi="Times New Roman" w:cs="Times New Roman"/>
          <w:sz w:val="24"/>
          <w:szCs w:val="24"/>
        </w:rPr>
        <w:t>Asela</w:t>
      </w:r>
      <w:proofErr w:type="spellEnd"/>
      <w:r w:rsidR="00CB7D22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CB7D22">
        <w:rPr>
          <w:rFonts w:ascii="Times New Roman" w:hAnsi="Times New Roman" w:cs="Times New Roman"/>
          <w:sz w:val="24"/>
          <w:szCs w:val="24"/>
        </w:rPr>
        <w:t>Atomeksim</w:t>
      </w:r>
      <w:proofErr w:type="spellEnd"/>
      <w:r w:rsidR="00CB7D22">
        <w:rPr>
          <w:rFonts w:ascii="Times New Roman" w:hAnsi="Times New Roman" w:cs="Times New Roman"/>
          <w:sz w:val="24"/>
          <w:szCs w:val="24"/>
        </w:rPr>
        <w:t>“ ir UAB „FESTO“</w:t>
      </w:r>
      <w:r w:rsidR="00CB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A14A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bookmarkStart w:id="1" w:name="_GoBack"/>
      <w:bookmarkEnd w:id="1"/>
      <w:r w:rsidR="00810DDC">
        <w:rPr>
          <w:rFonts w:ascii="Times New Roman" w:eastAsia="Times New Roman" w:hAnsi="Times New Roman" w:cs="Times New Roman"/>
          <w:color w:val="000000"/>
          <w:sz w:val="24"/>
          <w:szCs w:val="24"/>
        </w:rPr>
        <w:t>iešojo pirkimo k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omisijos </w:t>
      </w:r>
      <w:r w:rsidR="007D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 m. birželio 26 d. </w:t>
      </w:r>
      <w:r w:rsidR="00DE28F7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protokolas Nr. (1.20.)-V11-418)</w:t>
      </w:r>
      <w:r w:rsidR="00CB7D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B1A" w:rsidRDefault="00921717" w:rsidP="00DE2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1 punktas numato: 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 organizacijos nustatytus minimalius kvalifikacijos ir pasiūlymo pateikimo reikalavimus“.</w:t>
      </w:r>
    </w:p>
    <w:p w:rsidR="00323B1A" w:rsidRDefault="00921717" w:rsidP="00CB7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</w:t>
      </w:r>
      <w:r w:rsidR="007D311D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, nustatyt</w:t>
      </w:r>
      <w:r w:rsidR="007D311D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Įstatymo </w:t>
      </w:r>
      <w:r w:rsidR="005C72C3">
        <w:rPr>
          <w:rFonts w:ascii="Times New Roman" w:eastAsia="Times New Roman" w:hAnsi="Times New Roman" w:cs="Times New Roman"/>
          <w:sz w:val="24"/>
          <w:szCs w:val="24"/>
        </w:rPr>
        <w:t>56 straipsnio 1 dalies 1 punkte, todėl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Tarnyba, vadov</w:t>
      </w:r>
      <w:r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>audamasi Įstatymo</w:t>
      </w:r>
      <w:r w:rsidR="00810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810DDC">
        <w:rPr>
          <w:rFonts w:ascii="Times New Roman" w:eastAsia="Times New Roman" w:hAnsi="Times New Roman" w:cs="Times New Roman"/>
          <w:sz w:val="24"/>
          <w:szCs w:val="24"/>
        </w:rPr>
        <w:t xml:space="preserve">VšĮ Alytaus profesinio rengimo </w:t>
      </w:r>
      <w:r w:rsidR="00810D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centras </w:t>
      </w:r>
      <w:r w:rsidR="00810DDC">
        <w:rPr>
          <w:rFonts w:ascii="Times New Roman" w:eastAsia="Times New Roman" w:hAnsi="Times New Roman" w:cs="Times New Roman"/>
          <w:b/>
          <w:sz w:val="24"/>
          <w:szCs w:val="20"/>
        </w:rPr>
        <w:t>p</w:t>
      </w:r>
      <w:r w:rsidR="00810DDC" w:rsidRPr="007441A3">
        <w:rPr>
          <w:rFonts w:ascii="Times New Roman" w:eastAsia="Times New Roman" w:hAnsi="Times New Roman" w:cs="Times New Roman"/>
          <w:b/>
          <w:sz w:val="24"/>
          <w:szCs w:val="20"/>
        </w:rPr>
        <w:t>rojekto „Inžinerinės pramonės sektorinio praktinio mokymo centro įkūrimas Alytaus PRC“ metalo apdirbimo programinio valdymo laboratorijos įra</w:t>
      </w:r>
      <w:r w:rsidR="00810DDC">
        <w:rPr>
          <w:rFonts w:ascii="Times New Roman" w:eastAsia="Times New Roman" w:hAnsi="Times New Roman" w:cs="Times New Roman"/>
          <w:b/>
          <w:sz w:val="24"/>
          <w:szCs w:val="20"/>
        </w:rPr>
        <w:t>ngos pirkimą</w:t>
      </w:r>
      <w:r w:rsidR="004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1" w:rsidRPr="00D13D5E">
        <w:rPr>
          <w:rFonts w:ascii="Times New Roman" w:eastAsia="Times New Roman" w:hAnsi="Times New Roman" w:cs="Times New Roman"/>
          <w:sz w:val="24"/>
          <w:szCs w:val="20"/>
        </w:rPr>
        <w:t>vykd</w:t>
      </w:r>
      <w:r w:rsidR="008319C1">
        <w:rPr>
          <w:rFonts w:ascii="Times New Roman" w:eastAsia="Times New Roman" w:hAnsi="Times New Roman" w:cs="Times New Roman"/>
          <w:sz w:val="24"/>
          <w:szCs w:val="20"/>
        </w:rPr>
        <w:t>ytų</w:t>
      </w:r>
      <w:r w:rsidR="008319C1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319C1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 w:rsidR="00AB53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1717" w:rsidRPr="00921717" w:rsidRDefault="00921717" w:rsidP="00CB7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Pažymėtina, kad Tarnyba, nagrinėdama perkanči</w:t>
      </w:r>
      <w:r w:rsidR="007E5451"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 w:rsidR="007E5451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prašymus dėl sutikimų vykdyti neskelbiamas derybas, neatlieka pirkimo dokumentų ir vykdytų procedūrų vertinimo, t. y. vertina </w:t>
      </w:r>
      <w:r w:rsidR="007D311D"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tai, ar perkančiosios organizacijos pateikti dokumentai pagrindžia, kad yra Įstatymo </w:t>
      </w:r>
      <w:r w:rsidR="007D311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56 straipsnio atitinkamoje dalyje ir punkte nurodytas pagrindas vykdyti pirkimą apie jį neskelbiant.</w:t>
      </w:r>
    </w:p>
    <w:p w:rsidR="0058034D" w:rsidRDefault="0058034D" w:rsidP="00DE2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D13D5E" w:rsidRDefault="00C7133C" w:rsidP="00C713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4836"/>
      </w:tblGrid>
      <w:tr w:rsidR="009304A6" w:rsidRPr="00F83FAC" w:rsidTr="000E2F9B">
        <w:tc>
          <w:tcPr>
            <w:tcW w:w="4839" w:type="dxa"/>
          </w:tcPr>
          <w:p w:rsidR="009304A6" w:rsidRDefault="009304A6" w:rsidP="0030240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FAC">
              <w:rPr>
                <w:rFonts w:ascii="Times New Roman" w:hAnsi="Times New Roman"/>
                <w:sz w:val="24"/>
                <w:szCs w:val="24"/>
              </w:rPr>
              <w:t>Direktori</w:t>
            </w:r>
            <w:r w:rsidR="0030240C">
              <w:rPr>
                <w:rFonts w:ascii="Times New Roman" w:hAnsi="Times New Roman"/>
                <w:sz w:val="24"/>
                <w:szCs w:val="24"/>
              </w:rPr>
              <w:t>a</w:t>
            </w:r>
            <w:r w:rsidRPr="00F83FAC">
              <w:rPr>
                <w:rFonts w:ascii="Times New Roman" w:hAnsi="Times New Roman"/>
                <w:sz w:val="24"/>
                <w:szCs w:val="24"/>
              </w:rPr>
              <w:t>us</w:t>
            </w:r>
            <w:r w:rsidR="0030240C">
              <w:rPr>
                <w:rFonts w:ascii="Times New Roman" w:hAnsi="Times New Roman"/>
                <w:sz w:val="24"/>
                <w:szCs w:val="24"/>
              </w:rPr>
              <w:t xml:space="preserve"> pavaduotoja,</w:t>
            </w:r>
          </w:p>
          <w:p w:rsidR="0030240C" w:rsidRDefault="0030240C" w:rsidP="0030240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laikinai atliekanti direktoriaus funkcijas</w:t>
            </w:r>
          </w:p>
          <w:p w:rsidR="0030240C" w:rsidRPr="00F83FAC" w:rsidRDefault="0030240C" w:rsidP="000E2F9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9304A6" w:rsidRPr="00F83FAC" w:rsidRDefault="0030240C" w:rsidP="000E2F9B">
            <w:pPr>
              <w:tabs>
                <w:tab w:val="left" w:pos="9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Jurgelevičienė</w:t>
            </w:r>
            <w:proofErr w:type="spellEnd"/>
          </w:p>
        </w:tc>
      </w:tr>
    </w:tbl>
    <w:p w:rsidR="0087479B" w:rsidRPr="0087479B" w:rsidRDefault="0087479B" w:rsidP="008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79B" w:rsidRPr="0087479B" w:rsidRDefault="0087479B" w:rsidP="008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D13D5E" w:rsidRDefault="00C7133C" w:rsidP="00C71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33C" w:rsidRPr="00D13D5E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Pr="00D13D5E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Pr="00D13D5E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133C" w:rsidRDefault="00C7133C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04A6" w:rsidRDefault="009304A6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04A6" w:rsidRDefault="009304A6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04A6" w:rsidRDefault="009304A6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04A6" w:rsidRPr="00810DDC" w:rsidRDefault="009304A6" w:rsidP="00C71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DDC" w:rsidRDefault="00810DDC" w:rsidP="00810DDC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1D" w:rsidRDefault="007D311D" w:rsidP="004A3F97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4A6" w:rsidRDefault="00810DDC" w:rsidP="004A3F97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</w:rPr>
      </w:pPr>
      <w:r w:rsidRPr="00810DDC">
        <w:rPr>
          <w:rFonts w:ascii="Times New Roman" w:eastAsia="Times New Roman" w:hAnsi="Times New Roman" w:cs="Times New Roman"/>
          <w:sz w:val="24"/>
          <w:szCs w:val="24"/>
        </w:rPr>
        <w:t xml:space="preserve">H. Šileikė, tel. (8 5)  219 7034, faks. (8 5)  213 6213, el. p. </w:t>
      </w:r>
      <w:hyperlink r:id="rId9" w:history="1">
        <w:r w:rsidRPr="00810DDC">
          <w:rPr>
            <w:rFonts w:ascii="Times New Roman" w:eastAsia="Times New Roman" w:hAnsi="Times New Roman" w:cs="Times New Roman"/>
            <w:sz w:val="24"/>
            <w:szCs w:val="24"/>
          </w:rPr>
          <w:t>Henrika.Sileike@vpt.lt</w:t>
        </w:r>
      </w:hyperlink>
    </w:p>
    <w:sectPr w:rsidR="009304A6" w:rsidSect="00344983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E1" w:rsidRDefault="009704E1">
      <w:pPr>
        <w:spacing w:after="0" w:line="240" w:lineRule="auto"/>
      </w:pPr>
      <w:r>
        <w:separator/>
      </w:r>
    </w:p>
  </w:endnote>
  <w:endnote w:type="continuationSeparator" w:id="0">
    <w:p w:rsidR="009704E1" w:rsidRDefault="0097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Porat"/>
    </w:pPr>
  </w:p>
  <w:p w:rsidR="009704E1" w:rsidRDefault="009704E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Pr="00462DAC" w:rsidRDefault="009704E1" w:rsidP="001B0C9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219 7001                                Duomenys kaupiami ir saugomi                            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213 6213                               Juridinių asmenų registre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E1" w:rsidRDefault="009704E1">
      <w:pPr>
        <w:spacing w:after="0" w:line="240" w:lineRule="auto"/>
      </w:pPr>
      <w:r>
        <w:separator/>
      </w:r>
    </w:p>
  </w:footnote>
  <w:footnote w:type="continuationSeparator" w:id="0">
    <w:p w:rsidR="009704E1" w:rsidRDefault="0097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14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3C"/>
    <w:rsid w:val="00046C15"/>
    <w:rsid w:val="00086955"/>
    <w:rsid w:val="000C3AE0"/>
    <w:rsid w:val="000D538D"/>
    <w:rsid w:val="000F7AD1"/>
    <w:rsid w:val="00160834"/>
    <w:rsid w:val="001B0C91"/>
    <w:rsid w:val="0020525A"/>
    <w:rsid w:val="0028454C"/>
    <w:rsid w:val="002D1FBD"/>
    <w:rsid w:val="0030240C"/>
    <w:rsid w:val="00323B1A"/>
    <w:rsid w:val="00344983"/>
    <w:rsid w:val="00382079"/>
    <w:rsid w:val="003A14A5"/>
    <w:rsid w:val="003C0DAB"/>
    <w:rsid w:val="003E7FA0"/>
    <w:rsid w:val="00480BB6"/>
    <w:rsid w:val="004A3F97"/>
    <w:rsid w:val="004A7DD5"/>
    <w:rsid w:val="004C5BCE"/>
    <w:rsid w:val="00566247"/>
    <w:rsid w:val="0058034D"/>
    <w:rsid w:val="00592042"/>
    <w:rsid w:val="005B1740"/>
    <w:rsid w:val="005C0EFD"/>
    <w:rsid w:val="005C5B59"/>
    <w:rsid w:val="005C72C3"/>
    <w:rsid w:val="005E7899"/>
    <w:rsid w:val="00616CFD"/>
    <w:rsid w:val="00636D27"/>
    <w:rsid w:val="00667F52"/>
    <w:rsid w:val="006C60CF"/>
    <w:rsid w:val="007441A3"/>
    <w:rsid w:val="007B2E34"/>
    <w:rsid w:val="007D311D"/>
    <w:rsid w:val="007E5451"/>
    <w:rsid w:val="007F764D"/>
    <w:rsid w:val="00810DDC"/>
    <w:rsid w:val="008319C1"/>
    <w:rsid w:val="0086596B"/>
    <w:rsid w:val="0087479B"/>
    <w:rsid w:val="00921717"/>
    <w:rsid w:val="009304A6"/>
    <w:rsid w:val="009704E1"/>
    <w:rsid w:val="00AB309B"/>
    <w:rsid w:val="00AB5363"/>
    <w:rsid w:val="00AF6DF8"/>
    <w:rsid w:val="00B131CA"/>
    <w:rsid w:val="00BB0252"/>
    <w:rsid w:val="00BD6C3B"/>
    <w:rsid w:val="00BE5E5E"/>
    <w:rsid w:val="00C204AB"/>
    <w:rsid w:val="00C221CD"/>
    <w:rsid w:val="00C7133C"/>
    <w:rsid w:val="00C74865"/>
    <w:rsid w:val="00CB3477"/>
    <w:rsid w:val="00CB7D22"/>
    <w:rsid w:val="00CD478C"/>
    <w:rsid w:val="00DD554E"/>
    <w:rsid w:val="00DE28F7"/>
    <w:rsid w:val="00E32C8A"/>
    <w:rsid w:val="00E5608B"/>
    <w:rsid w:val="00EA5766"/>
    <w:rsid w:val="00EB50AC"/>
    <w:rsid w:val="00EB5EB9"/>
    <w:rsid w:val="00EF3936"/>
    <w:rsid w:val="00F053B4"/>
    <w:rsid w:val="00FB49B4"/>
    <w:rsid w:val="00FD3919"/>
    <w:rsid w:val="00FD4643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D5EE81-49F3-40B1-B29B-49913EE8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13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33C"/>
  </w:style>
  <w:style w:type="paragraph" w:styleId="Porat">
    <w:name w:val="footer"/>
    <w:basedOn w:val="prastasis"/>
    <w:link w:val="Porat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133C"/>
  </w:style>
  <w:style w:type="character" w:styleId="Puslapionumeris">
    <w:name w:val="page number"/>
    <w:basedOn w:val="Numatytasispastraiposriftas"/>
    <w:rsid w:val="00C7133C"/>
  </w:style>
  <w:style w:type="character" w:styleId="Hipersaitas">
    <w:name w:val="Hyperlink"/>
    <w:rsid w:val="009304A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nrika.Sileike@vp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5738-BF1F-4439-B843-33F8E21F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Henrika Šileikė</cp:lastModifiedBy>
  <cp:revision>15</cp:revision>
  <cp:lastPrinted>2014-02-25T11:57:00Z</cp:lastPrinted>
  <dcterms:created xsi:type="dcterms:W3CDTF">2014-07-16T10:23:00Z</dcterms:created>
  <dcterms:modified xsi:type="dcterms:W3CDTF">2014-07-22T04:50:00Z</dcterms:modified>
</cp:coreProperties>
</file>