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79" w:rsidRPr="005C417E" w:rsidRDefault="002C0379" w:rsidP="002C0379">
      <w:pPr>
        <w:pStyle w:val="Antrat1"/>
        <w:jc w:val="center"/>
        <w:rPr>
          <w:rFonts w:ascii="CG Times" w:hAnsi="CG Times"/>
          <w:sz w:val="20"/>
          <w:szCs w:val="20"/>
        </w:rPr>
      </w:pPr>
    </w:p>
    <w:bookmarkStart w:id="0" w:name="_MON_1051956295"/>
    <w:bookmarkEnd w:id="0"/>
    <w:p w:rsidR="002C0379" w:rsidRDefault="002C0379" w:rsidP="002C0379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2063028" r:id="rId8"/>
        </w:object>
      </w:r>
    </w:p>
    <w:p w:rsidR="002C0379" w:rsidRDefault="002C0379" w:rsidP="002C0379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2C0379" w:rsidRDefault="002C0379" w:rsidP="002C0379">
      <w:pPr>
        <w:rPr>
          <w:sz w:val="24"/>
          <w:szCs w:val="24"/>
        </w:rPr>
      </w:pPr>
    </w:p>
    <w:p w:rsidR="002C0379" w:rsidRPr="00CE41EF" w:rsidRDefault="002C0379" w:rsidP="002C0379">
      <w:pPr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6321"/>
        <w:gridCol w:w="1620"/>
        <w:gridCol w:w="540"/>
        <w:gridCol w:w="1260"/>
      </w:tblGrid>
      <w:tr w:rsidR="002C0379" w:rsidRPr="00CE41EF" w:rsidTr="0008352E">
        <w:trPr>
          <w:cantSplit/>
          <w:trHeight w:val="1453"/>
        </w:trPr>
        <w:tc>
          <w:tcPr>
            <w:tcW w:w="6321" w:type="dxa"/>
          </w:tcPr>
          <w:p w:rsidR="002C0379" w:rsidRPr="00CE41EF" w:rsidRDefault="002C0379" w:rsidP="0008352E">
            <w:pPr>
              <w:rPr>
                <w:sz w:val="24"/>
                <w:szCs w:val="24"/>
              </w:rPr>
            </w:pPr>
            <w:proofErr w:type="spellStart"/>
            <w:r w:rsidRPr="00CE41EF">
              <w:rPr>
                <w:sz w:val="24"/>
                <w:szCs w:val="24"/>
              </w:rPr>
              <w:t>VšĮ</w:t>
            </w:r>
            <w:proofErr w:type="spellEnd"/>
            <w:r w:rsidRPr="00CE41EF">
              <w:rPr>
                <w:sz w:val="24"/>
                <w:szCs w:val="24"/>
              </w:rPr>
              <w:t xml:space="preserve"> „Perspektyvinių technologijų taikomųjų tyrimų institutas“</w:t>
            </w:r>
          </w:p>
          <w:p w:rsidR="002C0379" w:rsidRPr="00CE41EF" w:rsidRDefault="002C0379" w:rsidP="0008352E">
            <w:pPr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>Saulėtekio al. 15</w:t>
            </w:r>
          </w:p>
          <w:p w:rsidR="002C0379" w:rsidRDefault="002C0379" w:rsidP="0008352E">
            <w:pPr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 xml:space="preserve">LT-10224 Vilnius </w:t>
            </w:r>
          </w:p>
          <w:p w:rsidR="00AA5911" w:rsidRDefault="00AA5911" w:rsidP="0008352E">
            <w:pPr>
              <w:rPr>
                <w:sz w:val="24"/>
                <w:szCs w:val="24"/>
              </w:rPr>
            </w:pPr>
          </w:p>
          <w:p w:rsidR="00AA5911" w:rsidRDefault="00AA5911" w:rsidP="00AA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Viešajai įstaigai Lietuvos verslo paramos agentūrai</w:t>
            </w:r>
          </w:p>
          <w:p w:rsidR="00AA5911" w:rsidRPr="00CE41EF" w:rsidRDefault="00AA5911" w:rsidP="00AA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Savanorių pr. 28</w:t>
            </w:r>
          </w:p>
          <w:p w:rsidR="00AA5911" w:rsidRDefault="00AA5911" w:rsidP="00AA5911">
            <w:pPr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>LT-</w:t>
            </w:r>
            <w:r>
              <w:rPr>
                <w:sz w:val="24"/>
                <w:szCs w:val="24"/>
              </w:rPr>
              <w:t>03116</w:t>
            </w:r>
            <w:r w:rsidRPr="00CE41EF">
              <w:rPr>
                <w:sz w:val="24"/>
                <w:szCs w:val="24"/>
              </w:rPr>
              <w:t xml:space="preserve"> Vilnius </w:t>
            </w:r>
          </w:p>
          <w:p w:rsidR="00AA5911" w:rsidRPr="00CE41EF" w:rsidRDefault="00AA5911" w:rsidP="0008352E">
            <w:pPr>
              <w:rPr>
                <w:sz w:val="24"/>
                <w:szCs w:val="24"/>
              </w:rPr>
            </w:pPr>
          </w:p>
          <w:p w:rsidR="002C0379" w:rsidRPr="00CE41EF" w:rsidRDefault="002C0379" w:rsidP="0008352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2C0379" w:rsidRPr="00CE41EF" w:rsidRDefault="002C0379" w:rsidP="0008352E">
            <w:pPr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 xml:space="preserve">  </w:t>
            </w:r>
            <w:r w:rsidR="00AA5911">
              <w:rPr>
                <w:sz w:val="24"/>
                <w:szCs w:val="24"/>
              </w:rPr>
              <w:t xml:space="preserve"> </w:t>
            </w:r>
            <w:r w:rsidRPr="00CE41EF">
              <w:rPr>
                <w:sz w:val="24"/>
                <w:szCs w:val="24"/>
              </w:rPr>
              <w:t>2013-</w:t>
            </w:r>
            <w:r w:rsidR="00AA5911">
              <w:rPr>
                <w:sz w:val="24"/>
                <w:szCs w:val="24"/>
              </w:rPr>
              <w:t>09</w:t>
            </w:r>
            <w:r w:rsidRPr="00CE41EF">
              <w:rPr>
                <w:sz w:val="24"/>
                <w:szCs w:val="24"/>
              </w:rPr>
              <w:t>-</w:t>
            </w:r>
          </w:p>
          <w:p w:rsidR="002C0379" w:rsidRPr="00CE41EF" w:rsidRDefault="00AA5911" w:rsidP="00AA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 2013-09-02</w:t>
            </w:r>
          </w:p>
        </w:tc>
        <w:tc>
          <w:tcPr>
            <w:tcW w:w="540" w:type="dxa"/>
          </w:tcPr>
          <w:p w:rsidR="002C0379" w:rsidRPr="00CE41EF" w:rsidRDefault="002C0379" w:rsidP="0008352E">
            <w:pPr>
              <w:jc w:val="center"/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>Nr.</w:t>
            </w:r>
          </w:p>
          <w:p w:rsidR="002C0379" w:rsidRPr="00CE41EF" w:rsidRDefault="002C0379" w:rsidP="0008352E">
            <w:pPr>
              <w:jc w:val="center"/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>Nr.</w:t>
            </w:r>
          </w:p>
          <w:p w:rsidR="002C0379" w:rsidRPr="00CE41EF" w:rsidRDefault="002C0379" w:rsidP="00083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C0379" w:rsidRPr="00CE41EF" w:rsidRDefault="002C0379" w:rsidP="0008352E">
            <w:pPr>
              <w:rPr>
                <w:sz w:val="24"/>
                <w:szCs w:val="24"/>
              </w:rPr>
            </w:pPr>
            <w:r w:rsidRPr="00CE41EF">
              <w:rPr>
                <w:sz w:val="24"/>
                <w:szCs w:val="24"/>
              </w:rPr>
              <w:t>4S-</w:t>
            </w:r>
          </w:p>
          <w:p w:rsidR="002C0379" w:rsidRPr="00CE41EF" w:rsidRDefault="00AA5911" w:rsidP="00083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2C0379" w:rsidRPr="00CE41EF" w:rsidRDefault="002C0379" w:rsidP="0008352E">
            <w:pPr>
              <w:rPr>
                <w:sz w:val="24"/>
                <w:szCs w:val="24"/>
              </w:rPr>
            </w:pPr>
          </w:p>
        </w:tc>
      </w:tr>
    </w:tbl>
    <w:p w:rsidR="002C0379" w:rsidRPr="008A11FB" w:rsidRDefault="002C0379" w:rsidP="002C0379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2C0379" w:rsidRDefault="002C0379" w:rsidP="002C0379">
      <w:pPr>
        <w:ind w:right="-442" w:firstLine="851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 w:firstLine="851"/>
        <w:jc w:val="both"/>
        <w:rPr>
          <w:sz w:val="24"/>
          <w:szCs w:val="24"/>
        </w:rPr>
      </w:pPr>
    </w:p>
    <w:p w:rsidR="002C0379" w:rsidRPr="00275A3B" w:rsidRDefault="002C0379" w:rsidP="002C0379">
      <w:pPr>
        <w:ind w:firstLine="851"/>
        <w:jc w:val="both"/>
        <w:rPr>
          <w:sz w:val="24"/>
          <w:szCs w:val="24"/>
        </w:rPr>
      </w:pPr>
      <w:r w:rsidRPr="00275A3B"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275A3B">
        <w:rPr>
          <w:sz w:val="24"/>
          <w:szCs w:val="24"/>
        </w:rPr>
        <w:t>Žin</w:t>
      </w:r>
      <w:proofErr w:type="spellEnd"/>
      <w:r w:rsidRPr="00275A3B">
        <w:rPr>
          <w:sz w:val="24"/>
          <w:szCs w:val="24"/>
        </w:rPr>
        <w:t>., 1996, Nr. 84-2000; 2006, Nr. 4-102; 2011, Nr. 123-5813) (toliau – Įstatymas) 8</w:t>
      </w:r>
      <w:r w:rsidRPr="00275A3B">
        <w:rPr>
          <w:sz w:val="24"/>
          <w:szCs w:val="24"/>
          <w:vertAlign w:val="superscript"/>
        </w:rPr>
        <w:t>2</w:t>
      </w:r>
      <w:r w:rsidRPr="00275A3B">
        <w:rPr>
          <w:sz w:val="24"/>
          <w:szCs w:val="24"/>
        </w:rPr>
        <w:t xml:space="preserve"> straipsnio 2 dalies 7 punkto nuostatomis, išnagrinėjo Jūsų prašymą sutikti, kad </w:t>
      </w:r>
      <w:r w:rsidR="00A3317B" w:rsidRPr="00275A3B">
        <w:rPr>
          <w:i/>
          <w:sz w:val="24"/>
          <w:szCs w:val="24"/>
        </w:rPr>
        <w:t>Cheminių procesų įrenginio LINEA II</w:t>
      </w:r>
      <w:r w:rsidR="00A3317B" w:rsidRPr="00275A3B">
        <w:rPr>
          <w:sz w:val="24"/>
          <w:szCs w:val="24"/>
        </w:rPr>
        <w:t xml:space="preserve"> </w:t>
      </w:r>
      <w:r w:rsidRPr="00275A3B">
        <w:rPr>
          <w:i/>
          <w:sz w:val="24"/>
          <w:szCs w:val="24"/>
        </w:rPr>
        <w:t>pirkimas</w:t>
      </w:r>
      <w:r w:rsidRPr="00275A3B">
        <w:rPr>
          <w:sz w:val="24"/>
          <w:szCs w:val="24"/>
        </w:rPr>
        <w:t xml:space="preserve"> būtų vykdomas iš Vokietijos įmonės </w:t>
      </w:r>
      <w:r w:rsidR="00B7482C" w:rsidRPr="00275A3B">
        <w:rPr>
          <w:sz w:val="24"/>
          <w:szCs w:val="24"/>
        </w:rPr>
        <w:t>„</w:t>
      </w:r>
      <w:proofErr w:type="spellStart"/>
      <w:r w:rsidRPr="00275A3B">
        <w:rPr>
          <w:sz w:val="24"/>
          <w:szCs w:val="24"/>
        </w:rPr>
        <w:t>Singulus</w:t>
      </w:r>
      <w:proofErr w:type="spellEnd"/>
      <w:r w:rsidRPr="00275A3B">
        <w:rPr>
          <w:sz w:val="24"/>
          <w:szCs w:val="24"/>
        </w:rPr>
        <w:t xml:space="preserve"> Technologies AG</w:t>
      </w:r>
      <w:r w:rsidR="00B7482C" w:rsidRPr="00275A3B">
        <w:rPr>
          <w:sz w:val="24"/>
          <w:szCs w:val="24"/>
        </w:rPr>
        <w:t>“</w:t>
      </w:r>
      <w:r w:rsidRPr="00275A3B">
        <w:rPr>
          <w:sz w:val="24"/>
          <w:szCs w:val="24"/>
        </w:rPr>
        <w:t xml:space="preserve"> neskelbiamų derybų būdu, vadovaujantis Įstatymo 56 straipsnio 1 dalies </w:t>
      </w:r>
      <w:r w:rsidR="00B7482C" w:rsidRPr="00275A3B">
        <w:rPr>
          <w:sz w:val="24"/>
          <w:szCs w:val="24"/>
        </w:rPr>
        <w:t xml:space="preserve">            </w:t>
      </w:r>
      <w:r w:rsidRPr="00275A3B">
        <w:rPr>
          <w:sz w:val="24"/>
          <w:szCs w:val="24"/>
        </w:rPr>
        <w:t>3 punkto nuostatomis.</w:t>
      </w:r>
    </w:p>
    <w:p w:rsidR="00D350E9" w:rsidRPr="00275A3B" w:rsidRDefault="002C0379" w:rsidP="00D350E9">
      <w:pPr>
        <w:ind w:firstLine="851"/>
        <w:jc w:val="both"/>
        <w:rPr>
          <w:sz w:val="24"/>
          <w:szCs w:val="24"/>
        </w:rPr>
      </w:pPr>
      <w:r w:rsidRPr="00275A3B">
        <w:rPr>
          <w:sz w:val="24"/>
          <w:szCs w:val="24"/>
        </w:rPr>
        <w:t>Prašyme nurodoma, kad Perkančioji organizacija įgyvendina Europos regioninės plėtros fondo lėšomis finansuojamą projektą „</w:t>
      </w:r>
      <w:proofErr w:type="spellStart"/>
      <w:r w:rsidRPr="00275A3B">
        <w:rPr>
          <w:sz w:val="24"/>
          <w:szCs w:val="24"/>
        </w:rPr>
        <w:t>Fotoelektros</w:t>
      </w:r>
      <w:proofErr w:type="spellEnd"/>
      <w:r w:rsidRPr="00275A3B">
        <w:rPr>
          <w:sz w:val="24"/>
          <w:szCs w:val="24"/>
        </w:rPr>
        <w:t xml:space="preserve"> technologijų klasterio atviros prieigos MTTP infrastruktūros plėtra (PVPLIUSŽ)“</w:t>
      </w:r>
      <w:r w:rsidR="00D350E9" w:rsidRPr="00275A3B">
        <w:rPr>
          <w:sz w:val="24"/>
          <w:szCs w:val="24"/>
        </w:rPr>
        <w:t xml:space="preserve"> </w:t>
      </w:r>
      <w:r w:rsidRPr="00275A3B">
        <w:rPr>
          <w:sz w:val="24"/>
          <w:szCs w:val="24"/>
        </w:rPr>
        <w:t xml:space="preserve">Nr. VP2-1.4-ŪM-02K-02-06, kurio vykdymo metu numatyta įsigyti </w:t>
      </w:r>
      <w:r w:rsidR="00A3317B" w:rsidRPr="00275A3B">
        <w:rPr>
          <w:i/>
          <w:sz w:val="24"/>
          <w:szCs w:val="24"/>
        </w:rPr>
        <w:t>Cheminių procesų įrenginį LINEA II.</w:t>
      </w:r>
      <w:r w:rsidR="00A3317B" w:rsidRPr="00275A3B">
        <w:rPr>
          <w:sz w:val="24"/>
          <w:szCs w:val="24"/>
        </w:rPr>
        <w:t xml:space="preserve"> Planuojamas įsigyti įrenginys bus naudojamas kartu su kita laboratorin</w:t>
      </w:r>
      <w:r w:rsidR="00315A1E" w:rsidRPr="00275A3B">
        <w:rPr>
          <w:sz w:val="24"/>
          <w:szCs w:val="24"/>
        </w:rPr>
        <w:t>e</w:t>
      </w:r>
      <w:r w:rsidR="00A3317B" w:rsidRPr="00275A3B">
        <w:rPr>
          <w:sz w:val="24"/>
          <w:szCs w:val="24"/>
        </w:rPr>
        <w:t xml:space="preserve"> įrang</w:t>
      </w:r>
      <w:r w:rsidR="00315A1E" w:rsidRPr="00275A3B">
        <w:rPr>
          <w:sz w:val="24"/>
          <w:szCs w:val="24"/>
        </w:rPr>
        <w:t>a</w:t>
      </w:r>
      <w:r w:rsidR="00A3317B" w:rsidRPr="00275A3B">
        <w:rPr>
          <w:sz w:val="24"/>
          <w:szCs w:val="24"/>
        </w:rPr>
        <w:t xml:space="preserve">, siekiant vykdyti galinių kontaktų formavimo, krašto izoliavimo ir pan. saulės elementų gamybos technologinių procesų tyrimus. Šiuo metu dalis tyrimams reikalingos įrangos jau yra įsigyta (2013 m. rugpjūčio 12 d. </w:t>
      </w:r>
      <w:r w:rsidR="00D350E9" w:rsidRPr="00275A3B">
        <w:rPr>
          <w:sz w:val="24"/>
          <w:szCs w:val="24"/>
        </w:rPr>
        <w:t xml:space="preserve">pasirašyta </w:t>
      </w:r>
      <w:r w:rsidR="00A3317B" w:rsidRPr="00275A3B">
        <w:rPr>
          <w:sz w:val="24"/>
          <w:szCs w:val="24"/>
        </w:rPr>
        <w:t xml:space="preserve">Pirkimo-pardavimo sutartis Nr. 7252-2105685.050 dėl automatizuoto plonų sluoksnių formavimo ant silicio įrenginio SINGULAR 1500XP įsigijimo su Vokietijos įmone </w:t>
      </w:r>
      <w:r w:rsidR="00275A3B">
        <w:rPr>
          <w:sz w:val="24"/>
          <w:szCs w:val="24"/>
        </w:rPr>
        <w:t>„</w:t>
      </w:r>
      <w:proofErr w:type="spellStart"/>
      <w:r w:rsidR="00A3317B" w:rsidRPr="00275A3B">
        <w:rPr>
          <w:sz w:val="24"/>
          <w:szCs w:val="24"/>
        </w:rPr>
        <w:t>Singulus</w:t>
      </w:r>
      <w:proofErr w:type="spellEnd"/>
      <w:r w:rsidR="00A3317B" w:rsidRPr="00275A3B">
        <w:rPr>
          <w:sz w:val="24"/>
          <w:szCs w:val="24"/>
        </w:rPr>
        <w:t xml:space="preserve"> Technologies AG</w:t>
      </w:r>
      <w:r w:rsidR="00275A3B">
        <w:rPr>
          <w:sz w:val="24"/>
          <w:szCs w:val="24"/>
        </w:rPr>
        <w:t>“</w:t>
      </w:r>
      <w:r w:rsidR="00A3317B" w:rsidRPr="00275A3B">
        <w:rPr>
          <w:sz w:val="24"/>
          <w:szCs w:val="24"/>
        </w:rPr>
        <w:t>)</w:t>
      </w:r>
      <w:r w:rsidR="008C1984" w:rsidRPr="00275A3B">
        <w:rPr>
          <w:sz w:val="24"/>
          <w:szCs w:val="24"/>
        </w:rPr>
        <w:t>. Perkančioji organizacija nurodo, kad kokybiškų tyrimų rezultatų gavimui yra svarbu, kad planuojamas įsigyti įrenginys būtų suderintas su visa tyrimams naudojama įranga, t. y su SINGULAR 1500 XP. Įrenginiu LINEA II atliekami kontroliuojamo vienpusio silicio plokštelės ėsdinimo ir poliravimo procesai, užtikrinantys reikalaujamą plokštelės paruošimo lygį</w:t>
      </w:r>
      <w:r w:rsidR="009F197E" w:rsidRPr="00275A3B">
        <w:rPr>
          <w:sz w:val="24"/>
          <w:szCs w:val="24"/>
        </w:rPr>
        <w:t xml:space="preserve">, turi būti pilnai suderinti su </w:t>
      </w:r>
      <w:proofErr w:type="spellStart"/>
      <w:r w:rsidR="009F197E" w:rsidRPr="00275A3B">
        <w:rPr>
          <w:sz w:val="24"/>
          <w:szCs w:val="24"/>
        </w:rPr>
        <w:t>nanometrinių</w:t>
      </w:r>
      <w:proofErr w:type="spellEnd"/>
      <w:r w:rsidR="009F197E" w:rsidRPr="00275A3B">
        <w:rPr>
          <w:sz w:val="24"/>
          <w:szCs w:val="24"/>
        </w:rPr>
        <w:t xml:space="preserve"> AIO</w:t>
      </w:r>
      <w:r w:rsidR="009F197E" w:rsidRPr="00275A3B">
        <w:rPr>
          <w:sz w:val="24"/>
          <w:szCs w:val="24"/>
          <w:vertAlign w:val="subscript"/>
        </w:rPr>
        <w:t>X</w:t>
      </w:r>
      <w:r w:rsidR="009F197E" w:rsidRPr="00275A3B">
        <w:rPr>
          <w:sz w:val="24"/>
          <w:szCs w:val="24"/>
        </w:rPr>
        <w:t xml:space="preserve"> ir </w:t>
      </w:r>
      <w:proofErr w:type="spellStart"/>
      <w:r w:rsidR="009F197E" w:rsidRPr="00275A3B">
        <w:rPr>
          <w:sz w:val="24"/>
          <w:szCs w:val="24"/>
        </w:rPr>
        <w:t>SiN</w:t>
      </w:r>
      <w:r w:rsidR="009F197E" w:rsidRPr="00275A3B">
        <w:rPr>
          <w:sz w:val="24"/>
          <w:szCs w:val="24"/>
          <w:vertAlign w:val="subscript"/>
        </w:rPr>
        <w:t>X</w:t>
      </w:r>
      <w:proofErr w:type="spellEnd"/>
      <w:r w:rsidR="009F197E" w:rsidRPr="00275A3B">
        <w:rPr>
          <w:sz w:val="24"/>
          <w:szCs w:val="24"/>
        </w:rPr>
        <w:t xml:space="preserve"> dangų užnešimo procesais, atliekamai</w:t>
      </w:r>
      <w:r w:rsidR="00D350E9" w:rsidRPr="00275A3B">
        <w:rPr>
          <w:sz w:val="24"/>
          <w:szCs w:val="24"/>
        </w:rPr>
        <w:t>s</w:t>
      </w:r>
      <w:r w:rsidR="009F197E" w:rsidRPr="00275A3B">
        <w:rPr>
          <w:sz w:val="24"/>
          <w:szCs w:val="24"/>
        </w:rPr>
        <w:t xml:space="preserve"> įrenginiu SINGULAR 1500XP. Tik tokiu atveju būtų įmanoma gauti tikslius atskirų tiriamų technologinių procesų parametrus, užtikrinančius ilgesnius krūvio nešėjų gyvavimo laikus ir tuo pačiu didesnį saulės elementų efektyvumą. </w:t>
      </w:r>
      <w:r w:rsidR="00F3094C" w:rsidRPr="00275A3B">
        <w:rPr>
          <w:sz w:val="24"/>
          <w:szCs w:val="24"/>
        </w:rPr>
        <w:t xml:space="preserve">Minėtų mokslinių tyrimų tikslas yra įdiegti PERC tipo saulės elementų gamybos procesą į </w:t>
      </w:r>
      <w:proofErr w:type="spellStart"/>
      <w:r w:rsidR="00F3094C" w:rsidRPr="00275A3B">
        <w:rPr>
          <w:sz w:val="24"/>
          <w:szCs w:val="24"/>
        </w:rPr>
        <w:t>Fotoelektros</w:t>
      </w:r>
      <w:proofErr w:type="spellEnd"/>
      <w:r w:rsidR="00F3094C" w:rsidRPr="00275A3B">
        <w:rPr>
          <w:sz w:val="24"/>
          <w:szCs w:val="24"/>
        </w:rPr>
        <w:t xml:space="preserve"> technologijos klasterio narių vykdomą gamybą, taip pat padidinti saulės elementų efektyvumą. Siekiant tiesiogiai tyrimų rezultatus perkelti į gamybą, laboratorijoje simuliuojami technologiniai procesai turi būti identiški gamybiniams, todėl laboratorinė įranga turi būti suderinta ir su Klasterio narių turima įranga, kuri taip pat yra įsigyta iš </w:t>
      </w:r>
      <w:r w:rsidR="00B7482C" w:rsidRPr="00275A3B">
        <w:rPr>
          <w:sz w:val="24"/>
          <w:szCs w:val="24"/>
        </w:rPr>
        <w:t>„</w:t>
      </w:r>
      <w:proofErr w:type="spellStart"/>
      <w:r w:rsidR="00F3094C" w:rsidRPr="00275A3B">
        <w:rPr>
          <w:sz w:val="24"/>
          <w:szCs w:val="24"/>
        </w:rPr>
        <w:t>Singulus</w:t>
      </w:r>
      <w:proofErr w:type="spellEnd"/>
      <w:r w:rsidR="00F3094C" w:rsidRPr="00275A3B">
        <w:rPr>
          <w:sz w:val="24"/>
          <w:szCs w:val="24"/>
        </w:rPr>
        <w:t xml:space="preserve"> Technologies AG</w:t>
      </w:r>
      <w:r w:rsidR="00B7482C" w:rsidRPr="00275A3B">
        <w:rPr>
          <w:sz w:val="24"/>
          <w:szCs w:val="24"/>
        </w:rPr>
        <w:t>“</w:t>
      </w:r>
      <w:r w:rsidR="00F3094C" w:rsidRPr="00275A3B">
        <w:rPr>
          <w:sz w:val="24"/>
          <w:szCs w:val="24"/>
        </w:rPr>
        <w:t xml:space="preserve">. Įrenginių techninis suderinamumas yra užtikrinamas naudojant </w:t>
      </w:r>
      <w:r w:rsidR="00275A3B">
        <w:rPr>
          <w:sz w:val="24"/>
          <w:szCs w:val="24"/>
        </w:rPr>
        <w:t xml:space="preserve">tik </w:t>
      </w:r>
      <w:r w:rsidR="00F3094C" w:rsidRPr="00275A3B">
        <w:rPr>
          <w:sz w:val="24"/>
          <w:szCs w:val="24"/>
        </w:rPr>
        <w:t xml:space="preserve">to paties gamintojo įrangą. Atsižvelgiant į aukščiau nurodytas aplinkybes, Perkančiosios organizacijos viešojo pirkimo komisija (toliau – Komisija) priėmė sprendimą </w:t>
      </w:r>
      <w:r w:rsidR="00F3094C" w:rsidRPr="00275A3B">
        <w:rPr>
          <w:i/>
          <w:sz w:val="24"/>
          <w:szCs w:val="24"/>
        </w:rPr>
        <w:t>Cheminių procesų įrenginį LINEA II</w:t>
      </w:r>
      <w:r w:rsidR="00F3094C" w:rsidRPr="00275A3B">
        <w:rPr>
          <w:sz w:val="24"/>
          <w:szCs w:val="24"/>
        </w:rPr>
        <w:t xml:space="preserve"> įsigyti iš Vokietijos įmonės </w:t>
      </w:r>
      <w:r w:rsidR="00B7482C" w:rsidRPr="00275A3B">
        <w:rPr>
          <w:sz w:val="24"/>
          <w:szCs w:val="24"/>
        </w:rPr>
        <w:t>„</w:t>
      </w:r>
      <w:proofErr w:type="spellStart"/>
      <w:r w:rsidR="00F3094C" w:rsidRPr="00275A3B">
        <w:rPr>
          <w:sz w:val="24"/>
          <w:szCs w:val="24"/>
        </w:rPr>
        <w:t>Singulus</w:t>
      </w:r>
      <w:proofErr w:type="spellEnd"/>
      <w:r w:rsidR="00F3094C" w:rsidRPr="00275A3B">
        <w:rPr>
          <w:sz w:val="24"/>
          <w:szCs w:val="24"/>
        </w:rPr>
        <w:t xml:space="preserve"> Technologies </w:t>
      </w:r>
      <w:r w:rsidR="00F3094C" w:rsidRPr="00275A3B">
        <w:rPr>
          <w:sz w:val="24"/>
          <w:szCs w:val="24"/>
        </w:rPr>
        <w:lastRenderedPageBreak/>
        <w:t>AG</w:t>
      </w:r>
      <w:r w:rsidR="00B7482C" w:rsidRPr="00275A3B">
        <w:rPr>
          <w:sz w:val="24"/>
          <w:szCs w:val="24"/>
        </w:rPr>
        <w:t>“</w:t>
      </w:r>
      <w:r w:rsidR="00F3094C" w:rsidRPr="00275A3B">
        <w:rPr>
          <w:sz w:val="24"/>
          <w:szCs w:val="24"/>
        </w:rPr>
        <w:t xml:space="preserve"> neskelbiamų derybų būdu, vadovaujantis Įstatymo 56 straipsnio 1 dalies 3 punkto nuostatomis </w:t>
      </w:r>
      <w:r w:rsidR="00D350E9" w:rsidRPr="00275A3B">
        <w:rPr>
          <w:sz w:val="24"/>
          <w:szCs w:val="24"/>
        </w:rPr>
        <w:t>i</w:t>
      </w:r>
      <w:r w:rsidR="00F3094C" w:rsidRPr="00275A3B">
        <w:rPr>
          <w:sz w:val="24"/>
          <w:szCs w:val="24"/>
        </w:rPr>
        <w:t xml:space="preserve">r </w:t>
      </w:r>
      <w:r w:rsidRPr="00275A3B">
        <w:rPr>
          <w:sz w:val="24"/>
          <w:szCs w:val="24"/>
        </w:rPr>
        <w:t>prašo Tarnybos sutikimo (</w:t>
      </w:r>
      <w:r w:rsidR="00A74A9A" w:rsidRPr="00275A3B">
        <w:rPr>
          <w:sz w:val="24"/>
          <w:szCs w:val="24"/>
        </w:rPr>
        <w:t>2013 m. rugpjūčio 28 d. K</w:t>
      </w:r>
      <w:r w:rsidRPr="00275A3B">
        <w:rPr>
          <w:sz w:val="24"/>
          <w:szCs w:val="24"/>
        </w:rPr>
        <w:t xml:space="preserve">omisijos posėdžio protokolas Nr. </w:t>
      </w:r>
      <w:r w:rsidR="00A74A9A" w:rsidRPr="00275A3B">
        <w:rPr>
          <w:sz w:val="24"/>
          <w:szCs w:val="24"/>
        </w:rPr>
        <w:t>69</w:t>
      </w:r>
      <w:r w:rsidRPr="00275A3B">
        <w:rPr>
          <w:sz w:val="24"/>
          <w:szCs w:val="24"/>
        </w:rPr>
        <w:t>).</w:t>
      </w:r>
    </w:p>
    <w:p w:rsidR="00D350E9" w:rsidRPr="00275A3B" w:rsidRDefault="002C0379" w:rsidP="00D350E9">
      <w:pPr>
        <w:ind w:firstLine="851"/>
        <w:jc w:val="both"/>
        <w:rPr>
          <w:i/>
          <w:sz w:val="24"/>
          <w:szCs w:val="24"/>
        </w:rPr>
      </w:pPr>
      <w:r w:rsidRPr="00275A3B">
        <w:rPr>
          <w:sz w:val="24"/>
          <w:szCs w:val="24"/>
        </w:rPr>
        <w:t xml:space="preserve">Įstatymo 56 straipsnio 1 dalies 3 punkto nuostatos numato, kad prekės neskelbiamų derybų būdu gali būti perkamos: </w:t>
      </w:r>
      <w:r w:rsidRPr="00275A3B">
        <w:rPr>
          <w:i/>
          <w:sz w:val="24"/>
          <w:szCs w:val="24"/>
        </w:rPr>
        <w:t xml:space="preserve">„jeigu </w:t>
      </w:r>
      <w:r w:rsidRPr="00275A3B">
        <w:rPr>
          <w:i/>
          <w:sz w:val="24"/>
          <w:szCs w:val="24"/>
          <w:u w:val="single"/>
        </w:rPr>
        <w:t>dėl techninių</w:t>
      </w:r>
      <w:r w:rsidRPr="00275A3B">
        <w:rPr>
          <w:i/>
          <w:sz w:val="24"/>
          <w:szCs w:val="24"/>
        </w:rPr>
        <w:t xml:space="preserve"> ar meninių </w:t>
      </w:r>
      <w:r w:rsidRPr="00275A3B">
        <w:rPr>
          <w:i/>
          <w:sz w:val="24"/>
          <w:szCs w:val="24"/>
          <w:u w:val="single"/>
        </w:rPr>
        <w:t>priežasčių</w:t>
      </w:r>
      <w:r w:rsidRPr="00275A3B">
        <w:rPr>
          <w:i/>
          <w:sz w:val="24"/>
          <w:szCs w:val="24"/>
        </w:rPr>
        <w:t xml:space="preserve"> arba dėl priežasčių, susijusių su išimtinių teisių apsauga, </w:t>
      </w:r>
      <w:r w:rsidRPr="00275A3B">
        <w:rPr>
          <w:i/>
          <w:sz w:val="24"/>
          <w:szCs w:val="24"/>
          <w:u w:val="single"/>
        </w:rPr>
        <w:t>prekes patiekti</w:t>
      </w:r>
      <w:r w:rsidRPr="00275A3B">
        <w:rPr>
          <w:i/>
          <w:sz w:val="24"/>
          <w:szCs w:val="24"/>
        </w:rPr>
        <w:t xml:space="preserve">, paslaugas pateikti ar darbus atlikti </w:t>
      </w:r>
      <w:r w:rsidRPr="00275A3B">
        <w:rPr>
          <w:i/>
          <w:sz w:val="24"/>
          <w:szCs w:val="24"/>
          <w:u w:val="single"/>
        </w:rPr>
        <w:t>gali tik konkretus tiekėjas</w:t>
      </w:r>
      <w:r w:rsidRPr="00275A3B">
        <w:rPr>
          <w:i/>
          <w:sz w:val="24"/>
          <w:szCs w:val="24"/>
        </w:rPr>
        <w:t xml:space="preserve">“. </w:t>
      </w:r>
    </w:p>
    <w:p w:rsidR="00D350E9" w:rsidRPr="00275A3B" w:rsidRDefault="002C0379" w:rsidP="00D350E9">
      <w:pPr>
        <w:ind w:firstLine="851"/>
        <w:jc w:val="both"/>
        <w:rPr>
          <w:sz w:val="24"/>
          <w:szCs w:val="24"/>
        </w:rPr>
      </w:pPr>
      <w:r w:rsidRPr="00275A3B">
        <w:rPr>
          <w:sz w:val="24"/>
          <w:szCs w:val="24"/>
        </w:rPr>
        <w:t>Perkančiosios organizacijos prašyme nurodytos aplinkybės ir pateikti dokumentai patvirtina, kad yra Įstatym</w:t>
      </w:r>
      <w:r w:rsidR="00B7482C" w:rsidRPr="00275A3B">
        <w:rPr>
          <w:sz w:val="24"/>
          <w:szCs w:val="24"/>
        </w:rPr>
        <w:t>o</w:t>
      </w:r>
      <w:r w:rsidRPr="00275A3B">
        <w:rPr>
          <w:sz w:val="24"/>
          <w:szCs w:val="24"/>
        </w:rPr>
        <w:t xml:space="preserve"> 56 straipsnio 1 dalies 3 punkte nustatyti pagrindai, nes dėl </w:t>
      </w:r>
      <w:r w:rsidR="00D350E9" w:rsidRPr="00275A3B">
        <w:rPr>
          <w:sz w:val="24"/>
          <w:szCs w:val="24"/>
        </w:rPr>
        <w:t xml:space="preserve">perkančiosios organizacijos nurodytų </w:t>
      </w:r>
      <w:r w:rsidRPr="00275A3B">
        <w:rPr>
          <w:sz w:val="24"/>
          <w:szCs w:val="24"/>
        </w:rPr>
        <w:t>techninių priežasčių</w:t>
      </w:r>
      <w:r w:rsidR="00A74A9A" w:rsidRPr="00275A3B">
        <w:rPr>
          <w:sz w:val="24"/>
          <w:szCs w:val="24"/>
        </w:rPr>
        <w:t xml:space="preserve"> (techninio suderinamumo)</w:t>
      </w:r>
      <w:r w:rsidRPr="00275A3B">
        <w:rPr>
          <w:sz w:val="24"/>
          <w:szCs w:val="24"/>
        </w:rPr>
        <w:t xml:space="preserve"> reikalingą </w:t>
      </w:r>
      <w:r w:rsidR="00D350E9" w:rsidRPr="00275A3B">
        <w:rPr>
          <w:i/>
          <w:sz w:val="24"/>
          <w:szCs w:val="24"/>
        </w:rPr>
        <w:t>Cheminių procesų įrenginio LINEA II</w:t>
      </w:r>
      <w:r w:rsidR="00D350E9" w:rsidRPr="00275A3B">
        <w:rPr>
          <w:sz w:val="24"/>
          <w:szCs w:val="24"/>
        </w:rPr>
        <w:t xml:space="preserve"> </w:t>
      </w:r>
      <w:r w:rsidRPr="00275A3B">
        <w:rPr>
          <w:sz w:val="24"/>
          <w:szCs w:val="24"/>
        </w:rPr>
        <w:t xml:space="preserve">įrenginį gali pateikti tik konkretus tiekėjas – </w:t>
      </w:r>
      <w:r w:rsidR="00B7482C" w:rsidRPr="00275A3B">
        <w:rPr>
          <w:sz w:val="24"/>
          <w:szCs w:val="24"/>
        </w:rPr>
        <w:t>„</w:t>
      </w:r>
      <w:proofErr w:type="spellStart"/>
      <w:r w:rsidRPr="00275A3B">
        <w:rPr>
          <w:sz w:val="24"/>
          <w:szCs w:val="24"/>
        </w:rPr>
        <w:t>Singulus</w:t>
      </w:r>
      <w:proofErr w:type="spellEnd"/>
      <w:r w:rsidRPr="00275A3B">
        <w:rPr>
          <w:sz w:val="24"/>
          <w:szCs w:val="24"/>
        </w:rPr>
        <w:t xml:space="preserve"> Technologies AG</w:t>
      </w:r>
      <w:r w:rsidR="00B7482C" w:rsidRPr="00275A3B">
        <w:rPr>
          <w:sz w:val="24"/>
          <w:szCs w:val="24"/>
        </w:rPr>
        <w:t>“</w:t>
      </w:r>
      <w:r w:rsidRPr="00275A3B">
        <w:rPr>
          <w:sz w:val="24"/>
          <w:szCs w:val="24"/>
        </w:rPr>
        <w:t>.</w:t>
      </w:r>
    </w:p>
    <w:p w:rsidR="002C0379" w:rsidRPr="00275A3B" w:rsidRDefault="002C0379" w:rsidP="00D350E9">
      <w:pPr>
        <w:ind w:firstLine="851"/>
        <w:jc w:val="both"/>
        <w:rPr>
          <w:sz w:val="24"/>
          <w:szCs w:val="24"/>
        </w:rPr>
      </w:pPr>
      <w:r w:rsidRPr="00275A3B">
        <w:rPr>
          <w:sz w:val="24"/>
          <w:szCs w:val="24"/>
        </w:rPr>
        <w:t>Atsižvelgdama į nurodytas aplinkybes ir vadovaudamasi Įstatymo 8</w:t>
      </w:r>
      <w:r w:rsidRPr="00275A3B">
        <w:rPr>
          <w:sz w:val="24"/>
          <w:szCs w:val="24"/>
          <w:vertAlign w:val="superscript"/>
        </w:rPr>
        <w:t>2</w:t>
      </w:r>
      <w:r w:rsidRPr="00275A3B">
        <w:rPr>
          <w:sz w:val="24"/>
          <w:szCs w:val="24"/>
        </w:rPr>
        <w:t xml:space="preserve"> straipsnio 2 dalies                7 punkto nuostatomis, Tarnyba </w:t>
      </w:r>
      <w:r w:rsidRPr="00275A3B">
        <w:rPr>
          <w:b/>
          <w:sz w:val="24"/>
          <w:szCs w:val="24"/>
        </w:rPr>
        <w:t>sutinka</w:t>
      </w:r>
      <w:r w:rsidRPr="00275A3B">
        <w:rPr>
          <w:sz w:val="24"/>
          <w:szCs w:val="24"/>
        </w:rPr>
        <w:t>,</w:t>
      </w:r>
      <w:r w:rsidRPr="00275A3B">
        <w:rPr>
          <w:color w:val="000000"/>
          <w:sz w:val="24"/>
          <w:szCs w:val="24"/>
        </w:rPr>
        <w:t xml:space="preserve"> </w:t>
      </w:r>
      <w:r w:rsidRPr="00275A3B">
        <w:rPr>
          <w:sz w:val="24"/>
          <w:szCs w:val="24"/>
        </w:rPr>
        <w:t xml:space="preserve">kad </w:t>
      </w:r>
      <w:proofErr w:type="spellStart"/>
      <w:r w:rsidRPr="00275A3B">
        <w:rPr>
          <w:sz w:val="24"/>
          <w:szCs w:val="24"/>
        </w:rPr>
        <w:t>VšĮ</w:t>
      </w:r>
      <w:proofErr w:type="spellEnd"/>
      <w:r w:rsidRPr="00275A3B">
        <w:rPr>
          <w:sz w:val="24"/>
          <w:szCs w:val="24"/>
        </w:rPr>
        <w:t xml:space="preserve"> „Perspektyvinių technologijų taikomųjų tyrimų institutas“ </w:t>
      </w:r>
      <w:r w:rsidR="00A74A9A" w:rsidRPr="00275A3B">
        <w:rPr>
          <w:i/>
          <w:sz w:val="24"/>
          <w:szCs w:val="24"/>
        </w:rPr>
        <w:t>Cheminių procesų įrenginio LINEA II</w:t>
      </w:r>
      <w:r w:rsidR="00A74A9A" w:rsidRPr="00275A3B">
        <w:rPr>
          <w:sz w:val="24"/>
          <w:szCs w:val="24"/>
        </w:rPr>
        <w:t xml:space="preserve"> </w:t>
      </w:r>
      <w:r w:rsidRPr="00275A3B">
        <w:rPr>
          <w:sz w:val="24"/>
          <w:szCs w:val="24"/>
        </w:rPr>
        <w:t xml:space="preserve">pirkimą vykdytų </w:t>
      </w:r>
      <w:r w:rsidR="00A74A9A" w:rsidRPr="00275A3B">
        <w:rPr>
          <w:sz w:val="24"/>
          <w:szCs w:val="24"/>
        </w:rPr>
        <w:t>neskelbiamų derybų būdu, vadovaujantis Įstatymo 56 straipsnio 1 dalies 3 punkto nuostatomis, į derybas kviečiant</w:t>
      </w:r>
      <w:r w:rsidRPr="00275A3B">
        <w:rPr>
          <w:sz w:val="24"/>
          <w:szCs w:val="24"/>
        </w:rPr>
        <w:t xml:space="preserve"> </w:t>
      </w:r>
      <w:r w:rsidR="00B7482C" w:rsidRPr="00275A3B">
        <w:rPr>
          <w:sz w:val="24"/>
          <w:szCs w:val="24"/>
        </w:rPr>
        <w:t>„</w:t>
      </w:r>
      <w:proofErr w:type="spellStart"/>
      <w:r w:rsidRPr="00275A3B">
        <w:rPr>
          <w:sz w:val="24"/>
          <w:szCs w:val="24"/>
        </w:rPr>
        <w:t>Singulus</w:t>
      </w:r>
      <w:proofErr w:type="spellEnd"/>
      <w:r w:rsidRPr="00275A3B">
        <w:rPr>
          <w:sz w:val="24"/>
          <w:szCs w:val="24"/>
        </w:rPr>
        <w:t xml:space="preserve"> Technologies AG</w:t>
      </w:r>
      <w:r w:rsidR="00B7482C" w:rsidRPr="00275A3B">
        <w:rPr>
          <w:sz w:val="24"/>
          <w:szCs w:val="24"/>
        </w:rPr>
        <w:t>“</w:t>
      </w:r>
      <w:r w:rsidR="00A74A9A" w:rsidRPr="00275A3B">
        <w:rPr>
          <w:sz w:val="24"/>
          <w:szCs w:val="24"/>
        </w:rPr>
        <w:t xml:space="preserve">. </w:t>
      </w:r>
      <w:r w:rsidRPr="00275A3B">
        <w:rPr>
          <w:sz w:val="24"/>
          <w:szCs w:val="24"/>
        </w:rPr>
        <w:t xml:space="preserve"> </w:t>
      </w:r>
    </w:p>
    <w:p w:rsidR="002C0379" w:rsidRPr="00275A3B" w:rsidRDefault="002C0379" w:rsidP="002C0379">
      <w:pPr>
        <w:ind w:right="-442" w:firstLine="851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 w:firstLine="851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 w:firstLine="851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  <w:r w:rsidRPr="00275A3B">
        <w:rPr>
          <w:sz w:val="24"/>
          <w:szCs w:val="24"/>
        </w:rPr>
        <w:t xml:space="preserve">Direktorius                                           </w:t>
      </w:r>
      <w:r w:rsidR="00350C30">
        <w:rPr>
          <w:sz w:val="24"/>
          <w:szCs w:val="24"/>
        </w:rPr>
        <w:t xml:space="preserve">                                             </w:t>
      </w:r>
      <w:r w:rsidRPr="00275A3B">
        <w:rPr>
          <w:sz w:val="24"/>
          <w:szCs w:val="24"/>
        </w:rPr>
        <w:t xml:space="preserve">                     Žydrūnas </w:t>
      </w:r>
      <w:proofErr w:type="spellStart"/>
      <w:r w:rsidRPr="00275A3B">
        <w:rPr>
          <w:sz w:val="24"/>
          <w:szCs w:val="24"/>
        </w:rPr>
        <w:t>Plytnikas</w:t>
      </w:r>
      <w:proofErr w:type="spellEnd"/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</w:p>
    <w:p w:rsidR="00571344" w:rsidRPr="00275A3B" w:rsidRDefault="00571344" w:rsidP="002C0379">
      <w:pPr>
        <w:ind w:right="-442"/>
        <w:jc w:val="both"/>
        <w:rPr>
          <w:sz w:val="24"/>
          <w:szCs w:val="24"/>
        </w:rPr>
      </w:pPr>
    </w:p>
    <w:p w:rsidR="00571344" w:rsidRPr="00275A3B" w:rsidRDefault="00571344" w:rsidP="002C0379">
      <w:pPr>
        <w:ind w:right="-442"/>
        <w:jc w:val="both"/>
        <w:rPr>
          <w:sz w:val="24"/>
          <w:szCs w:val="24"/>
        </w:rPr>
      </w:pPr>
    </w:p>
    <w:p w:rsidR="002C0379" w:rsidRPr="00275A3B" w:rsidRDefault="002C0379" w:rsidP="002C0379">
      <w:pPr>
        <w:ind w:right="-442"/>
        <w:jc w:val="both"/>
        <w:rPr>
          <w:sz w:val="24"/>
          <w:szCs w:val="24"/>
        </w:rPr>
      </w:pPr>
      <w:bookmarkStart w:id="1" w:name="_GoBack"/>
      <w:bookmarkEnd w:id="1"/>
    </w:p>
    <w:sectPr w:rsidR="002C0379" w:rsidRPr="00275A3B" w:rsidSect="00133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6A" w:rsidRDefault="00817C6A">
      <w:r>
        <w:separator/>
      </w:r>
    </w:p>
  </w:endnote>
  <w:endnote w:type="continuationSeparator" w:id="0">
    <w:p w:rsidR="00817C6A" w:rsidRDefault="0081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F9" w:rsidRDefault="00817C6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817C6A">
    <w:pPr>
      <w:pStyle w:val="Porat"/>
    </w:pPr>
  </w:p>
  <w:p w:rsidR="000F0CFD" w:rsidRDefault="00817C6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Pr="00BB2F72" w:rsidRDefault="00993A64" w:rsidP="00863A9C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 Tel.  (8 5) 219 7001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0F0CFD" w:rsidRPr="00BB2F72" w:rsidRDefault="00993A64" w:rsidP="00863A9C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213 6213                               </w:t>
    </w:r>
    <w:r w:rsidRPr="00BB2F72">
      <w:rPr>
        <w:sz w:val="18"/>
      </w:rPr>
      <w:t xml:space="preserve">Juridinių asmenų registre </w:t>
    </w:r>
  </w:p>
  <w:p w:rsidR="000F0CFD" w:rsidRDefault="00993A64" w:rsidP="00863A9C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</w:t>
    </w:r>
    <w:r>
      <w:rPr>
        <w:sz w:val="18"/>
      </w:rPr>
      <w:t xml:space="preserve"> </w:t>
    </w:r>
    <w:r w:rsidRPr="00BB2F72">
      <w:rPr>
        <w:sz w:val="18"/>
      </w:rPr>
      <w:t xml:space="preserve">  </w:t>
    </w:r>
    <w:r>
      <w:rPr>
        <w:sz w:val="18"/>
      </w:rPr>
      <w:t xml:space="preserve"> </w:t>
    </w:r>
    <w:r w:rsidRPr="00BB2F72">
      <w:rPr>
        <w:sz w:val="18"/>
      </w:rPr>
      <w:t xml:space="preserve">        </w:t>
    </w:r>
    <w:r>
      <w:rPr>
        <w:sz w:val="18"/>
      </w:rPr>
      <w:t xml:space="preserve">   Kodas  188656261</w:t>
    </w:r>
  </w:p>
  <w:p w:rsidR="000F0CFD" w:rsidRPr="00BB2F72" w:rsidRDefault="00817C6A" w:rsidP="00863A9C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6A" w:rsidRDefault="00817C6A">
      <w:r>
        <w:separator/>
      </w:r>
    </w:p>
  </w:footnote>
  <w:footnote w:type="continuationSeparator" w:id="0">
    <w:p w:rsidR="00817C6A" w:rsidRDefault="0081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993A6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F0CFD" w:rsidRDefault="00817C6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D" w:rsidRDefault="00993A6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57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F0CFD" w:rsidRDefault="00817C6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F9" w:rsidRDefault="00817C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79"/>
    <w:rsid w:val="0007268A"/>
    <w:rsid w:val="00133557"/>
    <w:rsid w:val="00156122"/>
    <w:rsid w:val="001E297E"/>
    <w:rsid w:val="00275A3B"/>
    <w:rsid w:val="002C0379"/>
    <w:rsid w:val="00315A1E"/>
    <w:rsid w:val="00350C30"/>
    <w:rsid w:val="0037257C"/>
    <w:rsid w:val="00571344"/>
    <w:rsid w:val="005857AE"/>
    <w:rsid w:val="00817C6A"/>
    <w:rsid w:val="008C1984"/>
    <w:rsid w:val="00941E22"/>
    <w:rsid w:val="00993A64"/>
    <w:rsid w:val="009F197E"/>
    <w:rsid w:val="00A3317B"/>
    <w:rsid w:val="00A74A9A"/>
    <w:rsid w:val="00AA5911"/>
    <w:rsid w:val="00B7482C"/>
    <w:rsid w:val="00D1460A"/>
    <w:rsid w:val="00D350E9"/>
    <w:rsid w:val="00E22110"/>
    <w:rsid w:val="00F3094C"/>
    <w:rsid w:val="00F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C0379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37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2C037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C037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37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2C037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2C0379"/>
  </w:style>
  <w:style w:type="paragraph" w:customStyle="1" w:styleId="DiagramaCharChar1Diagrama">
    <w:name w:val="Diagrama Char Char1 Diagrama"/>
    <w:basedOn w:val="prastasis"/>
    <w:rsid w:val="002C0379"/>
    <w:pPr>
      <w:spacing w:after="160" w:line="240" w:lineRule="exact"/>
    </w:pPr>
    <w:rPr>
      <w:rFonts w:ascii="Tahoma" w:hAnsi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C0379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37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2C037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C037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37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2C037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2C0379"/>
  </w:style>
  <w:style w:type="paragraph" w:customStyle="1" w:styleId="DiagramaCharChar1Diagrama">
    <w:name w:val="Diagrama Char Char1 Diagrama"/>
    <w:basedOn w:val="prastasis"/>
    <w:rsid w:val="002C0379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17</cp:revision>
  <dcterms:created xsi:type="dcterms:W3CDTF">2013-09-16T08:14:00Z</dcterms:created>
  <dcterms:modified xsi:type="dcterms:W3CDTF">2013-09-30T13:17:00Z</dcterms:modified>
</cp:coreProperties>
</file>