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7A2D" w14:textId="77777777" w:rsidR="00FA37EF" w:rsidRDefault="00FA37EF" w:rsidP="00FA37EF">
      <w:pPr>
        <w:widowControl w:val="0"/>
        <w:jc w:val="right"/>
        <w:rPr>
          <w:b/>
          <w:bCs/>
          <w:caps/>
          <w:color w:val="000000"/>
          <w:lang w:eastAsia="lt-LT"/>
        </w:rPr>
      </w:pPr>
      <w:r>
        <w:rPr>
          <w:b/>
          <w:bCs/>
          <w:caps/>
          <w:color w:val="000000"/>
          <w:lang w:eastAsia="lt-LT"/>
        </w:rPr>
        <w:t>1 PRIEDAS</w:t>
      </w:r>
    </w:p>
    <w:p w14:paraId="49B7BC6B" w14:textId="442EDD60" w:rsidR="008713A3" w:rsidRPr="00E25D30" w:rsidRDefault="008713A3" w:rsidP="008713A3">
      <w:pPr>
        <w:widowControl w:val="0"/>
        <w:jc w:val="center"/>
        <w:rPr>
          <w:b/>
          <w:bCs/>
          <w:caps/>
          <w:color w:val="000000"/>
          <w:lang w:eastAsia="lt-LT"/>
        </w:rPr>
      </w:pPr>
      <w:r w:rsidRPr="00E25D30">
        <w:rPr>
          <w:b/>
          <w:bCs/>
          <w:caps/>
          <w:color w:val="000000"/>
          <w:lang w:eastAsia="lt-LT"/>
        </w:rPr>
        <w:t xml:space="preserve">Techninė specifikacija </w:t>
      </w:r>
    </w:p>
    <w:p w14:paraId="28C42858" w14:textId="5B33DBD1" w:rsidR="008713A3" w:rsidRPr="00593D0E" w:rsidRDefault="00593D0E" w:rsidP="00606ABF">
      <w:pPr>
        <w:widowControl w:val="0"/>
        <w:jc w:val="center"/>
        <w:rPr>
          <w:b/>
          <w:bCs/>
          <w:color w:val="000000"/>
          <w:szCs w:val="24"/>
          <w:lang w:eastAsia="lt-LT"/>
        </w:rPr>
      </w:pPr>
      <w:r w:rsidRPr="00593D0E">
        <w:rPr>
          <w:b/>
          <w:bCs/>
          <w:szCs w:val="24"/>
        </w:rPr>
        <w:t>Socialinis darbas. Psichologiniai mokymai, konsultacijos, mediacija. Motyvacijos didinimo ir karjeros planavimo mokymai UDP dalyviams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1676"/>
        <w:gridCol w:w="7486"/>
      </w:tblGrid>
      <w:tr w:rsidR="008713A3" w:rsidRPr="00E25D30" w14:paraId="78C26F10" w14:textId="77777777" w:rsidTr="00E91EAA">
        <w:tc>
          <w:tcPr>
            <w:tcW w:w="9747" w:type="dxa"/>
            <w:gridSpan w:val="3"/>
          </w:tcPr>
          <w:p w14:paraId="084C78C9" w14:textId="77777777" w:rsidR="008713A3" w:rsidRPr="00E25D30" w:rsidRDefault="008713A3" w:rsidP="00E91EAA">
            <w:pPr>
              <w:rPr>
                <w:b/>
                <w:color w:val="000000"/>
              </w:rPr>
            </w:pPr>
            <w:r w:rsidRPr="00E25D30">
              <w:rPr>
                <w:b/>
                <w:color w:val="000000"/>
              </w:rPr>
              <w:t>1. Bendri duomenys:</w:t>
            </w:r>
          </w:p>
        </w:tc>
      </w:tr>
      <w:tr w:rsidR="008713A3" w:rsidRPr="00E25D30" w14:paraId="69E014C7" w14:textId="77777777" w:rsidTr="00974B65">
        <w:trPr>
          <w:trHeight w:val="841"/>
        </w:trPr>
        <w:tc>
          <w:tcPr>
            <w:tcW w:w="585" w:type="dxa"/>
          </w:tcPr>
          <w:p w14:paraId="562BB3EB" w14:textId="77777777" w:rsidR="008713A3" w:rsidRPr="00E25D30" w:rsidRDefault="008713A3" w:rsidP="008A438B">
            <w:pPr>
              <w:spacing w:after="0"/>
              <w:rPr>
                <w:color w:val="000000"/>
              </w:rPr>
            </w:pPr>
            <w:r w:rsidRPr="00E25D30">
              <w:rPr>
                <w:color w:val="000000"/>
              </w:rPr>
              <w:t>1.1.</w:t>
            </w:r>
          </w:p>
        </w:tc>
        <w:tc>
          <w:tcPr>
            <w:tcW w:w="1676" w:type="dxa"/>
          </w:tcPr>
          <w:p w14:paraId="65A228FE" w14:textId="77777777" w:rsidR="008713A3" w:rsidRPr="00E25D30" w:rsidRDefault="008713A3" w:rsidP="008A438B">
            <w:pPr>
              <w:spacing w:after="0" w:line="240" w:lineRule="auto"/>
              <w:rPr>
                <w:color w:val="000000"/>
              </w:rPr>
            </w:pPr>
            <w:r w:rsidRPr="00E25D30">
              <w:rPr>
                <w:color w:val="000000"/>
              </w:rPr>
              <w:t>Priemonės  pavadinimas, vieta</w:t>
            </w:r>
          </w:p>
        </w:tc>
        <w:tc>
          <w:tcPr>
            <w:tcW w:w="7486" w:type="dxa"/>
          </w:tcPr>
          <w:p w14:paraId="190B8453" w14:textId="7A82AFFA" w:rsidR="008713A3" w:rsidRPr="00593D0E" w:rsidRDefault="00593D0E" w:rsidP="00593D0E">
            <w:pPr>
              <w:widowControl w:val="0"/>
              <w:rPr>
                <w:b/>
                <w:bCs/>
                <w:color w:val="000000"/>
                <w:szCs w:val="24"/>
                <w:lang w:eastAsia="lt-LT"/>
              </w:rPr>
            </w:pPr>
            <w:r w:rsidRPr="00593D0E">
              <w:rPr>
                <w:szCs w:val="24"/>
              </w:rPr>
              <w:t>Socialinis darbas. Psichologiniai mokymai, konsultacijos, mediacija</w:t>
            </w:r>
            <w:r>
              <w:rPr>
                <w:szCs w:val="24"/>
              </w:rPr>
              <w:t>. Motyvacijos didinimo ir karjeros planavimo</w:t>
            </w:r>
            <w:r w:rsidRPr="005D6B46">
              <w:rPr>
                <w:szCs w:val="24"/>
              </w:rPr>
              <w:t xml:space="preserve"> mokyma</w:t>
            </w:r>
            <w:r>
              <w:rPr>
                <w:szCs w:val="24"/>
              </w:rPr>
              <w:t xml:space="preserve">i </w:t>
            </w:r>
            <w:r w:rsidRPr="00536207">
              <w:rPr>
                <w:szCs w:val="24"/>
              </w:rPr>
              <w:t>UDP dalyviams</w:t>
            </w:r>
          </w:p>
        </w:tc>
      </w:tr>
      <w:tr w:rsidR="008713A3" w:rsidRPr="00E25D30" w14:paraId="6E8958CB" w14:textId="77777777" w:rsidTr="00974B65">
        <w:trPr>
          <w:trHeight w:val="1269"/>
        </w:trPr>
        <w:tc>
          <w:tcPr>
            <w:tcW w:w="585" w:type="dxa"/>
          </w:tcPr>
          <w:p w14:paraId="548A1213" w14:textId="77777777" w:rsidR="008713A3" w:rsidRPr="00E25D30" w:rsidRDefault="008713A3" w:rsidP="008A438B">
            <w:pPr>
              <w:spacing w:after="0"/>
              <w:rPr>
                <w:color w:val="000000"/>
              </w:rPr>
            </w:pPr>
            <w:r w:rsidRPr="00E25D30">
              <w:rPr>
                <w:color w:val="000000"/>
              </w:rPr>
              <w:t>1.2.</w:t>
            </w:r>
          </w:p>
        </w:tc>
        <w:tc>
          <w:tcPr>
            <w:tcW w:w="1676" w:type="dxa"/>
          </w:tcPr>
          <w:p w14:paraId="4FE43F70" w14:textId="77777777" w:rsidR="008713A3" w:rsidRPr="00E25D30" w:rsidRDefault="008713A3" w:rsidP="008A438B">
            <w:pPr>
              <w:spacing w:after="0" w:line="240" w:lineRule="auto"/>
              <w:rPr>
                <w:color w:val="000000"/>
              </w:rPr>
            </w:pPr>
            <w:r w:rsidRPr="00E25D30">
              <w:rPr>
                <w:color w:val="000000"/>
              </w:rPr>
              <w:t>Užsakovo</w:t>
            </w:r>
          </w:p>
          <w:p w14:paraId="0262920B" w14:textId="77777777" w:rsidR="008713A3" w:rsidRPr="00E25D30" w:rsidRDefault="008713A3" w:rsidP="008A438B">
            <w:pPr>
              <w:spacing w:after="0" w:line="240" w:lineRule="auto"/>
              <w:rPr>
                <w:color w:val="000000"/>
              </w:rPr>
            </w:pPr>
            <w:r w:rsidRPr="00E25D30">
              <w:rPr>
                <w:color w:val="000000"/>
              </w:rPr>
              <w:t>pavadinimas, adresas</w:t>
            </w:r>
          </w:p>
        </w:tc>
        <w:tc>
          <w:tcPr>
            <w:tcW w:w="7486" w:type="dxa"/>
          </w:tcPr>
          <w:p w14:paraId="1A89681F" w14:textId="77777777" w:rsidR="008713A3" w:rsidRPr="00FF723B" w:rsidRDefault="008713A3" w:rsidP="008A438B">
            <w:pPr>
              <w:widowControl w:val="0"/>
              <w:autoSpaceDE w:val="0"/>
              <w:autoSpaceDN w:val="0"/>
              <w:adjustRightInd w:val="0"/>
              <w:spacing w:after="0" w:line="240" w:lineRule="auto"/>
              <w:jc w:val="both"/>
              <w:rPr>
                <w:iCs/>
              </w:rPr>
            </w:pPr>
            <w:r w:rsidRPr="00FF723B">
              <w:rPr>
                <w:iCs/>
              </w:rPr>
              <w:t>Telšių rajono savivaldybės administracija 180878299</w:t>
            </w:r>
          </w:p>
          <w:p w14:paraId="246C229D" w14:textId="77777777" w:rsidR="008713A3" w:rsidRPr="00FF723B" w:rsidRDefault="008713A3" w:rsidP="008A438B">
            <w:pPr>
              <w:widowControl w:val="0"/>
              <w:autoSpaceDE w:val="0"/>
              <w:autoSpaceDN w:val="0"/>
              <w:adjustRightInd w:val="0"/>
              <w:spacing w:after="0" w:line="240" w:lineRule="auto"/>
              <w:jc w:val="both"/>
              <w:rPr>
                <w:iCs/>
              </w:rPr>
            </w:pPr>
            <w:r w:rsidRPr="00FF723B">
              <w:rPr>
                <w:iCs/>
              </w:rPr>
              <w:t xml:space="preserve">Žemaitės g. 14, LT-87133, Telšiai </w:t>
            </w:r>
          </w:p>
          <w:p w14:paraId="6378B81A" w14:textId="67A2795F" w:rsidR="008713A3" w:rsidRPr="00FF723B" w:rsidRDefault="008713A3" w:rsidP="008A438B">
            <w:pPr>
              <w:widowControl w:val="0"/>
              <w:autoSpaceDE w:val="0"/>
              <w:autoSpaceDN w:val="0"/>
              <w:adjustRightInd w:val="0"/>
              <w:spacing w:after="0" w:line="240" w:lineRule="auto"/>
              <w:jc w:val="both"/>
            </w:pPr>
            <w:r w:rsidRPr="00FF723B">
              <w:t xml:space="preserve">Kontaktinis asmuo – Socialinės paramos </w:t>
            </w:r>
            <w:r w:rsidR="003B2729" w:rsidRPr="00FF723B">
              <w:t xml:space="preserve">ir rūpybos </w:t>
            </w:r>
            <w:r w:rsidRPr="00FF723B">
              <w:t xml:space="preserve">skyriaus vedėja </w:t>
            </w:r>
            <w:r w:rsidR="009A4941">
              <w:t>...................</w:t>
            </w:r>
          </w:p>
          <w:p w14:paraId="293B99D5" w14:textId="65CD8496" w:rsidR="008713A3" w:rsidRPr="009A4941" w:rsidRDefault="008A438B" w:rsidP="008A438B">
            <w:pPr>
              <w:widowControl w:val="0"/>
              <w:autoSpaceDE w:val="0"/>
              <w:autoSpaceDN w:val="0"/>
              <w:adjustRightInd w:val="0"/>
              <w:spacing w:after="0" w:line="240" w:lineRule="auto"/>
              <w:jc w:val="both"/>
              <w:rPr>
                <w:lang w:val="pt-PT"/>
              </w:rPr>
            </w:pPr>
            <w:r w:rsidRPr="00FF723B">
              <w:t>Tel.: (</w:t>
            </w:r>
            <w:r w:rsidR="00FA37EF">
              <w:t>+370</w:t>
            </w:r>
            <w:r w:rsidRPr="00FF723B">
              <w:t xml:space="preserve"> </w:t>
            </w:r>
            <w:r w:rsidR="000B73AE" w:rsidRPr="00FF723B">
              <w:t>686</w:t>
            </w:r>
            <w:r w:rsidRPr="00FF723B">
              <w:t xml:space="preserve">) </w:t>
            </w:r>
            <w:r w:rsidR="009A4941">
              <w:t>...................</w:t>
            </w:r>
            <w:r w:rsidR="008713A3" w:rsidRPr="00FF723B">
              <w:t xml:space="preserve">; el. paštas: </w:t>
            </w:r>
            <w:hyperlink r:id="rId8" w:history="1">
              <w:r w:rsidR="009A4941" w:rsidRPr="005C7383">
                <w:rPr>
                  <w:rStyle w:val="Hipersaitas"/>
                </w:rPr>
                <w:t>...................@telsiai.lt</w:t>
              </w:r>
            </w:hyperlink>
            <w:r w:rsidR="009A4941">
              <w:t xml:space="preserve"> </w:t>
            </w:r>
          </w:p>
        </w:tc>
      </w:tr>
      <w:tr w:rsidR="008713A3" w:rsidRPr="00E25D30" w14:paraId="3E8AF3D4" w14:textId="77777777" w:rsidTr="00974B65">
        <w:trPr>
          <w:trHeight w:val="860"/>
        </w:trPr>
        <w:tc>
          <w:tcPr>
            <w:tcW w:w="585" w:type="dxa"/>
          </w:tcPr>
          <w:p w14:paraId="26204A7A" w14:textId="77777777" w:rsidR="008713A3" w:rsidRPr="00E25D30" w:rsidRDefault="008713A3" w:rsidP="00E91EAA">
            <w:pPr>
              <w:rPr>
                <w:color w:val="000000"/>
              </w:rPr>
            </w:pPr>
            <w:r w:rsidRPr="00E25D30">
              <w:rPr>
                <w:color w:val="000000"/>
              </w:rPr>
              <w:t>1.3.</w:t>
            </w:r>
          </w:p>
        </w:tc>
        <w:tc>
          <w:tcPr>
            <w:tcW w:w="1676" w:type="dxa"/>
          </w:tcPr>
          <w:p w14:paraId="3FD5DEFF" w14:textId="77777777" w:rsidR="008713A3" w:rsidRPr="00E25D30" w:rsidRDefault="008713A3" w:rsidP="00E91EAA">
            <w:pPr>
              <w:rPr>
                <w:color w:val="000000"/>
              </w:rPr>
            </w:pPr>
            <w:r w:rsidRPr="00E25D30">
              <w:rPr>
                <w:color w:val="000000"/>
              </w:rPr>
              <w:t>Paslaugos kiekiai</w:t>
            </w:r>
            <w:r w:rsidR="00606ABF">
              <w:rPr>
                <w:color w:val="000000"/>
              </w:rPr>
              <w:t>,</w:t>
            </w:r>
            <w:r w:rsidRPr="00E25D30">
              <w:rPr>
                <w:color w:val="000000"/>
              </w:rPr>
              <w:t xml:space="preserve"> apimtys</w:t>
            </w:r>
          </w:p>
        </w:tc>
        <w:tc>
          <w:tcPr>
            <w:tcW w:w="7486" w:type="dxa"/>
          </w:tcPr>
          <w:p w14:paraId="550252B8" w14:textId="77777777" w:rsidR="00593D0E" w:rsidRPr="00593D0E" w:rsidRDefault="00593D0E" w:rsidP="00593D0E">
            <w:pPr>
              <w:spacing w:line="240" w:lineRule="auto"/>
              <w:jc w:val="both"/>
            </w:pPr>
            <w:r>
              <w:rPr>
                <w:szCs w:val="24"/>
              </w:rPr>
              <w:t>Motyvacijos didinimo ir karjeros planavimo</w:t>
            </w:r>
            <w:r w:rsidRPr="005D6B46">
              <w:rPr>
                <w:szCs w:val="24"/>
              </w:rPr>
              <w:t xml:space="preserve"> mokyma</w:t>
            </w:r>
            <w:r>
              <w:rPr>
                <w:szCs w:val="24"/>
              </w:rPr>
              <w:t xml:space="preserve">ms </w:t>
            </w:r>
            <w:r w:rsidRPr="00536207">
              <w:rPr>
                <w:szCs w:val="24"/>
              </w:rPr>
              <w:t>UDP dalyviams</w:t>
            </w:r>
            <w:r w:rsidRPr="008F02DB">
              <w:t xml:space="preserve"> </w:t>
            </w:r>
            <w:r w:rsidR="00B317BB" w:rsidRPr="008F02DB">
              <w:t>planuojam</w:t>
            </w:r>
            <w:r w:rsidR="00C95DB8">
              <w:t xml:space="preserve">os </w:t>
            </w:r>
            <w:r>
              <w:t xml:space="preserve">grupinės </w:t>
            </w:r>
            <w:r w:rsidR="00C95DB8">
              <w:t>konsultacijos.</w:t>
            </w:r>
            <w:r>
              <w:t xml:space="preserve"> </w:t>
            </w:r>
            <w:r w:rsidRPr="00593D0E">
              <w:t>Užimtumo didinimo programos (UDP) dalyviams planuojamos motyvacijos didinimo ir karjeros planavimo grupinės konsultacijos. Numatyta suformuoti 2 mokymų grupes po iki 12 asmenų.</w:t>
            </w:r>
          </w:p>
          <w:p w14:paraId="552C44FE" w14:textId="77777777" w:rsidR="00593D0E" w:rsidRPr="00593D0E" w:rsidRDefault="00593D0E" w:rsidP="00593D0E">
            <w:pPr>
              <w:spacing w:line="240" w:lineRule="auto"/>
              <w:jc w:val="both"/>
            </w:pPr>
            <w:r w:rsidRPr="00593D0E">
              <w:t>Paslaugos trukmė – 8 valandos kiekvienai grupei, mokymai vyks per tris susitikimus:</w:t>
            </w:r>
          </w:p>
          <w:p w14:paraId="1E5FB08C" w14:textId="77777777" w:rsidR="00593D0E" w:rsidRPr="00593D0E" w:rsidRDefault="00593D0E" w:rsidP="00593D0E">
            <w:pPr>
              <w:numPr>
                <w:ilvl w:val="0"/>
                <w:numId w:val="2"/>
              </w:numPr>
              <w:spacing w:line="240" w:lineRule="auto"/>
              <w:jc w:val="both"/>
            </w:pPr>
            <w:r w:rsidRPr="00593D0E">
              <w:t>1 susitikimas – 3 val.,</w:t>
            </w:r>
          </w:p>
          <w:p w14:paraId="5804B064" w14:textId="77777777" w:rsidR="00593D0E" w:rsidRPr="00593D0E" w:rsidRDefault="00593D0E" w:rsidP="00593D0E">
            <w:pPr>
              <w:numPr>
                <w:ilvl w:val="0"/>
                <w:numId w:val="2"/>
              </w:numPr>
              <w:spacing w:line="240" w:lineRule="auto"/>
              <w:jc w:val="both"/>
            </w:pPr>
            <w:r w:rsidRPr="00593D0E">
              <w:t>2 susitikimas – 3 val.,</w:t>
            </w:r>
          </w:p>
          <w:p w14:paraId="46EFDBBF" w14:textId="77777777" w:rsidR="00593D0E" w:rsidRPr="00593D0E" w:rsidRDefault="00593D0E" w:rsidP="00593D0E">
            <w:pPr>
              <w:numPr>
                <w:ilvl w:val="0"/>
                <w:numId w:val="2"/>
              </w:numPr>
              <w:spacing w:line="240" w:lineRule="auto"/>
              <w:jc w:val="both"/>
            </w:pPr>
            <w:r w:rsidRPr="00593D0E">
              <w:t>3 susitikimas – 2 val.</w:t>
            </w:r>
          </w:p>
          <w:p w14:paraId="3519EC4C" w14:textId="3A0E9562" w:rsidR="000E159C" w:rsidRPr="00B317BB" w:rsidRDefault="00593D0E" w:rsidP="00593D0E">
            <w:pPr>
              <w:spacing w:line="240" w:lineRule="auto"/>
              <w:jc w:val="both"/>
            </w:pPr>
            <w:r w:rsidRPr="00593D0E">
              <w:t>Paslaugos teikimo vieta: Telšių rajono savivaldybės Socialinės paramos ir rūpybos skyrius.</w:t>
            </w:r>
          </w:p>
        </w:tc>
      </w:tr>
      <w:tr w:rsidR="008713A3" w:rsidRPr="00E25D30" w14:paraId="38F69245" w14:textId="77777777" w:rsidTr="00974B65">
        <w:trPr>
          <w:trHeight w:val="2002"/>
        </w:trPr>
        <w:tc>
          <w:tcPr>
            <w:tcW w:w="585" w:type="dxa"/>
          </w:tcPr>
          <w:p w14:paraId="73B8EC25" w14:textId="77777777" w:rsidR="008713A3" w:rsidRPr="00E25D30" w:rsidRDefault="008713A3" w:rsidP="00E91EAA">
            <w:pPr>
              <w:rPr>
                <w:color w:val="000000"/>
              </w:rPr>
            </w:pPr>
            <w:r w:rsidRPr="00E25D30">
              <w:rPr>
                <w:color w:val="000000"/>
              </w:rPr>
              <w:t>1.4.</w:t>
            </w:r>
          </w:p>
        </w:tc>
        <w:tc>
          <w:tcPr>
            <w:tcW w:w="1676" w:type="dxa"/>
          </w:tcPr>
          <w:p w14:paraId="1848495F" w14:textId="77777777" w:rsidR="008713A3" w:rsidRPr="00E25D30" w:rsidRDefault="008713A3" w:rsidP="00E91EAA">
            <w:pPr>
              <w:rPr>
                <w:color w:val="000000"/>
              </w:rPr>
            </w:pPr>
            <w:r w:rsidRPr="00E25D30">
              <w:rPr>
                <w:color w:val="000000"/>
              </w:rPr>
              <w:t>Perkamų paslaugų apibūdinimas</w:t>
            </w:r>
          </w:p>
        </w:tc>
        <w:tc>
          <w:tcPr>
            <w:tcW w:w="7486" w:type="dxa"/>
          </w:tcPr>
          <w:p w14:paraId="0DA4F889" w14:textId="77777777" w:rsidR="00593D0E" w:rsidRPr="00593D0E" w:rsidRDefault="00593D0E" w:rsidP="00593D0E">
            <w:pPr>
              <w:shd w:val="clear" w:color="auto" w:fill="FFFFFF"/>
              <w:tabs>
                <w:tab w:val="left" w:pos="0"/>
              </w:tabs>
              <w:spacing w:after="0" w:line="240" w:lineRule="auto"/>
              <w:jc w:val="both"/>
            </w:pPr>
            <w:r w:rsidRPr="00593D0E">
              <w:t>Motyvacijos didinimo ir karjeros planavimo individualios konsultacijos skirtos padėti dalyviams stiprinti vidinę motyvaciją, ugdyti pasitikėjimą savimi bei formuoti aiškų profesinį kryptingumą. Konsultacijų metu dalyviai skatinami analizuoti savo gebėjimus, įsivardinti profesinius tikslus, įveikti psichologines kliūtis bei pasirengti efektyviai integracijai į darbo rinką.</w:t>
            </w:r>
          </w:p>
          <w:p w14:paraId="58EDE1A6" w14:textId="6A5818EE" w:rsidR="00C95DB8" w:rsidRPr="00FF723B" w:rsidRDefault="00593D0E" w:rsidP="001368E6">
            <w:pPr>
              <w:shd w:val="clear" w:color="auto" w:fill="FFFFFF"/>
              <w:tabs>
                <w:tab w:val="left" w:pos="0"/>
              </w:tabs>
              <w:spacing w:after="0" w:line="240" w:lineRule="auto"/>
              <w:jc w:val="both"/>
            </w:pPr>
            <w:r w:rsidRPr="00593D0E">
              <w:rPr>
                <w:b/>
                <w:bCs/>
              </w:rPr>
              <w:t>Tikslas:</w:t>
            </w:r>
            <w:r w:rsidRPr="00593D0E">
              <w:br/>
              <w:t>Padėti asmeniui atrasti vidinę motyvaciją, aiškiai įsivardinti savo profesinius interesus bei tikslus, ugdyti pasitikėjimą savimi ir priimti pagrįstus sprendimus dėl tolimesnės profesinės krypties ar grįžimo į darbo rinką</w:t>
            </w:r>
          </w:p>
        </w:tc>
      </w:tr>
      <w:tr w:rsidR="008713A3" w:rsidRPr="00E25D30" w14:paraId="127B2659" w14:textId="77777777" w:rsidTr="00E91EAA">
        <w:trPr>
          <w:trHeight w:val="510"/>
        </w:trPr>
        <w:tc>
          <w:tcPr>
            <w:tcW w:w="9747" w:type="dxa"/>
            <w:gridSpan w:val="3"/>
          </w:tcPr>
          <w:p w14:paraId="6656294C" w14:textId="77777777" w:rsidR="008713A3" w:rsidRPr="00FF723B" w:rsidRDefault="008713A3" w:rsidP="00E91EAA">
            <w:pPr>
              <w:jc w:val="both"/>
              <w:rPr>
                <w:b/>
              </w:rPr>
            </w:pPr>
            <w:r w:rsidRPr="00FF723B">
              <w:rPr>
                <w:b/>
              </w:rPr>
              <w:t>2. Pagrindiniai reikalavimai paslaugų vykdymui:</w:t>
            </w:r>
          </w:p>
        </w:tc>
      </w:tr>
      <w:tr w:rsidR="008713A3" w:rsidRPr="00E25D30" w14:paraId="415A9DD7" w14:textId="77777777" w:rsidTr="00974B65">
        <w:tc>
          <w:tcPr>
            <w:tcW w:w="585" w:type="dxa"/>
          </w:tcPr>
          <w:p w14:paraId="197AE0BA" w14:textId="77777777" w:rsidR="008713A3" w:rsidRPr="00E25D30" w:rsidRDefault="008713A3" w:rsidP="003848FB">
            <w:pPr>
              <w:spacing w:after="0"/>
              <w:rPr>
                <w:color w:val="000000"/>
              </w:rPr>
            </w:pPr>
            <w:r w:rsidRPr="00E25D30">
              <w:rPr>
                <w:color w:val="000000"/>
              </w:rPr>
              <w:t>2.1.</w:t>
            </w:r>
          </w:p>
        </w:tc>
        <w:tc>
          <w:tcPr>
            <w:tcW w:w="1676" w:type="dxa"/>
          </w:tcPr>
          <w:p w14:paraId="1A0C027C" w14:textId="77777777" w:rsidR="008713A3" w:rsidRPr="00CC3B3E" w:rsidRDefault="008713A3" w:rsidP="003848FB">
            <w:pPr>
              <w:spacing w:after="0"/>
              <w:rPr>
                <w:color w:val="000000"/>
              </w:rPr>
            </w:pPr>
            <w:r w:rsidRPr="00CC3B3E">
              <w:rPr>
                <w:color w:val="000000"/>
              </w:rPr>
              <w:t>Paslaugos paskirtis</w:t>
            </w:r>
          </w:p>
        </w:tc>
        <w:tc>
          <w:tcPr>
            <w:tcW w:w="7486" w:type="dxa"/>
          </w:tcPr>
          <w:p w14:paraId="6A4372C5" w14:textId="3B51C974" w:rsidR="008F28FD" w:rsidRPr="00E830CE" w:rsidRDefault="001A6F9C" w:rsidP="003848FB">
            <w:pPr>
              <w:spacing w:after="0" w:line="240" w:lineRule="auto"/>
              <w:jc w:val="both"/>
            </w:pPr>
            <w:r w:rsidRPr="00E830CE">
              <w:rPr>
                <w:noProof/>
                <w:szCs w:val="24"/>
              </w:rPr>
              <w:t>Paslaugų gavėjas –</w:t>
            </w:r>
            <w:r w:rsidRPr="00E830CE">
              <w:rPr>
                <w:rFonts w:eastAsia="Times New Roman"/>
                <w:szCs w:val="24"/>
              </w:rPr>
              <w:t xml:space="preserve"> </w:t>
            </w:r>
            <w:r w:rsidR="004B2D06" w:rsidRPr="00E830CE">
              <w:rPr>
                <w:szCs w:val="24"/>
              </w:rPr>
              <w:t>darbo rinkai besir</w:t>
            </w:r>
            <w:r w:rsidR="0039166E" w:rsidRPr="00E830CE">
              <w:rPr>
                <w:szCs w:val="24"/>
              </w:rPr>
              <w:t>e</w:t>
            </w:r>
            <w:r w:rsidR="004B2D06" w:rsidRPr="00E830CE">
              <w:rPr>
                <w:szCs w:val="24"/>
              </w:rPr>
              <w:t>ng</w:t>
            </w:r>
            <w:r w:rsidR="0039166E" w:rsidRPr="00E830CE">
              <w:rPr>
                <w:szCs w:val="24"/>
              </w:rPr>
              <w:t>ia</w:t>
            </w:r>
            <w:r w:rsidR="004B2D06" w:rsidRPr="00E830CE">
              <w:rPr>
                <w:szCs w:val="24"/>
              </w:rPr>
              <w:t>ntis asmuo</w:t>
            </w:r>
            <w:r w:rsidR="00541BB9" w:rsidRPr="00E830CE">
              <w:rPr>
                <w:szCs w:val="24"/>
              </w:rPr>
              <w:t xml:space="preserve">, </w:t>
            </w:r>
            <w:r w:rsidR="004B2D06" w:rsidRPr="00E830CE">
              <w:rPr>
                <w:szCs w:val="24"/>
              </w:rPr>
              <w:t>dalyvaujantis Užimtumo didinimo programoje,</w:t>
            </w:r>
            <w:r w:rsidRPr="00E830CE">
              <w:rPr>
                <w:szCs w:val="24"/>
              </w:rPr>
              <w:t xml:space="preserve"> kurio deklaruota </w:t>
            </w:r>
            <w:r w:rsidR="00C95DB8" w:rsidRPr="00E830CE">
              <w:rPr>
                <w:szCs w:val="24"/>
              </w:rPr>
              <w:t>a</w:t>
            </w:r>
            <w:r w:rsidRPr="00E830CE">
              <w:rPr>
                <w:szCs w:val="24"/>
              </w:rPr>
              <w:t>r</w:t>
            </w:r>
            <w:r w:rsidR="0039166E" w:rsidRPr="00E830CE">
              <w:rPr>
                <w:szCs w:val="24"/>
              </w:rPr>
              <w:t xml:space="preserve"> faktinė</w:t>
            </w:r>
            <w:r w:rsidRPr="00E830CE">
              <w:rPr>
                <w:szCs w:val="24"/>
              </w:rPr>
              <w:t xml:space="preserve"> gyvenamoji vieta yra Telšių rajono savivaldybėje, ir kuriam </w:t>
            </w:r>
            <w:r w:rsidRPr="00E830CE">
              <w:t xml:space="preserve">nustatytas </w:t>
            </w:r>
            <w:r w:rsidR="004B2D06" w:rsidRPr="00E830CE">
              <w:t>poreikis</w:t>
            </w:r>
            <w:r w:rsidR="001368E6" w:rsidRPr="00E830CE">
              <w:t xml:space="preserve"> </w:t>
            </w:r>
            <w:r w:rsidR="00CC3B3E" w:rsidRPr="00E830CE">
              <w:t>išklausyti finansinio raštingumo mokymus</w:t>
            </w:r>
            <w:r w:rsidR="00FF723B" w:rsidRPr="00E830CE">
              <w:t>.</w:t>
            </w:r>
          </w:p>
          <w:p w14:paraId="74A8BCDC" w14:textId="77777777" w:rsidR="00E830CE" w:rsidRPr="00E830CE" w:rsidRDefault="00E830CE" w:rsidP="00E830CE">
            <w:pPr>
              <w:spacing w:after="0" w:line="240" w:lineRule="auto"/>
              <w:jc w:val="both"/>
            </w:pPr>
            <w:r w:rsidRPr="00E830CE">
              <w:rPr>
                <w:b/>
                <w:bCs/>
              </w:rPr>
              <w:t>Motyvacijos didinimo ir karjeros planavimo individualios konsultacijos</w:t>
            </w:r>
            <w:r w:rsidRPr="00E830CE">
              <w:t xml:space="preserve"> skirtos asmenims, kurie susiduria su motyvacijos stoka, žemu pasitikėjimu savimi, neapibrėžtais profesiniais tikslais ar neaiškia kryptimi darbo rinkoje. </w:t>
            </w:r>
            <w:r w:rsidRPr="00E830CE">
              <w:lastRenderedPageBreak/>
              <w:t>Šių konsultacijų tikslas – padėti dalyviams geriau pažinti save, įsivardinti stipriąsias savybes, ugdyti savivoką ir kryptingai planuoti savo karjerą.</w:t>
            </w:r>
          </w:p>
          <w:p w14:paraId="08623481" w14:textId="77777777" w:rsidR="00E830CE" w:rsidRPr="00E830CE" w:rsidRDefault="00E830CE" w:rsidP="00E830CE">
            <w:pPr>
              <w:spacing w:after="0" w:line="240" w:lineRule="auto"/>
              <w:jc w:val="both"/>
            </w:pPr>
            <w:r w:rsidRPr="00E830CE">
              <w:t>Konsultacijų metu aptariamos vidinės motyvacijos stiprinimo strategijos, aiškinamasi, kokios yra galimos karjeros kryptys, kokių gebėjimų ir žinių reikia norimai veiklai, bei kaip susikurti realų ir įgyvendinamą karjeros planą. Dėmesys skiriamas ir emocinių bei psichologinių barjerų, trukdančių įsitraukti į darbo rinką, atpažinimui ir įveikai.</w:t>
            </w:r>
          </w:p>
          <w:p w14:paraId="3A84FC60" w14:textId="77777777" w:rsidR="00E830CE" w:rsidRPr="00E830CE" w:rsidRDefault="00E830CE" w:rsidP="00E830CE">
            <w:pPr>
              <w:spacing w:after="0" w:line="240" w:lineRule="auto"/>
              <w:jc w:val="both"/>
            </w:pPr>
            <w:r w:rsidRPr="00E830CE">
              <w:t>Šios paslaugos padeda darbo rinkai besirengiantiems asmenims išsigryninti tikslus, stiprinti vidinę motyvaciją, gerinti savivertę ir didinti pasitikėjimą savo galimybėmis. Tai svarbus žingsnis, siekiant ilgalaikės ir tvarios profesinės integracijos.</w:t>
            </w:r>
          </w:p>
          <w:p w14:paraId="0FCCDD83" w14:textId="5BE64D6A" w:rsidR="00D82535" w:rsidRPr="00E830CE" w:rsidRDefault="00E830CE" w:rsidP="003848FB">
            <w:pPr>
              <w:spacing w:after="0" w:line="240" w:lineRule="auto"/>
              <w:jc w:val="both"/>
            </w:pPr>
            <w:r w:rsidRPr="00E830CE">
              <w:t>Paslaugų teikėjas įsipareigoja užtikrinti, kad visa konsultacijų metu teikiama informacija būtų aiški, praktiška, lengvai suprantama ir pritaikoma pagal konkretaus asmens galimybes bei situaciją.</w:t>
            </w:r>
          </w:p>
        </w:tc>
      </w:tr>
      <w:tr w:rsidR="008713A3" w:rsidRPr="00E25D30" w14:paraId="3FA5AB78" w14:textId="77777777" w:rsidTr="00974B65">
        <w:tc>
          <w:tcPr>
            <w:tcW w:w="585" w:type="dxa"/>
          </w:tcPr>
          <w:p w14:paraId="4C66243C" w14:textId="77777777" w:rsidR="008713A3" w:rsidRPr="00E25D30" w:rsidRDefault="008713A3" w:rsidP="003848FB">
            <w:pPr>
              <w:spacing w:after="0"/>
              <w:rPr>
                <w:color w:val="000000"/>
              </w:rPr>
            </w:pPr>
            <w:r w:rsidRPr="00E25D30">
              <w:rPr>
                <w:color w:val="000000"/>
              </w:rPr>
              <w:lastRenderedPageBreak/>
              <w:t>2.</w:t>
            </w:r>
            <w:r w:rsidR="00525ACB">
              <w:rPr>
                <w:color w:val="000000"/>
              </w:rPr>
              <w:t>2.</w:t>
            </w:r>
          </w:p>
        </w:tc>
        <w:tc>
          <w:tcPr>
            <w:tcW w:w="1676" w:type="dxa"/>
          </w:tcPr>
          <w:p w14:paraId="0588F78E" w14:textId="77777777" w:rsidR="008713A3" w:rsidRPr="00E25D30" w:rsidRDefault="003848FB" w:rsidP="003848FB">
            <w:pPr>
              <w:spacing w:after="0"/>
              <w:rPr>
                <w:color w:val="000000"/>
              </w:rPr>
            </w:pPr>
            <w:r>
              <w:t>Paslaugos</w:t>
            </w:r>
            <w:r w:rsidR="008713A3" w:rsidRPr="00E25D30">
              <w:t xml:space="preserve"> teikimo procedūros</w:t>
            </w:r>
          </w:p>
        </w:tc>
        <w:tc>
          <w:tcPr>
            <w:tcW w:w="7486" w:type="dxa"/>
          </w:tcPr>
          <w:p w14:paraId="728DA952" w14:textId="2F5B9C84" w:rsidR="008713A3" w:rsidRPr="00FF723B" w:rsidRDefault="00FA37EF" w:rsidP="00FA37EF">
            <w:pPr>
              <w:jc w:val="both"/>
            </w:pPr>
            <w:r w:rsidRPr="00525E27">
              <w:t xml:space="preserve">Paslaugų teikimas organizuojamas vadovaujantis </w:t>
            </w:r>
            <w:r w:rsidRPr="00B44AA0">
              <w:rPr>
                <w:color w:val="000000" w:themeColor="text1"/>
                <w:szCs w:val="24"/>
                <w:shd w:val="clear" w:color="auto" w:fill="FFFFFF" w:themeFill="background1"/>
              </w:rPr>
              <w:t>Užimtumo didinimo program</w:t>
            </w:r>
            <w:r>
              <w:rPr>
                <w:color w:val="000000" w:themeColor="text1"/>
                <w:szCs w:val="24"/>
                <w:shd w:val="clear" w:color="auto" w:fill="FFFFFF" w:themeFill="background1"/>
              </w:rPr>
              <w:t>a</w:t>
            </w:r>
            <w:r w:rsidRPr="00B44AA0">
              <w:rPr>
                <w:color w:val="000000" w:themeColor="text1"/>
                <w:szCs w:val="24"/>
                <w:shd w:val="clear" w:color="auto" w:fill="FFFFFF" w:themeFill="background1"/>
              </w:rPr>
              <w:t xml:space="preserve">, </w:t>
            </w:r>
            <w:r w:rsidRPr="00BC0855">
              <w:rPr>
                <w:szCs w:val="24"/>
                <w:shd w:val="clear" w:color="auto" w:fill="FFFFFF" w:themeFill="background1"/>
              </w:rPr>
              <w:t>patvirtint</w:t>
            </w:r>
            <w:r>
              <w:rPr>
                <w:szCs w:val="24"/>
                <w:shd w:val="clear" w:color="auto" w:fill="FFFFFF" w:themeFill="background1"/>
              </w:rPr>
              <w:t>a</w:t>
            </w:r>
            <w:r w:rsidRPr="00BC0855">
              <w:rPr>
                <w:szCs w:val="24"/>
                <w:shd w:val="clear" w:color="auto" w:fill="FFFFFF" w:themeFill="background1"/>
              </w:rPr>
              <w:t xml:space="preserve"> Telšių rajono savivaldybės tarybos 202</w:t>
            </w:r>
            <w:r>
              <w:rPr>
                <w:szCs w:val="24"/>
                <w:shd w:val="clear" w:color="auto" w:fill="FFFFFF" w:themeFill="background1"/>
              </w:rPr>
              <w:t>5</w:t>
            </w:r>
            <w:r w:rsidRPr="00BC0855">
              <w:rPr>
                <w:szCs w:val="24"/>
                <w:shd w:val="clear" w:color="auto" w:fill="FFFFFF" w:themeFill="background1"/>
              </w:rPr>
              <w:t xml:space="preserve"> m. </w:t>
            </w:r>
            <w:r>
              <w:rPr>
                <w:szCs w:val="24"/>
                <w:shd w:val="clear" w:color="auto" w:fill="FFFFFF" w:themeFill="background1"/>
              </w:rPr>
              <w:t>vasario</w:t>
            </w:r>
            <w:r w:rsidRPr="00BC0855">
              <w:rPr>
                <w:szCs w:val="24"/>
                <w:shd w:val="clear" w:color="auto" w:fill="FFFFFF" w:themeFill="background1"/>
              </w:rPr>
              <w:t xml:space="preserve"> </w:t>
            </w:r>
            <w:r>
              <w:rPr>
                <w:szCs w:val="24"/>
                <w:shd w:val="clear" w:color="auto" w:fill="FFFFFF" w:themeFill="background1"/>
              </w:rPr>
              <w:t>27</w:t>
            </w:r>
            <w:r w:rsidRPr="00BC0855">
              <w:rPr>
                <w:szCs w:val="24"/>
                <w:shd w:val="clear" w:color="auto" w:fill="FFFFFF" w:themeFill="background1"/>
              </w:rPr>
              <w:t xml:space="preserve"> d. sprendimu Nr. T1-</w:t>
            </w:r>
            <w:r>
              <w:rPr>
                <w:szCs w:val="24"/>
                <w:shd w:val="clear" w:color="auto" w:fill="FFFFFF" w:themeFill="background1"/>
              </w:rPr>
              <w:t>80</w:t>
            </w:r>
            <w:r w:rsidRPr="00BC0855">
              <w:rPr>
                <w:szCs w:val="24"/>
                <w:shd w:val="clear" w:color="auto" w:fill="FFFFFF" w:themeFill="background1"/>
              </w:rPr>
              <w:t xml:space="preserve"> „Dėl Telšių rajono savivaldybės 202</w:t>
            </w:r>
            <w:r>
              <w:rPr>
                <w:szCs w:val="24"/>
                <w:shd w:val="clear" w:color="auto" w:fill="FFFFFF" w:themeFill="background1"/>
              </w:rPr>
              <w:t>5</w:t>
            </w:r>
            <w:r w:rsidRPr="00BC0855">
              <w:rPr>
                <w:szCs w:val="24"/>
                <w:shd w:val="clear" w:color="auto" w:fill="FFFFFF" w:themeFill="background1"/>
              </w:rPr>
              <w:t xml:space="preserve"> metų užimtumo didinimo programos patvirtinimo“</w:t>
            </w:r>
            <w:r>
              <w:rPr>
                <w:szCs w:val="24"/>
                <w:shd w:val="clear" w:color="auto" w:fill="FFFFFF" w:themeFill="background1"/>
              </w:rPr>
              <w:t xml:space="preserve"> ir </w:t>
            </w:r>
            <w:bookmarkStart w:id="0" w:name="_Hlk161303995"/>
            <w:r w:rsidRPr="00525E27">
              <w:t>Telšių rajono savivaldybės užimtumo didinimo programos įgyvendinimo teikiant atvejo vadybos paslaugas tvarkos aprašu, patvirtintu Telšių rajono mero 202</w:t>
            </w:r>
            <w:r>
              <w:t>5</w:t>
            </w:r>
            <w:r w:rsidRPr="00525E27">
              <w:t xml:space="preserve"> m. </w:t>
            </w:r>
            <w:r>
              <w:t>kovo 21</w:t>
            </w:r>
            <w:r w:rsidRPr="00525E27">
              <w:t xml:space="preserve"> d. potvarkiu Nr. M1-</w:t>
            </w:r>
            <w:r>
              <w:t>155</w:t>
            </w:r>
            <w:r w:rsidRPr="00525E27">
              <w:t xml:space="preserve"> „Dėl </w:t>
            </w:r>
            <w:r>
              <w:t xml:space="preserve">atvejo vadybos organizavimo įgyvendinant </w:t>
            </w:r>
            <w:r w:rsidRPr="00525E27">
              <w:t>užimtumo didinimo program</w:t>
            </w:r>
            <w:bookmarkEnd w:id="0"/>
            <w:r>
              <w:t>ą Telšių rajono savivaldybėje</w:t>
            </w:r>
            <w:r w:rsidRPr="00525E27">
              <w:t xml:space="preserve"> tvarkos aprašo patvirtinimo“.</w:t>
            </w:r>
          </w:p>
        </w:tc>
      </w:tr>
      <w:tr w:rsidR="00974B65" w:rsidRPr="00E25D30" w14:paraId="67B10771" w14:textId="77777777">
        <w:tc>
          <w:tcPr>
            <w:tcW w:w="9747" w:type="dxa"/>
            <w:gridSpan w:val="3"/>
          </w:tcPr>
          <w:p w14:paraId="51AFFE06" w14:textId="77777777" w:rsidR="00974B65" w:rsidRPr="00FF723B" w:rsidRDefault="00974B65">
            <w:pPr>
              <w:rPr>
                <w:b/>
              </w:rPr>
            </w:pPr>
            <w:r w:rsidRPr="00FF723B">
              <w:rPr>
                <w:b/>
              </w:rPr>
              <w:t>3. Aplinkosauginiai reikalavimai</w:t>
            </w:r>
            <w:r w:rsidR="00606ABF" w:rsidRPr="00FF723B">
              <w:rPr>
                <w:b/>
              </w:rPr>
              <w:t>:</w:t>
            </w:r>
          </w:p>
        </w:tc>
      </w:tr>
      <w:tr w:rsidR="00974B65" w:rsidRPr="00E25D30" w14:paraId="3A5637CB" w14:textId="77777777" w:rsidTr="00974B65">
        <w:tc>
          <w:tcPr>
            <w:tcW w:w="585" w:type="dxa"/>
          </w:tcPr>
          <w:p w14:paraId="0D775D09" w14:textId="77777777" w:rsidR="00974B65" w:rsidRPr="00E25D30" w:rsidRDefault="00974B65" w:rsidP="003848FB">
            <w:pPr>
              <w:spacing w:after="0"/>
              <w:rPr>
                <w:color w:val="000000"/>
              </w:rPr>
            </w:pPr>
            <w:r>
              <w:rPr>
                <w:color w:val="000000"/>
              </w:rPr>
              <w:t>3.1.</w:t>
            </w:r>
          </w:p>
        </w:tc>
        <w:tc>
          <w:tcPr>
            <w:tcW w:w="1676" w:type="dxa"/>
          </w:tcPr>
          <w:p w14:paraId="3738D3B9" w14:textId="77777777" w:rsidR="00974B65" w:rsidRDefault="00606ABF" w:rsidP="003848FB">
            <w:pPr>
              <w:spacing w:after="0"/>
            </w:pPr>
            <w:r>
              <w:t>Reikalavimai paslaugai</w:t>
            </w:r>
          </w:p>
        </w:tc>
        <w:tc>
          <w:tcPr>
            <w:tcW w:w="7486" w:type="dxa"/>
          </w:tcPr>
          <w:p w14:paraId="35A82C00" w14:textId="77777777" w:rsidR="00FA37EF" w:rsidRPr="00FE3C01" w:rsidRDefault="00FA37EF" w:rsidP="00FA37EF">
            <w:pPr>
              <w:tabs>
                <w:tab w:val="left" w:pos="162"/>
                <w:tab w:val="left" w:pos="304"/>
              </w:tabs>
              <w:ind w:left="20"/>
              <w:jc w:val="both"/>
            </w:pPr>
            <w:r w:rsidRPr="00847F4C">
              <w:t xml:space="preserve">Vykdydamas sutartį, tiekėjas privalo vadovautis Lietuvos Respublikos aplinkos ministro 2011 m. birželio 28 d. įsakymu Nr. D1-508 „Dėl Aplinkos apsaugos kriterijų taikymo, vykdant žaliuosius pirkimus, tvarkos aprašo patvirtinimo“ tvarkos aprašo 4.4.4.1 punkte nustatytu aplinkosauginiu principu. </w:t>
            </w:r>
            <w:r w:rsidRPr="00FE3C01">
              <w:t>Užsakovas siekia įsigyti Paslaugas, darančias kuo mažesnį poveikį aplinkai ir mažinti gamtos išteklių vartojimą.</w:t>
            </w:r>
          </w:p>
          <w:p w14:paraId="1A1F358E" w14:textId="0FACC37C" w:rsidR="00974B65" w:rsidRPr="00FF723B" w:rsidRDefault="00FA37EF" w:rsidP="00FA37EF">
            <w:pPr>
              <w:tabs>
                <w:tab w:val="left" w:pos="0"/>
                <w:tab w:val="left" w:pos="993"/>
                <w:tab w:val="left" w:pos="1134"/>
              </w:tabs>
              <w:jc w:val="both"/>
            </w:pPr>
            <w:r>
              <w:rPr>
                <w:color w:val="000000"/>
              </w:rPr>
              <w:t>Dalyvių sąrašai ir mokomoji medžiaga bus pateikiami skaitmeniniu formatu. Registracijos sąrašai atspausdinti ant abiejų lapo pusių.</w:t>
            </w:r>
          </w:p>
        </w:tc>
      </w:tr>
    </w:tbl>
    <w:p w14:paraId="18A72ADC" w14:textId="77777777" w:rsidR="008713A3" w:rsidRPr="0052656E" w:rsidRDefault="008713A3" w:rsidP="003848FB">
      <w:pPr>
        <w:spacing w:after="0"/>
        <w:jc w:val="both"/>
        <w:rPr>
          <w:color w:val="92CDDC"/>
        </w:rPr>
      </w:pPr>
    </w:p>
    <w:p w14:paraId="6023F1AB" w14:textId="77777777" w:rsidR="008713A3" w:rsidRDefault="008713A3" w:rsidP="008713A3">
      <w:pPr>
        <w:widowControl w:val="0"/>
        <w:jc w:val="both"/>
        <w:rPr>
          <w:color w:val="92CDDC"/>
        </w:rPr>
      </w:pPr>
    </w:p>
    <w:p w14:paraId="5DFB0C5A" w14:textId="77777777" w:rsidR="008713A3" w:rsidRDefault="008713A3" w:rsidP="008713A3"/>
    <w:sectPr w:rsidR="008713A3" w:rsidSect="00E91EAA">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95F7" w14:textId="77777777" w:rsidR="009A197E" w:rsidRDefault="009A197E">
      <w:pPr>
        <w:spacing w:after="0" w:line="240" w:lineRule="auto"/>
      </w:pPr>
      <w:r>
        <w:separator/>
      </w:r>
    </w:p>
  </w:endnote>
  <w:endnote w:type="continuationSeparator" w:id="0">
    <w:p w14:paraId="052E17C1" w14:textId="77777777" w:rsidR="009A197E" w:rsidRDefault="009A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DD4A" w14:textId="77777777" w:rsidR="009A197E" w:rsidRDefault="009A197E">
      <w:pPr>
        <w:spacing w:after="0" w:line="240" w:lineRule="auto"/>
      </w:pPr>
      <w:r>
        <w:separator/>
      </w:r>
    </w:p>
  </w:footnote>
  <w:footnote w:type="continuationSeparator" w:id="0">
    <w:p w14:paraId="58C99906" w14:textId="77777777" w:rsidR="009A197E" w:rsidRDefault="009A1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4221"/>
    <w:multiLevelType w:val="multilevel"/>
    <w:tmpl w:val="4F36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60121"/>
    <w:multiLevelType w:val="multilevel"/>
    <w:tmpl w:val="694E47FC"/>
    <w:lvl w:ilvl="0">
      <w:start w:val="1"/>
      <w:numFmt w:val="decimal"/>
      <w:lvlText w:val="%1."/>
      <w:lvlJc w:val="left"/>
      <w:pPr>
        <w:tabs>
          <w:tab w:val="num" w:pos="1020"/>
        </w:tabs>
        <w:ind w:left="1020" w:hanging="360"/>
      </w:pPr>
      <w:rPr>
        <w:rFonts w:hint="default"/>
        <w:b w:val="0"/>
        <w:color w:val="auto"/>
      </w:rPr>
    </w:lvl>
    <w:lvl w:ilvl="1">
      <w:start w:val="1"/>
      <w:numFmt w:val="decimal"/>
      <w:isLgl/>
      <w:lvlText w:val="%1.%2."/>
      <w:lvlJc w:val="left"/>
      <w:pPr>
        <w:tabs>
          <w:tab w:val="num" w:pos="1440"/>
        </w:tabs>
        <w:ind w:left="1440" w:hanging="540"/>
      </w:pPr>
      <w:rPr>
        <w:rFonts w:hint="default"/>
        <w:b w:val="0"/>
        <w:i w:val="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num w:numId="1" w16cid:durableId="1789741373">
    <w:abstractNumId w:val="1"/>
  </w:num>
  <w:num w:numId="2" w16cid:durableId="68185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A3"/>
    <w:rsid w:val="00013F53"/>
    <w:rsid w:val="00025751"/>
    <w:rsid w:val="000620D2"/>
    <w:rsid w:val="00086E9A"/>
    <w:rsid w:val="000B73AE"/>
    <w:rsid w:val="000E0883"/>
    <w:rsid w:val="000E159C"/>
    <w:rsid w:val="000E2758"/>
    <w:rsid w:val="000E65AE"/>
    <w:rsid w:val="00124DBC"/>
    <w:rsid w:val="001368E6"/>
    <w:rsid w:val="0018750F"/>
    <w:rsid w:val="001A6F9C"/>
    <w:rsid w:val="001F0232"/>
    <w:rsid w:val="00346804"/>
    <w:rsid w:val="00381228"/>
    <w:rsid w:val="0038248D"/>
    <w:rsid w:val="003848FB"/>
    <w:rsid w:val="0039166E"/>
    <w:rsid w:val="003B2729"/>
    <w:rsid w:val="003C1B75"/>
    <w:rsid w:val="003D78B7"/>
    <w:rsid w:val="00410B1A"/>
    <w:rsid w:val="00424BC9"/>
    <w:rsid w:val="00426B91"/>
    <w:rsid w:val="004B0D19"/>
    <w:rsid w:val="004B2D06"/>
    <w:rsid w:val="00525ACB"/>
    <w:rsid w:val="005331E6"/>
    <w:rsid w:val="00541BB9"/>
    <w:rsid w:val="0054573F"/>
    <w:rsid w:val="00593D0E"/>
    <w:rsid w:val="005A7411"/>
    <w:rsid w:val="005C5B48"/>
    <w:rsid w:val="005C6B89"/>
    <w:rsid w:val="005D1937"/>
    <w:rsid w:val="005F6C46"/>
    <w:rsid w:val="00600DE8"/>
    <w:rsid w:val="00606ABF"/>
    <w:rsid w:val="006C1053"/>
    <w:rsid w:val="006F6865"/>
    <w:rsid w:val="00702AA1"/>
    <w:rsid w:val="007034D0"/>
    <w:rsid w:val="00713D33"/>
    <w:rsid w:val="00751B5E"/>
    <w:rsid w:val="00786025"/>
    <w:rsid w:val="007E566B"/>
    <w:rsid w:val="00850749"/>
    <w:rsid w:val="00864091"/>
    <w:rsid w:val="00865B41"/>
    <w:rsid w:val="008713A3"/>
    <w:rsid w:val="008761CE"/>
    <w:rsid w:val="008A438B"/>
    <w:rsid w:val="008C749D"/>
    <w:rsid w:val="008D0D7B"/>
    <w:rsid w:val="008F28FD"/>
    <w:rsid w:val="008F31A9"/>
    <w:rsid w:val="00974B65"/>
    <w:rsid w:val="00987B21"/>
    <w:rsid w:val="009A197E"/>
    <w:rsid w:val="009A4941"/>
    <w:rsid w:val="009D56D5"/>
    <w:rsid w:val="00A17C37"/>
    <w:rsid w:val="00A314D6"/>
    <w:rsid w:val="00A55746"/>
    <w:rsid w:val="00A6157A"/>
    <w:rsid w:val="00AB4B60"/>
    <w:rsid w:val="00AC41C2"/>
    <w:rsid w:val="00AC5B7D"/>
    <w:rsid w:val="00AD4276"/>
    <w:rsid w:val="00AD7098"/>
    <w:rsid w:val="00B317BB"/>
    <w:rsid w:val="00BA3982"/>
    <w:rsid w:val="00BA65A1"/>
    <w:rsid w:val="00BC5FC3"/>
    <w:rsid w:val="00BF1FDB"/>
    <w:rsid w:val="00C915A9"/>
    <w:rsid w:val="00C95DB8"/>
    <w:rsid w:val="00CB67C4"/>
    <w:rsid w:val="00CB6CC8"/>
    <w:rsid w:val="00CC3B3E"/>
    <w:rsid w:val="00D234FE"/>
    <w:rsid w:val="00D82535"/>
    <w:rsid w:val="00DB0B4C"/>
    <w:rsid w:val="00DE73DB"/>
    <w:rsid w:val="00E03F9D"/>
    <w:rsid w:val="00E1630B"/>
    <w:rsid w:val="00E27650"/>
    <w:rsid w:val="00E573B7"/>
    <w:rsid w:val="00E810D2"/>
    <w:rsid w:val="00E830CE"/>
    <w:rsid w:val="00E91EAA"/>
    <w:rsid w:val="00EB6281"/>
    <w:rsid w:val="00ED0BCA"/>
    <w:rsid w:val="00F803D1"/>
    <w:rsid w:val="00FA37EF"/>
    <w:rsid w:val="00FA5467"/>
    <w:rsid w:val="00FB570D"/>
    <w:rsid w:val="00FC2FC4"/>
    <w:rsid w:val="00FF2004"/>
    <w:rsid w:val="00FF72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6238"/>
  <w15:chartTrackingRefBased/>
  <w15:docId w15:val="{BB4C4C2F-0D11-45AE-A59C-462926B8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713A3"/>
    <w:pPr>
      <w:spacing w:after="0" w:line="240" w:lineRule="auto"/>
      <w:ind w:left="720"/>
      <w:contextualSpacing/>
    </w:pPr>
    <w:rPr>
      <w:rFonts w:eastAsia="Times New Roman"/>
      <w:sz w:val="20"/>
      <w:szCs w:val="20"/>
      <w:lang w:eastAsia="lt-LT"/>
    </w:rPr>
  </w:style>
  <w:style w:type="character" w:customStyle="1" w:styleId="SraopastraipaDiagrama">
    <w:name w:val="Sąrašo pastraipa Diagrama"/>
    <w:link w:val="Sraopastraipa"/>
    <w:uiPriority w:val="34"/>
    <w:locked/>
    <w:rsid w:val="008713A3"/>
    <w:rPr>
      <w:rFonts w:eastAsia="Times New Roman"/>
    </w:rPr>
  </w:style>
  <w:style w:type="character" w:styleId="Hipersaitas">
    <w:name w:val="Hyperlink"/>
    <w:rsid w:val="001A6F9C"/>
    <w:rPr>
      <w:color w:val="0000FF"/>
      <w:u w:val="single"/>
    </w:rPr>
  </w:style>
  <w:style w:type="paragraph" w:customStyle="1" w:styleId="centrbold">
    <w:name w:val="centrbold"/>
    <w:basedOn w:val="prastasis"/>
    <w:rsid w:val="008F31A9"/>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0E159C"/>
    <w:rPr>
      <w:i/>
      <w:iCs/>
    </w:rPr>
  </w:style>
  <w:style w:type="paragraph" w:styleId="prastasiniatinklio">
    <w:name w:val="Normal (Web)"/>
    <w:basedOn w:val="prastasis"/>
    <w:uiPriority w:val="99"/>
    <w:semiHidden/>
    <w:unhideWhenUsed/>
    <w:rsid w:val="00593D0E"/>
    <w:rPr>
      <w:szCs w:val="24"/>
    </w:rPr>
  </w:style>
  <w:style w:type="character" w:styleId="Neapdorotaspaminjimas">
    <w:name w:val="Unresolved Mention"/>
    <w:basedOn w:val="Numatytasispastraiposriftas"/>
    <w:uiPriority w:val="99"/>
    <w:semiHidden/>
    <w:unhideWhenUsed/>
    <w:rsid w:val="009A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21742">
      <w:bodyDiv w:val="1"/>
      <w:marLeft w:val="0"/>
      <w:marRight w:val="0"/>
      <w:marTop w:val="0"/>
      <w:marBottom w:val="0"/>
      <w:divBdr>
        <w:top w:val="none" w:sz="0" w:space="0" w:color="auto"/>
        <w:left w:val="none" w:sz="0" w:space="0" w:color="auto"/>
        <w:bottom w:val="none" w:sz="0" w:space="0" w:color="auto"/>
        <w:right w:val="none" w:sz="0" w:space="0" w:color="auto"/>
      </w:divBdr>
    </w:div>
    <w:div w:id="709381908">
      <w:bodyDiv w:val="1"/>
      <w:marLeft w:val="0"/>
      <w:marRight w:val="0"/>
      <w:marTop w:val="0"/>
      <w:marBottom w:val="0"/>
      <w:divBdr>
        <w:top w:val="none" w:sz="0" w:space="0" w:color="auto"/>
        <w:left w:val="none" w:sz="0" w:space="0" w:color="auto"/>
        <w:bottom w:val="none" w:sz="0" w:space="0" w:color="auto"/>
        <w:right w:val="none" w:sz="0" w:space="0" w:color="auto"/>
      </w:divBdr>
    </w:div>
    <w:div w:id="740835155">
      <w:bodyDiv w:val="1"/>
      <w:marLeft w:val="0"/>
      <w:marRight w:val="0"/>
      <w:marTop w:val="0"/>
      <w:marBottom w:val="0"/>
      <w:divBdr>
        <w:top w:val="none" w:sz="0" w:space="0" w:color="auto"/>
        <w:left w:val="none" w:sz="0" w:space="0" w:color="auto"/>
        <w:bottom w:val="none" w:sz="0" w:space="0" w:color="auto"/>
        <w:right w:val="none" w:sz="0" w:space="0" w:color="auto"/>
      </w:divBdr>
    </w:div>
    <w:div w:id="1292712739">
      <w:bodyDiv w:val="1"/>
      <w:marLeft w:val="0"/>
      <w:marRight w:val="0"/>
      <w:marTop w:val="0"/>
      <w:marBottom w:val="0"/>
      <w:divBdr>
        <w:top w:val="none" w:sz="0" w:space="0" w:color="auto"/>
        <w:left w:val="none" w:sz="0" w:space="0" w:color="auto"/>
        <w:bottom w:val="none" w:sz="0" w:space="0" w:color="auto"/>
        <w:right w:val="none" w:sz="0" w:space="0" w:color="auto"/>
      </w:divBdr>
    </w:div>
    <w:div w:id="1430269343">
      <w:bodyDiv w:val="1"/>
      <w:marLeft w:val="0"/>
      <w:marRight w:val="0"/>
      <w:marTop w:val="0"/>
      <w:marBottom w:val="0"/>
      <w:divBdr>
        <w:top w:val="none" w:sz="0" w:space="0" w:color="auto"/>
        <w:left w:val="none" w:sz="0" w:space="0" w:color="auto"/>
        <w:bottom w:val="none" w:sz="0" w:space="0" w:color="auto"/>
        <w:right w:val="none" w:sz="0" w:space="0" w:color="auto"/>
      </w:divBdr>
    </w:div>
    <w:div w:id="1755975325">
      <w:bodyDiv w:val="1"/>
      <w:marLeft w:val="0"/>
      <w:marRight w:val="0"/>
      <w:marTop w:val="0"/>
      <w:marBottom w:val="0"/>
      <w:divBdr>
        <w:top w:val="none" w:sz="0" w:space="0" w:color="auto"/>
        <w:left w:val="none" w:sz="0" w:space="0" w:color="auto"/>
        <w:bottom w:val="none" w:sz="0" w:space="0" w:color="auto"/>
        <w:right w:val="none" w:sz="0" w:space="0" w:color="auto"/>
      </w:divBdr>
    </w:div>
    <w:div w:id="1885826679">
      <w:bodyDiv w:val="1"/>
      <w:marLeft w:val="0"/>
      <w:marRight w:val="0"/>
      <w:marTop w:val="0"/>
      <w:marBottom w:val="0"/>
      <w:divBdr>
        <w:top w:val="none" w:sz="0" w:space="0" w:color="auto"/>
        <w:left w:val="none" w:sz="0" w:space="0" w:color="auto"/>
        <w:bottom w:val="none" w:sz="0" w:space="0" w:color="auto"/>
        <w:right w:val="none" w:sz="0" w:space="0" w:color="auto"/>
      </w:divBdr>
    </w:div>
    <w:div w:id="1987080536">
      <w:bodyDiv w:val="1"/>
      <w:marLeft w:val="0"/>
      <w:marRight w:val="0"/>
      <w:marTop w:val="0"/>
      <w:marBottom w:val="0"/>
      <w:divBdr>
        <w:top w:val="none" w:sz="0" w:space="0" w:color="auto"/>
        <w:left w:val="none" w:sz="0" w:space="0" w:color="auto"/>
        <w:bottom w:val="none" w:sz="0" w:space="0" w:color="auto"/>
        <w:right w:val="none" w:sz="0" w:space="0" w:color="auto"/>
      </w:divBdr>
    </w:div>
    <w:div w:id="21036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886D-FEB2-48F5-8724-FCF08725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naujas</cp:lastModifiedBy>
  <cp:revision>3</cp:revision>
  <cp:lastPrinted>2023-09-27T11:57:00Z</cp:lastPrinted>
  <dcterms:created xsi:type="dcterms:W3CDTF">2025-07-28T09:57:00Z</dcterms:created>
  <dcterms:modified xsi:type="dcterms:W3CDTF">2025-08-01T05:15:00Z</dcterms:modified>
</cp:coreProperties>
</file>