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9576E" w14:textId="2CC01E1C" w:rsidR="00A14C27" w:rsidRDefault="00A14C27" w:rsidP="00A14C27">
      <w:pPr>
        <w:jc w:val="right"/>
      </w:pPr>
      <w:bookmarkStart w:id="0" w:name="_GoBack"/>
      <w:bookmarkEnd w:id="0"/>
      <w:r>
        <w:t>3 priedas</w:t>
      </w:r>
    </w:p>
    <w:p w14:paraId="5F486D73" w14:textId="09893DED" w:rsidR="00A14C27" w:rsidRPr="00075142" w:rsidRDefault="00A14C27" w:rsidP="00A14C27">
      <w:pPr>
        <w:jc w:val="center"/>
        <w:rPr>
          <w:rFonts w:ascii="Times New Roman" w:hAnsi="Times New Roman" w:cs="Times New Roman"/>
          <w:b/>
          <w:bCs/>
          <w:sz w:val="24"/>
          <w:szCs w:val="24"/>
        </w:rPr>
      </w:pPr>
      <w:r w:rsidRPr="00075142">
        <w:rPr>
          <w:rFonts w:ascii="Times New Roman" w:hAnsi="Times New Roman" w:cs="Times New Roman"/>
          <w:b/>
          <w:bCs/>
          <w:sz w:val="24"/>
          <w:szCs w:val="24"/>
        </w:rPr>
        <w:t xml:space="preserve">SPECIFINIŲ IgE NUSTATYMO PRIEŠ ALERGENŲ ŠALTINIUS IR MOLEKULINIUS ALERGENUS KARTU SU ĮRANGOS ĮSIGYJIMU PANAUDOS BŪDU </w:t>
      </w:r>
    </w:p>
    <w:p w14:paraId="3B1E8410" w14:textId="789BBC07" w:rsidR="00D76588" w:rsidRPr="00075142" w:rsidRDefault="00A14C27" w:rsidP="00A14C27">
      <w:pPr>
        <w:jc w:val="center"/>
        <w:rPr>
          <w:rFonts w:ascii="Times New Roman" w:hAnsi="Times New Roman" w:cs="Times New Roman"/>
          <w:b/>
          <w:bCs/>
          <w:sz w:val="24"/>
          <w:szCs w:val="24"/>
        </w:rPr>
      </w:pPr>
      <w:r w:rsidRPr="00075142">
        <w:rPr>
          <w:rFonts w:ascii="Times New Roman" w:hAnsi="Times New Roman" w:cs="Times New Roman"/>
          <w:b/>
          <w:bCs/>
          <w:sz w:val="24"/>
          <w:szCs w:val="24"/>
        </w:rPr>
        <w:t>TECHNINĖ SPECIFIKACIJA</w:t>
      </w:r>
    </w:p>
    <w:p w14:paraId="38A4B8AE" w14:textId="77777777" w:rsidR="00A14C27" w:rsidRDefault="00A14C27" w:rsidP="00A14C27">
      <w:pPr>
        <w:jc w:val="center"/>
      </w:pPr>
    </w:p>
    <w:tbl>
      <w:tblPr>
        <w:tblStyle w:val="TableGrid"/>
        <w:tblW w:w="0" w:type="auto"/>
        <w:tblLayout w:type="fixed"/>
        <w:tblLook w:val="04A0" w:firstRow="1" w:lastRow="0" w:firstColumn="1" w:lastColumn="0" w:noHBand="0" w:noVBand="1"/>
      </w:tblPr>
      <w:tblGrid>
        <w:gridCol w:w="834"/>
        <w:gridCol w:w="1004"/>
        <w:gridCol w:w="2126"/>
        <w:gridCol w:w="567"/>
        <w:gridCol w:w="993"/>
        <w:gridCol w:w="1275"/>
        <w:gridCol w:w="1276"/>
        <w:gridCol w:w="1276"/>
        <w:gridCol w:w="1417"/>
        <w:gridCol w:w="3180"/>
      </w:tblGrid>
      <w:tr w:rsidR="000E17BF" w14:paraId="3B84010B" w14:textId="77777777" w:rsidTr="00DC6F4F">
        <w:tc>
          <w:tcPr>
            <w:tcW w:w="834" w:type="dxa"/>
          </w:tcPr>
          <w:p w14:paraId="511DF0FC" w14:textId="3A4F8BAB" w:rsidR="00CF69E0" w:rsidRDefault="00CF69E0" w:rsidP="00A14C27">
            <w:pPr>
              <w:jc w:val="center"/>
            </w:pPr>
            <w:r w:rsidRPr="00A14C27">
              <w:t>Pirkimo dalies Nr.</w:t>
            </w:r>
          </w:p>
        </w:tc>
        <w:tc>
          <w:tcPr>
            <w:tcW w:w="1004" w:type="dxa"/>
          </w:tcPr>
          <w:p w14:paraId="04B2CA8B" w14:textId="63FE7FF1" w:rsidR="00CF69E0" w:rsidRDefault="00CF69E0" w:rsidP="00A14C27">
            <w:pPr>
              <w:jc w:val="center"/>
            </w:pPr>
            <w:r w:rsidRPr="00A14C27">
              <w:t>Produkto pavadinimas</w:t>
            </w:r>
          </w:p>
        </w:tc>
        <w:tc>
          <w:tcPr>
            <w:tcW w:w="2126" w:type="dxa"/>
          </w:tcPr>
          <w:p w14:paraId="5A10E58D" w14:textId="060B0FF9" w:rsidR="00CF69E0" w:rsidRDefault="00CF69E0" w:rsidP="00A14C27">
            <w:pPr>
              <w:jc w:val="center"/>
            </w:pPr>
            <w:r w:rsidRPr="00A14C27">
              <w:t>Specialūs reikalavimai</w:t>
            </w:r>
          </w:p>
        </w:tc>
        <w:tc>
          <w:tcPr>
            <w:tcW w:w="567" w:type="dxa"/>
          </w:tcPr>
          <w:p w14:paraId="55432EC2" w14:textId="6C248F5C" w:rsidR="00CF69E0" w:rsidRDefault="00CF69E0" w:rsidP="00A14C27">
            <w:pPr>
              <w:jc w:val="center"/>
            </w:pPr>
            <w:r w:rsidRPr="00CF69E0">
              <w:t>Mato vienetas</w:t>
            </w:r>
          </w:p>
        </w:tc>
        <w:tc>
          <w:tcPr>
            <w:tcW w:w="993" w:type="dxa"/>
          </w:tcPr>
          <w:p w14:paraId="0D65AED5" w14:textId="339A6CE4" w:rsidR="00CF69E0" w:rsidRDefault="00CF69E0" w:rsidP="00A14C27">
            <w:pPr>
              <w:jc w:val="center"/>
            </w:pPr>
            <w:r w:rsidRPr="00CF69E0">
              <w:t>Orientacinis kiekis</w:t>
            </w:r>
          </w:p>
        </w:tc>
        <w:tc>
          <w:tcPr>
            <w:tcW w:w="1275" w:type="dxa"/>
          </w:tcPr>
          <w:p w14:paraId="66BC04AC" w14:textId="39083CFF" w:rsidR="00CF69E0" w:rsidRDefault="00CF69E0" w:rsidP="00A14C27">
            <w:pPr>
              <w:jc w:val="center"/>
            </w:pPr>
            <w:r>
              <w:t>Vnt. kaina be PVM,EUR</w:t>
            </w:r>
          </w:p>
        </w:tc>
        <w:tc>
          <w:tcPr>
            <w:tcW w:w="1276" w:type="dxa"/>
          </w:tcPr>
          <w:p w14:paraId="10F0D981" w14:textId="2FEAB50B" w:rsidR="00CF69E0" w:rsidRDefault="00CF69E0" w:rsidP="00A14C27">
            <w:pPr>
              <w:jc w:val="center"/>
            </w:pPr>
            <w:r w:rsidRPr="00CF69E0">
              <w:t>Suma be PVM, Eur</w:t>
            </w:r>
          </w:p>
        </w:tc>
        <w:tc>
          <w:tcPr>
            <w:tcW w:w="1276" w:type="dxa"/>
          </w:tcPr>
          <w:p w14:paraId="6C831335" w14:textId="142E274E" w:rsidR="00CF69E0" w:rsidRDefault="00CF69E0" w:rsidP="00A14C27">
            <w:pPr>
              <w:jc w:val="center"/>
            </w:pPr>
            <w:r w:rsidRPr="00CF69E0">
              <w:t>Suma su PVM, Eur</w:t>
            </w:r>
          </w:p>
        </w:tc>
        <w:tc>
          <w:tcPr>
            <w:tcW w:w="1417" w:type="dxa"/>
          </w:tcPr>
          <w:p w14:paraId="657CDB3C" w14:textId="73A574D9" w:rsidR="00CF69E0" w:rsidRDefault="00CF69E0" w:rsidP="00A14C27">
            <w:pPr>
              <w:jc w:val="center"/>
            </w:pPr>
            <w:r w:rsidRPr="00CF69E0">
              <w:t>Gamintojas, komercinis siūlomos prekės pavadinimas</w:t>
            </w:r>
          </w:p>
        </w:tc>
        <w:tc>
          <w:tcPr>
            <w:tcW w:w="3180" w:type="dxa"/>
          </w:tcPr>
          <w:p w14:paraId="02D4DF37" w14:textId="7F386FD1" w:rsidR="00CF69E0" w:rsidRDefault="00CF69E0" w:rsidP="00A14C27">
            <w:pPr>
              <w:jc w:val="center"/>
            </w:pPr>
            <w:r w:rsidRPr="00CF69E0">
              <w:t>Reikalavimų atitikimas (tiksliai pažymimas techninis parametras)</w:t>
            </w:r>
          </w:p>
        </w:tc>
      </w:tr>
      <w:tr w:rsidR="000E17BF" w14:paraId="70D07775" w14:textId="77777777" w:rsidTr="00DC6F4F">
        <w:tc>
          <w:tcPr>
            <w:tcW w:w="834" w:type="dxa"/>
          </w:tcPr>
          <w:p w14:paraId="5228E873" w14:textId="0C884E9C" w:rsidR="00CF69E0" w:rsidRDefault="00527FBB" w:rsidP="00A14C27">
            <w:pPr>
              <w:jc w:val="center"/>
            </w:pPr>
            <w:r>
              <w:t>1.</w:t>
            </w:r>
          </w:p>
        </w:tc>
        <w:tc>
          <w:tcPr>
            <w:tcW w:w="1004" w:type="dxa"/>
          </w:tcPr>
          <w:p w14:paraId="066A7260" w14:textId="4966EF40" w:rsidR="00CF69E0" w:rsidRDefault="00527FBB" w:rsidP="00A14C27">
            <w:pPr>
              <w:jc w:val="center"/>
            </w:pPr>
            <w:r w:rsidRPr="00527FBB">
              <w:t>Specifinių alergenų nustatymo diagnostinis rinkinys</w:t>
            </w:r>
          </w:p>
        </w:tc>
        <w:tc>
          <w:tcPr>
            <w:tcW w:w="2126" w:type="dxa"/>
          </w:tcPr>
          <w:p w14:paraId="2C439975" w14:textId="77777777" w:rsidR="00527FBB" w:rsidRDefault="00527FBB" w:rsidP="00527FBB">
            <w:pPr>
              <w:jc w:val="center"/>
            </w:pPr>
            <w:r>
              <w:t>1.1 Tyrimas skirtas kiekybiškai nustatyti žmogaus specifiniams IgE antikūnams prieš alergenų komponentus ir ekstraktus (ne mažiau 280 skirtingų analičių arba ne mažiau 110 ekstraktų ir 170 komponentų) bei pusiau kiekybiškai išmatuoti bendrą IgE.</w:t>
            </w:r>
          </w:p>
          <w:p w14:paraId="3862F1E0" w14:textId="77777777" w:rsidR="00527FBB" w:rsidRDefault="00527FBB" w:rsidP="00527FBB">
            <w:pPr>
              <w:jc w:val="center"/>
            </w:pPr>
            <w:r>
              <w:t xml:space="preserve">1.2 Tyrimui turi būti naudojamas specialus antikūnų inhibitorius (anti-CCD), kad išvengti </w:t>
            </w:r>
            <w:r>
              <w:lastRenderedPageBreak/>
              <w:t xml:space="preserve">kliniškai nereikšmingų teigiamų tyrimo rezultatų. </w:t>
            </w:r>
          </w:p>
          <w:p w14:paraId="46E5E615" w14:textId="77777777" w:rsidR="00527FBB" w:rsidRDefault="00527FBB" w:rsidP="00527FBB">
            <w:pPr>
              <w:jc w:val="center"/>
            </w:pPr>
            <w:r>
              <w:t xml:space="preserve">1.3 Ekstraktai ir komponentai turi atitikti endeminėms medžių, žolių, pelėsinių grybų, namų dulkių ir maisto erkių, vabzdžių, gyvūnų, daržovių, vaisių, riešutų, grūdų, gyvūninės kilmės kito maisto (žuvies, jūros gėrybių) rūšims. </w:t>
            </w:r>
          </w:p>
          <w:p w14:paraId="7CB886F2" w14:textId="77777777" w:rsidR="00527FBB" w:rsidRDefault="00527FBB" w:rsidP="00527FBB">
            <w:pPr>
              <w:jc w:val="center"/>
            </w:pPr>
            <w:r>
              <w:t>1.4 Reagentai turi būti nejautrūs hemolizės, lipemijos ir bilirubinemijos interferencijai.</w:t>
            </w:r>
          </w:p>
          <w:p w14:paraId="4E1DF184" w14:textId="77777777" w:rsidR="00527FBB" w:rsidRDefault="00527FBB" w:rsidP="00527FBB">
            <w:pPr>
              <w:jc w:val="center"/>
            </w:pPr>
            <w:r>
              <w:t xml:space="preserve">1.5 Analitinis specifiškumas: turi būti nejautrus kitų klasių (IgA, IgG1, IgG2, IgG3, IgG4, IgM) antikūnams.    </w:t>
            </w:r>
          </w:p>
          <w:p w14:paraId="3CB2843F" w14:textId="6DC73BAD" w:rsidR="00CF69E0" w:rsidRDefault="00527FBB" w:rsidP="00527FBB">
            <w:pPr>
              <w:jc w:val="center"/>
            </w:pPr>
            <w:r>
              <w:t xml:space="preserve">1.6 Tyrimo analitinis jautrumas turi būti 0,3 kU/l arba jautresnis; matavimo </w:t>
            </w:r>
            <w:r>
              <w:lastRenderedPageBreak/>
              <w:t>ribos ne siauresnės kaip 0,3-50 kU/l</w:t>
            </w:r>
          </w:p>
        </w:tc>
        <w:tc>
          <w:tcPr>
            <w:tcW w:w="567" w:type="dxa"/>
          </w:tcPr>
          <w:p w14:paraId="278847A5" w14:textId="250FA89C" w:rsidR="00CF69E0" w:rsidRDefault="00527FBB" w:rsidP="00A14C27">
            <w:pPr>
              <w:jc w:val="center"/>
            </w:pPr>
            <w:r>
              <w:lastRenderedPageBreak/>
              <w:t>rinkinys</w:t>
            </w:r>
          </w:p>
        </w:tc>
        <w:tc>
          <w:tcPr>
            <w:tcW w:w="993" w:type="dxa"/>
          </w:tcPr>
          <w:p w14:paraId="323147DB" w14:textId="52B22CE4" w:rsidR="00CF69E0" w:rsidRDefault="00527FBB" w:rsidP="00A14C27">
            <w:pPr>
              <w:jc w:val="center"/>
            </w:pPr>
            <w:r>
              <w:t>72</w:t>
            </w:r>
          </w:p>
        </w:tc>
        <w:tc>
          <w:tcPr>
            <w:tcW w:w="1275" w:type="dxa"/>
          </w:tcPr>
          <w:p w14:paraId="2D654CEC" w14:textId="7E5FAD59" w:rsidR="00CF69E0" w:rsidRDefault="00527FBB" w:rsidP="00A14C27">
            <w:pPr>
              <w:jc w:val="center"/>
            </w:pPr>
            <w:r>
              <w:t>5 500,00</w:t>
            </w:r>
          </w:p>
        </w:tc>
        <w:tc>
          <w:tcPr>
            <w:tcW w:w="1276" w:type="dxa"/>
          </w:tcPr>
          <w:p w14:paraId="279E57E7" w14:textId="3601A803" w:rsidR="00CF69E0" w:rsidRDefault="00527FBB" w:rsidP="00A14C27">
            <w:pPr>
              <w:jc w:val="center"/>
            </w:pPr>
            <w:r w:rsidRPr="00527FBB">
              <w:t>396</w:t>
            </w:r>
            <w:r>
              <w:t> </w:t>
            </w:r>
            <w:r w:rsidRPr="00527FBB">
              <w:t>000</w:t>
            </w:r>
            <w:r>
              <w:t>,00</w:t>
            </w:r>
          </w:p>
        </w:tc>
        <w:tc>
          <w:tcPr>
            <w:tcW w:w="1276" w:type="dxa"/>
          </w:tcPr>
          <w:p w14:paraId="30DB8490" w14:textId="03DDE14E" w:rsidR="00CF69E0" w:rsidRDefault="000E17BF" w:rsidP="00A14C27">
            <w:pPr>
              <w:jc w:val="center"/>
            </w:pPr>
            <w:r w:rsidRPr="000E17BF">
              <w:t>415</w:t>
            </w:r>
            <w:r>
              <w:t> </w:t>
            </w:r>
            <w:r w:rsidRPr="000E17BF">
              <w:t>800</w:t>
            </w:r>
            <w:r>
              <w:t>,00</w:t>
            </w:r>
          </w:p>
        </w:tc>
        <w:tc>
          <w:tcPr>
            <w:tcW w:w="1417" w:type="dxa"/>
          </w:tcPr>
          <w:p w14:paraId="7275E438" w14:textId="0BC1141D" w:rsidR="00CF69E0" w:rsidRDefault="000E17BF" w:rsidP="00A14C27">
            <w:pPr>
              <w:jc w:val="center"/>
            </w:pPr>
            <w:r w:rsidRPr="000E17BF">
              <w:t>ALEX2 rinkinys 50-čiai tyrimų, katalogo Nr. 02-5001-01, MacroArray Diagnostics GmbH, Austrija, https://www.macroarraydx.com/products/alex</w:t>
            </w:r>
          </w:p>
        </w:tc>
        <w:tc>
          <w:tcPr>
            <w:tcW w:w="3180" w:type="dxa"/>
          </w:tcPr>
          <w:p w14:paraId="52D1E746" w14:textId="77777777" w:rsidR="00DC6F4F" w:rsidRDefault="00DC6F4F" w:rsidP="00DC6F4F">
            <w:pPr>
              <w:jc w:val="center"/>
            </w:pPr>
            <w:r>
              <w:t xml:space="preserve">1.1 Tyrimas skirtas kiekybiškai nustatyti žmogaus specifiniams IgE antikūnams prieš alergenų komponentus ir ekstraktus (viso </w:t>
            </w:r>
            <w:r w:rsidRPr="00DC6F4F">
              <w:rPr>
                <w:b/>
                <w:bCs/>
              </w:rPr>
              <w:t>295</w:t>
            </w:r>
            <w:r>
              <w:t xml:space="preserve"> skirtingos analitės arba </w:t>
            </w:r>
            <w:r w:rsidRPr="00DC6F4F">
              <w:rPr>
                <w:b/>
                <w:bCs/>
              </w:rPr>
              <w:t>117</w:t>
            </w:r>
            <w:r>
              <w:t xml:space="preserve"> ekstraktų ir </w:t>
            </w:r>
            <w:r w:rsidRPr="00DC6F4F">
              <w:rPr>
                <w:b/>
                <w:bCs/>
              </w:rPr>
              <w:t>178</w:t>
            </w:r>
            <w:r>
              <w:t xml:space="preserve"> komponentai) bei pusiau kiekybiškai išmatuoti </w:t>
            </w:r>
            <w:r w:rsidRPr="00DC6F4F">
              <w:rPr>
                <w:b/>
                <w:bCs/>
              </w:rPr>
              <w:t>bendrą IgE</w:t>
            </w:r>
            <w:r>
              <w:t>.(</w:t>
            </w:r>
            <w:r w:rsidRPr="00DC6F4F">
              <w:rPr>
                <w:b/>
                <w:bCs/>
              </w:rPr>
              <w:t>ALEX2 IFU_LT(1 psl); ALEX2 alergenų sąrašas LT/EN</w:t>
            </w:r>
          </w:p>
          <w:p w14:paraId="59A24723" w14:textId="77777777" w:rsidR="00DC6F4F" w:rsidRDefault="00DC6F4F" w:rsidP="00DC6F4F">
            <w:pPr>
              <w:jc w:val="center"/>
            </w:pPr>
            <w:r>
              <w:t xml:space="preserve">1.2 Tyrimui  naudojamas specialus antikūnų inhibitorius (anti-CCD), kad išvengti kliniškai nereikšmingų teigiamų tyrimo rezultatų </w:t>
            </w:r>
            <w:r w:rsidRPr="00DC6F4F">
              <w:rPr>
                <w:b/>
                <w:bCs/>
              </w:rPr>
              <w:t>(ALEX2 IFU_LT 5 psl.</w:t>
            </w:r>
            <w:r>
              <w:t xml:space="preserve">) </w:t>
            </w:r>
          </w:p>
          <w:p w14:paraId="418FFA55" w14:textId="77777777" w:rsidR="00DC6F4F" w:rsidRDefault="00DC6F4F" w:rsidP="00DC6F4F">
            <w:pPr>
              <w:jc w:val="center"/>
            </w:pPr>
            <w:r>
              <w:t xml:space="preserve">1.3 Ekstraktai ir komponentai atitinka endemines medžių, žolių, pelėsinių grybų, namų dulkių ir maisto erkių, vabzdžių, gyvūnų, daržovių, vaisių, riešutų, grūdų, gyvūninės kilmės kito </w:t>
            </w:r>
            <w:r>
              <w:lastRenderedPageBreak/>
              <w:t xml:space="preserve">maisto (žuvies, jūros gėrybių) rūšis </w:t>
            </w:r>
            <w:r w:rsidRPr="00DC6F4F">
              <w:rPr>
                <w:b/>
                <w:bCs/>
              </w:rPr>
              <w:t>(ALEX2 alergenų sąrašas LT/EN)</w:t>
            </w:r>
          </w:p>
          <w:p w14:paraId="4B8368F1" w14:textId="77777777" w:rsidR="00DC6F4F" w:rsidRDefault="00DC6F4F" w:rsidP="00DC6F4F">
            <w:pPr>
              <w:jc w:val="center"/>
            </w:pPr>
            <w:r>
              <w:t xml:space="preserve">1.4 Reagentai yra nejautrūs hemolizės, lipemijos ir bilirubinemijos interferencijai </w:t>
            </w:r>
            <w:r w:rsidRPr="00DC6F4F">
              <w:rPr>
                <w:b/>
                <w:bCs/>
              </w:rPr>
              <w:t>(ALEX2 IFU_LT 15 psl.)</w:t>
            </w:r>
          </w:p>
          <w:p w14:paraId="0B5DCC22" w14:textId="77777777" w:rsidR="00DC6F4F" w:rsidRDefault="00DC6F4F" w:rsidP="00DC6F4F">
            <w:pPr>
              <w:jc w:val="center"/>
            </w:pPr>
            <w:r>
              <w:t xml:space="preserve">1.5 Analitinis specifiškumas:  nejautrus kitų klasių (IgA, IgG1, IgG2, IgG3, IgG4, IgM) antikūnam </w:t>
            </w:r>
            <w:r w:rsidRPr="00DC6F4F">
              <w:rPr>
                <w:b/>
                <w:bCs/>
              </w:rPr>
              <w:t>(ALEX2 IFU_LT 15 psl.)</w:t>
            </w:r>
            <w:r>
              <w:t xml:space="preserve">    </w:t>
            </w:r>
          </w:p>
          <w:p w14:paraId="50D29C4A" w14:textId="77777777" w:rsidR="00DC6F4F" w:rsidRPr="00DC6F4F" w:rsidRDefault="00DC6F4F" w:rsidP="00DC6F4F">
            <w:pPr>
              <w:jc w:val="center"/>
              <w:rPr>
                <w:b/>
                <w:bCs/>
              </w:rPr>
            </w:pPr>
            <w:r>
              <w:t>1.6 Tyrimo analitinis jautrumas yra 0,3 kU/l ;</w:t>
            </w:r>
            <w:r w:rsidRPr="00DC6F4F">
              <w:rPr>
                <w:b/>
                <w:bCs/>
              </w:rPr>
              <w:t>( ALEX2 IFU_LT 12 psl</w:t>
            </w:r>
            <w:r>
              <w:t xml:space="preserve">); matavimo ribos: 0,3-50 kU/l </w:t>
            </w:r>
            <w:r w:rsidRPr="00DC6F4F">
              <w:rPr>
                <w:b/>
                <w:bCs/>
              </w:rPr>
              <w:t>(ALEX2 I</w:t>
            </w:r>
          </w:p>
          <w:p w14:paraId="009F0D5E" w14:textId="34CDA8D4" w:rsidR="00CF69E0" w:rsidRDefault="00DC6F4F" w:rsidP="00DC6F4F">
            <w:pPr>
              <w:jc w:val="center"/>
            </w:pPr>
            <w:r w:rsidRPr="00DC6F4F">
              <w:rPr>
                <w:b/>
                <w:bCs/>
              </w:rPr>
              <w:t>FU_LT 15 psl.</w:t>
            </w:r>
          </w:p>
        </w:tc>
      </w:tr>
      <w:tr w:rsidR="00075142" w14:paraId="0D718674" w14:textId="77777777" w:rsidTr="00DC6F4F">
        <w:tc>
          <w:tcPr>
            <w:tcW w:w="834" w:type="dxa"/>
          </w:tcPr>
          <w:p w14:paraId="0590157F" w14:textId="77777777" w:rsidR="00075142" w:rsidRDefault="00075142" w:rsidP="00A14C27">
            <w:pPr>
              <w:jc w:val="center"/>
            </w:pPr>
          </w:p>
        </w:tc>
        <w:tc>
          <w:tcPr>
            <w:tcW w:w="1004" w:type="dxa"/>
          </w:tcPr>
          <w:p w14:paraId="03955F50" w14:textId="77777777" w:rsidR="00075142" w:rsidRPr="00527FBB" w:rsidRDefault="00075142" w:rsidP="00A14C27">
            <w:pPr>
              <w:jc w:val="center"/>
            </w:pPr>
          </w:p>
        </w:tc>
        <w:tc>
          <w:tcPr>
            <w:tcW w:w="2126" w:type="dxa"/>
          </w:tcPr>
          <w:p w14:paraId="1476400E" w14:textId="77777777" w:rsidR="00075142" w:rsidRDefault="00075142" w:rsidP="00527FBB">
            <w:pPr>
              <w:jc w:val="center"/>
            </w:pPr>
          </w:p>
        </w:tc>
        <w:tc>
          <w:tcPr>
            <w:tcW w:w="567" w:type="dxa"/>
          </w:tcPr>
          <w:p w14:paraId="17841136" w14:textId="77777777" w:rsidR="00075142" w:rsidRDefault="00075142" w:rsidP="00A14C27">
            <w:pPr>
              <w:jc w:val="center"/>
            </w:pPr>
          </w:p>
        </w:tc>
        <w:tc>
          <w:tcPr>
            <w:tcW w:w="993" w:type="dxa"/>
          </w:tcPr>
          <w:p w14:paraId="4094F9F7" w14:textId="77777777" w:rsidR="00075142" w:rsidRDefault="00075142" w:rsidP="00A14C27">
            <w:pPr>
              <w:jc w:val="center"/>
            </w:pPr>
          </w:p>
        </w:tc>
        <w:tc>
          <w:tcPr>
            <w:tcW w:w="1275" w:type="dxa"/>
          </w:tcPr>
          <w:p w14:paraId="2E465F29" w14:textId="77777777" w:rsidR="00075142" w:rsidRDefault="00075142" w:rsidP="00A14C27">
            <w:pPr>
              <w:jc w:val="center"/>
            </w:pPr>
          </w:p>
        </w:tc>
        <w:tc>
          <w:tcPr>
            <w:tcW w:w="1276" w:type="dxa"/>
          </w:tcPr>
          <w:p w14:paraId="5CBD66FC" w14:textId="77777777" w:rsidR="00075142" w:rsidRPr="00527FBB" w:rsidRDefault="00075142" w:rsidP="00A14C27">
            <w:pPr>
              <w:jc w:val="center"/>
            </w:pPr>
          </w:p>
        </w:tc>
        <w:tc>
          <w:tcPr>
            <w:tcW w:w="1276" w:type="dxa"/>
          </w:tcPr>
          <w:p w14:paraId="6924A923" w14:textId="77777777" w:rsidR="00075142" w:rsidRPr="000E17BF" w:rsidRDefault="00075142" w:rsidP="00A14C27">
            <w:pPr>
              <w:jc w:val="center"/>
            </w:pPr>
          </w:p>
        </w:tc>
        <w:tc>
          <w:tcPr>
            <w:tcW w:w="1417" w:type="dxa"/>
          </w:tcPr>
          <w:p w14:paraId="3E798A84" w14:textId="77777777" w:rsidR="00075142" w:rsidRPr="000E17BF" w:rsidRDefault="00075142" w:rsidP="00A14C27">
            <w:pPr>
              <w:jc w:val="center"/>
            </w:pPr>
          </w:p>
        </w:tc>
        <w:tc>
          <w:tcPr>
            <w:tcW w:w="3180" w:type="dxa"/>
          </w:tcPr>
          <w:p w14:paraId="57C3CBE2" w14:textId="77777777" w:rsidR="00075142" w:rsidRDefault="00075142" w:rsidP="00DC6F4F">
            <w:pPr>
              <w:jc w:val="center"/>
            </w:pPr>
          </w:p>
        </w:tc>
      </w:tr>
    </w:tbl>
    <w:p w14:paraId="46797C77" w14:textId="77777777" w:rsidR="00075142" w:rsidRDefault="00075142" w:rsidP="00DC6F4F">
      <w:pPr>
        <w:rPr>
          <w:rFonts w:ascii="Times New Roman" w:eastAsia="Times New Roman" w:hAnsi="Times New Roman" w:cs="Times New Roman"/>
          <w:b/>
          <w:bCs/>
          <w:kern w:val="0"/>
          <w:lang w:eastAsia="lt-LT"/>
          <w14:ligatures w14:val="none"/>
        </w:rPr>
      </w:pPr>
    </w:p>
    <w:p w14:paraId="0987D5C2" w14:textId="0AB39B37" w:rsidR="00075142" w:rsidRPr="00075142" w:rsidRDefault="00075142" w:rsidP="00DC6F4F">
      <w:pPr>
        <w:rPr>
          <w:rFonts w:ascii="Times New Roman" w:eastAsia="Times New Roman" w:hAnsi="Times New Roman" w:cs="Times New Roman"/>
          <w:b/>
          <w:bCs/>
          <w:kern w:val="0"/>
          <w:sz w:val="24"/>
          <w:szCs w:val="24"/>
          <w:lang w:eastAsia="lt-LT"/>
          <w14:ligatures w14:val="none"/>
        </w:rPr>
      </w:pPr>
      <w:r w:rsidRPr="00075142">
        <w:rPr>
          <w:rFonts w:ascii="Times New Roman" w:eastAsia="Times New Roman" w:hAnsi="Times New Roman" w:cs="Times New Roman"/>
          <w:b/>
          <w:bCs/>
          <w:kern w:val="0"/>
          <w:sz w:val="24"/>
          <w:szCs w:val="24"/>
          <w:lang w:eastAsia="lt-LT"/>
          <w14:ligatures w14:val="none"/>
        </w:rPr>
        <w:t>Viso pasiūlymo kaina</w:t>
      </w:r>
      <w:r>
        <w:rPr>
          <w:rFonts w:ascii="Times New Roman" w:eastAsia="Times New Roman" w:hAnsi="Times New Roman" w:cs="Times New Roman"/>
          <w:b/>
          <w:bCs/>
          <w:kern w:val="0"/>
          <w:sz w:val="24"/>
          <w:szCs w:val="24"/>
          <w:lang w:eastAsia="lt-LT"/>
          <w14:ligatures w14:val="none"/>
        </w:rPr>
        <w:t xml:space="preserve"> įskaitant PVM (5</w:t>
      </w:r>
      <w:r w:rsidRPr="0022511F">
        <w:rPr>
          <w:rFonts w:ascii="Times New Roman" w:eastAsia="Times New Roman" w:hAnsi="Times New Roman" w:cs="Times New Roman"/>
          <w:b/>
          <w:bCs/>
          <w:kern w:val="0"/>
          <w:sz w:val="24"/>
          <w:szCs w:val="24"/>
          <w:lang w:eastAsia="lt-LT"/>
          <w14:ligatures w14:val="none"/>
        </w:rPr>
        <w:t>%)</w:t>
      </w:r>
      <w:r w:rsidRPr="00075142">
        <w:rPr>
          <w:rFonts w:ascii="Times New Roman" w:eastAsia="Times New Roman" w:hAnsi="Times New Roman" w:cs="Times New Roman"/>
          <w:b/>
          <w:bCs/>
          <w:kern w:val="0"/>
          <w:sz w:val="24"/>
          <w:szCs w:val="24"/>
          <w:lang w:eastAsia="lt-LT"/>
          <w14:ligatures w14:val="none"/>
        </w:rPr>
        <w:t xml:space="preserve">: </w:t>
      </w:r>
      <w:r w:rsidRPr="00075142">
        <w:rPr>
          <w:rFonts w:ascii="Times New Roman" w:hAnsi="Times New Roman" w:cs="Times New Roman"/>
          <w:b/>
          <w:bCs/>
          <w:sz w:val="24"/>
          <w:szCs w:val="24"/>
        </w:rPr>
        <w:t>415 800,00</w:t>
      </w:r>
      <w:r>
        <w:rPr>
          <w:rFonts w:ascii="Times New Roman" w:hAnsi="Times New Roman" w:cs="Times New Roman"/>
          <w:b/>
          <w:bCs/>
          <w:sz w:val="24"/>
          <w:szCs w:val="24"/>
        </w:rPr>
        <w:t xml:space="preserve"> Eur (keturi šimtai penkiolika tūkstančių aštuoni šimtai eur. 00 ct.</w:t>
      </w:r>
      <w:r w:rsidR="00491851">
        <w:rPr>
          <w:rFonts w:ascii="Times New Roman" w:hAnsi="Times New Roman" w:cs="Times New Roman"/>
          <w:b/>
          <w:bCs/>
          <w:sz w:val="24"/>
          <w:szCs w:val="24"/>
        </w:rPr>
        <w:t>)</w:t>
      </w:r>
    </w:p>
    <w:p w14:paraId="4E6035D6" w14:textId="7EA4E4FA" w:rsidR="00DC6F4F" w:rsidRPr="00DC6F4F" w:rsidRDefault="00075142" w:rsidP="00DC6F4F">
      <w:pP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ATITIKIMAS </w:t>
      </w:r>
      <w:r w:rsidR="00DC6F4F" w:rsidRPr="00DC6F4F">
        <w:rPr>
          <w:rFonts w:ascii="Times New Roman" w:eastAsia="Times New Roman" w:hAnsi="Times New Roman" w:cs="Times New Roman"/>
          <w:b/>
          <w:bCs/>
          <w:kern w:val="0"/>
          <w:lang w:eastAsia="lt-LT"/>
          <w14:ligatures w14:val="none"/>
        </w:rPr>
        <w:t>PAPILDOMI</w:t>
      </w:r>
      <w:r>
        <w:rPr>
          <w:rFonts w:ascii="Times New Roman" w:eastAsia="Times New Roman" w:hAnsi="Times New Roman" w:cs="Times New Roman"/>
          <w:b/>
          <w:bCs/>
          <w:kern w:val="0"/>
          <w:lang w:eastAsia="lt-LT"/>
          <w14:ligatures w14:val="none"/>
        </w:rPr>
        <w:t xml:space="preserve">EMS </w:t>
      </w:r>
      <w:r w:rsidR="00DC6F4F" w:rsidRPr="00DC6F4F">
        <w:rPr>
          <w:rFonts w:ascii="Times New Roman" w:eastAsia="Times New Roman" w:hAnsi="Times New Roman" w:cs="Times New Roman"/>
          <w:b/>
          <w:bCs/>
          <w:kern w:val="0"/>
          <w:lang w:eastAsia="lt-LT"/>
          <w14:ligatures w14:val="none"/>
        </w:rPr>
        <w:t xml:space="preserve"> REIKALAVIMA</w:t>
      </w:r>
      <w:r>
        <w:rPr>
          <w:rFonts w:ascii="Times New Roman" w:eastAsia="Times New Roman" w:hAnsi="Times New Roman" w:cs="Times New Roman"/>
          <w:b/>
          <w:bCs/>
          <w:kern w:val="0"/>
          <w:lang w:eastAsia="lt-LT"/>
          <w14:ligatures w14:val="none"/>
        </w:rPr>
        <w:t>MS</w:t>
      </w:r>
      <w:r w:rsidR="00DC6F4F" w:rsidRPr="00DC6F4F">
        <w:rPr>
          <w:rFonts w:ascii="Times New Roman" w:eastAsia="Times New Roman" w:hAnsi="Times New Roman" w:cs="Times New Roman"/>
          <w:b/>
          <w:bCs/>
          <w:kern w:val="0"/>
          <w:lang w:eastAsia="lt-LT"/>
          <w14:ligatures w14:val="none"/>
        </w:rPr>
        <w:t>:</w:t>
      </w:r>
    </w:p>
    <w:p w14:paraId="09B4D263" w14:textId="35B16E59" w:rsidR="00DC6F4F" w:rsidRDefault="00DC6F4F" w:rsidP="00DC6F4F">
      <w:pPr>
        <w:spacing w:after="0" w:line="240" w:lineRule="auto"/>
        <w:rPr>
          <w:rFonts w:ascii="Times New Roman" w:eastAsia="Times New Roman" w:hAnsi="Times New Roman" w:cs="Times New Roman"/>
          <w:kern w:val="0"/>
          <w:sz w:val="24"/>
          <w:szCs w:val="24"/>
          <w:lang w:eastAsia="lt-LT"/>
          <w14:ligatures w14:val="none"/>
        </w:rPr>
      </w:pPr>
      <w:r w:rsidRPr="00DC6F4F">
        <w:rPr>
          <w:rFonts w:ascii="Times New Roman" w:eastAsia="Times New Roman" w:hAnsi="Times New Roman" w:cs="Times New Roman"/>
          <w:kern w:val="0"/>
          <w:sz w:val="24"/>
          <w:szCs w:val="24"/>
          <w:lang w:eastAsia="lt-LT"/>
          <w14:ligatures w14:val="none"/>
        </w:rPr>
        <w:t xml:space="preserve">Rinkinyje </w:t>
      </w:r>
      <w:r w:rsidR="00614CBE">
        <w:rPr>
          <w:rFonts w:ascii="Times New Roman" w:eastAsia="Times New Roman" w:hAnsi="Times New Roman" w:cs="Times New Roman"/>
          <w:kern w:val="0"/>
          <w:sz w:val="24"/>
          <w:szCs w:val="24"/>
          <w:lang w:eastAsia="lt-LT"/>
          <w14:ligatures w14:val="none"/>
        </w:rPr>
        <w:t xml:space="preserve">bus </w:t>
      </w:r>
      <w:r w:rsidRPr="00DC6F4F">
        <w:rPr>
          <w:rFonts w:ascii="Times New Roman" w:eastAsia="Times New Roman" w:hAnsi="Times New Roman" w:cs="Times New Roman"/>
          <w:kern w:val="0"/>
          <w:sz w:val="24"/>
          <w:szCs w:val="24"/>
          <w:lang w:eastAsia="lt-LT"/>
          <w14:ligatures w14:val="none"/>
        </w:rPr>
        <w:t>pateiktos visos tyrimui atlikti būtinos priemonės: reagentai, skiedikliai, plovikliai, buferiai ir kitos priemonės, naudojamos pagal gamintojo rekomendacijas, tiekiamos pilnai sukomplektuotais rinkiniais.</w:t>
      </w:r>
    </w:p>
    <w:p w14:paraId="1B4D27CF" w14:textId="77777777" w:rsidR="00922876" w:rsidRPr="00922876" w:rsidRDefault="00922876" w:rsidP="00DC6F4F">
      <w:pPr>
        <w:spacing w:after="0" w:line="240" w:lineRule="auto"/>
        <w:rPr>
          <w:rFonts w:ascii="Times New Roman" w:eastAsia="Times New Roman" w:hAnsi="Times New Roman" w:cs="Times New Roman"/>
          <w:kern w:val="0"/>
          <w:sz w:val="24"/>
          <w:szCs w:val="24"/>
          <w:lang w:eastAsia="lt-LT"/>
          <w14:ligatures w14:val="none"/>
        </w:rPr>
      </w:pPr>
    </w:p>
    <w:p w14:paraId="2D5CF774" w14:textId="220FD689" w:rsidR="00DC6F4F" w:rsidRDefault="00DC6F4F" w:rsidP="00DC6F4F">
      <w:pPr>
        <w:spacing w:after="0" w:line="240" w:lineRule="auto"/>
        <w:rPr>
          <w:rFonts w:ascii="Times New Roman" w:eastAsia="Times New Roman" w:hAnsi="Times New Roman" w:cs="Times New Roman"/>
          <w:kern w:val="0"/>
          <w:sz w:val="24"/>
          <w:szCs w:val="24"/>
          <w:lang w:eastAsia="lt-LT"/>
          <w14:ligatures w14:val="none"/>
        </w:rPr>
      </w:pPr>
      <w:r w:rsidRPr="00DC6F4F">
        <w:rPr>
          <w:rFonts w:ascii="Times New Roman" w:eastAsia="Times New Roman" w:hAnsi="Times New Roman" w:cs="Times New Roman"/>
          <w:kern w:val="0"/>
          <w:sz w:val="24"/>
          <w:szCs w:val="24"/>
          <w:lang w:eastAsia="lt-LT"/>
          <w14:ligatures w14:val="none"/>
        </w:rPr>
        <w:t xml:space="preserve">Reagentai </w:t>
      </w:r>
      <w:r w:rsidR="00614CBE">
        <w:rPr>
          <w:rFonts w:ascii="Times New Roman" w:eastAsia="Times New Roman" w:hAnsi="Times New Roman" w:cs="Times New Roman"/>
          <w:kern w:val="0"/>
          <w:sz w:val="24"/>
          <w:szCs w:val="24"/>
          <w:lang w:eastAsia="lt-LT"/>
          <w14:ligatures w14:val="none"/>
        </w:rPr>
        <w:t>yra</w:t>
      </w:r>
      <w:r w:rsidRPr="00DC6F4F">
        <w:rPr>
          <w:rFonts w:ascii="Times New Roman" w:eastAsia="Times New Roman" w:hAnsi="Times New Roman" w:cs="Times New Roman"/>
          <w:kern w:val="0"/>
          <w:sz w:val="24"/>
          <w:szCs w:val="24"/>
          <w:lang w:eastAsia="lt-LT"/>
          <w14:ligatures w14:val="none"/>
        </w:rPr>
        <w:t xml:space="preserve"> sertifikuoti naudojimui Europos sąjungoje, ženklinti CE ir IVD žyme visą sutarties laikotarpį (</w:t>
      </w:r>
      <w:r w:rsidRPr="00DC6F4F">
        <w:rPr>
          <w:rFonts w:ascii="Times New Roman" w:eastAsia="Times New Roman" w:hAnsi="Times New Roman" w:cs="Times New Roman"/>
          <w:b/>
          <w:bCs/>
          <w:i/>
          <w:iCs/>
          <w:kern w:val="0"/>
          <w:sz w:val="24"/>
          <w:szCs w:val="24"/>
          <w:lang w:eastAsia="lt-LT"/>
          <w14:ligatures w14:val="none"/>
        </w:rPr>
        <w:t>kartu su pasiūlymu būtina pateikt</w:t>
      </w:r>
      <w:r w:rsidR="00614CBE">
        <w:rPr>
          <w:rFonts w:ascii="Times New Roman" w:eastAsia="Times New Roman" w:hAnsi="Times New Roman" w:cs="Times New Roman"/>
          <w:b/>
          <w:bCs/>
          <w:i/>
          <w:iCs/>
          <w:kern w:val="0"/>
          <w:sz w:val="24"/>
          <w:szCs w:val="24"/>
          <w:lang w:eastAsia="lt-LT"/>
          <w14:ligatures w14:val="none"/>
        </w:rPr>
        <w:t>os</w:t>
      </w:r>
      <w:r w:rsidRPr="00DC6F4F">
        <w:rPr>
          <w:rFonts w:ascii="Times New Roman" w:eastAsia="Times New Roman" w:hAnsi="Times New Roman" w:cs="Times New Roman"/>
          <w:b/>
          <w:bCs/>
          <w:i/>
          <w:iCs/>
          <w:kern w:val="0"/>
          <w:sz w:val="24"/>
          <w:szCs w:val="24"/>
          <w:lang w:eastAsia="lt-LT"/>
          <w14:ligatures w14:val="none"/>
        </w:rPr>
        <w:t xml:space="preserve"> CE-IVD sertifikavimą bei ženklinimą liudijanči</w:t>
      </w:r>
      <w:r w:rsidR="00614CBE">
        <w:rPr>
          <w:rFonts w:ascii="Times New Roman" w:eastAsia="Times New Roman" w:hAnsi="Times New Roman" w:cs="Times New Roman"/>
          <w:b/>
          <w:bCs/>
          <w:i/>
          <w:iCs/>
          <w:kern w:val="0"/>
          <w:sz w:val="24"/>
          <w:szCs w:val="24"/>
          <w:lang w:eastAsia="lt-LT"/>
          <w14:ligatures w14:val="none"/>
        </w:rPr>
        <w:t>os</w:t>
      </w:r>
      <w:r w:rsidRPr="00DC6F4F">
        <w:rPr>
          <w:rFonts w:ascii="Times New Roman" w:eastAsia="Times New Roman" w:hAnsi="Times New Roman" w:cs="Times New Roman"/>
          <w:b/>
          <w:bCs/>
          <w:i/>
          <w:iCs/>
          <w:kern w:val="0"/>
          <w:sz w:val="24"/>
          <w:szCs w:val="24"/>
          <w:lang w:eastAsia="lt-LT"/>
          <w14:ligatures w14:val="none"/>
        </w:rPr>
        <w:t xml:space="preserve"> galiojančių dokumentų kopij</w:t>
      </w:r>
      <w:r w:rsidR="00614CBE">
        <w:rPr>
          <w:rFonts w:ascii="Times New Roman" w:eastAsia="Times New Roman" w:hAnsi="Times New Roman" w:cs="Times New Roman"/>
          <w:b/>
          <w:bCs/>
          <w:i/>
          <w:iCs/>
          <w:kern w:val="0"/>
          <w:sz w:val="24"/>
          <w:szCs w:val="24"/>
          <w:lang w:eastAsia="lt-LT"/>
          <w14:ligatures w14:val="none"/>
        </w:rPr>
        <w:t>o</w:t>
      </w:r>
      <w:r w:rsidRPr="00DC6F4F">
        <w:rPr>
          <w:rFonts w:ascii="Times New Roman" w:eastAsia="Times New Roman" w:hAnsi="Times New Roman" w:cs="Times New Roman"/>
          <w:b/>
          <w:bCs/>
          <w:i/>
          <w:iCs/>
          <w:kern w:val="0"/>
          <w:sz w:val="24"/>
          <w:szCs w:val="24"/>
          <w:lang w:eastAsia="lt-LT"/>
          <w14:ligatures w14:val="none"/>
        </w:rPr>
        <w:t>s</w:t>
      </w:r>
      <w:r w:rsidRPr="00DC6F4F">
        <w:rPr>
          <w:rFonts w:ascii="Times New Roman" w:eastAsia="Times New Roman" w:hAnsi="Times New Roman" w:cs="Times New Roman"/>
          <w:kern w:val="0"/>
          <w:sz w:val="24"/>
          <w:szCs w:val="24"/>
          <w:lang w:eastAsia="lt-LT"/>
          <w14:ligatures w14:val="none"/>
        </w:rPr>
        <w:t>).</w:t>
      </w:r>
    </w:p>
    <w:p w14:paraId="77216539" w14:textId="77777777" w:rsidR="00922876" w:rsidRPr="00922876" w:rsidRDefault="00922876" w:rsidP="00DC6F4F">
      <w:pPr>
        <w:spacing w:after="0" w:line="240" w:lineRule="auto"/>
        <w:rPr>
          <w:rFonts w:ascii="Times New Roman" w:eastAsia="Times New Roman" w:hAnsi="Times New Roman" w:cs="Times New Roman"/>
          <w:kern w:val="0"/>
          <w:sz w:val="24"/>
          <w:szCs w:val="24"/>
          <w:lang w:eastAsia="lt-LT"/>
          <w14:ligatures w14:val="none"/>
        </w:rPr>
      </w:pPr>
    </w:p>
    <w:p w14:paraId="2B2F903B" w14:textId="01E69707" w:rsidR="00DC6F4F" w:rsidRDefault="00DC6F4F" w:rsidP="00DC6F4F">
      <w:pPr>
        <w:spacing w:after="0" w:line="240" w:lineRule="auto"/>
        <w:rPr>
          <w:rFonts w:ascii="Times New Roman" w:eastAsia="Times New Roman" w:hAnsi="Times New Roman" w:cs="Times New Roman"/>
          <w:kern w:val="0"/>
          <w:sz w:val="24"/>
          <w:szCs w:val="24"/>
          <w:lang w:eastAsia="lt-LT"/>
          <w14:ligatures w14:val="none"/>
        </w:rPr>
      </w:pPr>
      <w:r w:rsidRPr="00DC6F4F">
        <w:rPr>
          <w:rFonts w:ascii="Times New Roman" w:eastAsia="Times New Roman" w:hAnsi="Times New Roman" w:cs="Times New Roman"/>
          <w:kern w:val="0"/>
          <w:sz w:val="24"/>
          <w:szCs w:val="24"/>
          <w:lang w:eastAsia="lt-LT"/>
          <w14:ligatures w14:val="none"/>
        </w:rPr>
        <w:t>Reagentų galiojimas pristatymo metu ne trumpesnis kaip 6 mėn. (</w:t>
      </w:r>
      <w:r w:rsidR="00614CBE">
        <w:rPr>
          <w:rFonts w:ascii="Times New Roman" w:eastAsia="Times New Roman" w:hAnsi="Times New Roman" w:cs="Times New Roman"/>
          <w:b/>
          <w:bCs/>
          <w:i/>
          <w:iCs/>
          <w:kern w:val="0"/>
          <w:sz w:val="24"/>
          <w:szCs w:val="24"/>
          <w:lang w:eastAsia="lt-LT"/>
          <w14:ligatures w14:val="none"/>
        </w:rPr>
        <w:t>pateiktas</w:t>
      </w:r>
      <w:r w:rsidRPr="00DC6F4F">
        <w:rPr>
          <w:rFonts w:ascii="Times New Roman" w:eastAsia="Times New Roman" w:hAnsi="Times New Roman" w:cs="Times New Roman"/>
          <w:b/>
          <w:bCs/>
          <w:i/>
          <w:iCs/>
          <w:kern w:val="0"/>
          <w:sz w:val="24"/>
          <w:szCs w:val="24"/>
          <w:lang w:eastAsia="lt-LT"/>
          <w14:ligatures w14:val="none"/>
        </w:rPr>
        <w:t xml:space="preserve"> atitinkamas tiekėjo patvirtinimas</w:t>
      </w:r>
      <w:r w:rsidRPr="00DC6F4F">
        <w:rPr>
          <w:rFonts w:ascii="Times New Roman" w:eastAsia="Times New Roman" w:hAnsi="Times New Roman" w:cs="Times New Roman"/>
          <w:kern w:val="0"/>
          <w:sz w:val="24"/>
          <w:szCs w:val="24"/>
          <w:lang w:eastAsia="lt-LT"/>
          <w14:ligatures w14:val="none"/>
        </w:rPr>
        <w:t>)</w:t>
      </w:r>
    </w:p>
    <w:p w14:paraId="2D234F9B" w14:textId="77777777" w:rsidR="00922876" w:rsidRPr="00922876" w:rsidRDefault="00922876" w:rsidP="00DC6F4F">
      <w:pPr>
        <w:spacing w:after="0" w:line="240" w:lineRule="auto"/>
        <w:rPr>
          <w:rFonts w:ascii="Times New Roman" w:eastAsia="Times New Roman" w:hAnsi="Times New Roman" w:cs="Times New Roman"/>
          <w:kern w:val="0"/>
          <w:sz w:val="24"/>
          <w:szCs w:val="24"/>
          <w:lang w:eastAsia="lt-LT"/>
          <w14:ligatures w14:val="none"/>
        </w:rPr>
      </w:pPr>
    </w:p>
    <w:p w14:paraId="40DF2044" w14:textId="68FA83F7" w:rsidR="00922876" w:rsidRDefault="00DC6F4F" w:rsidP="00DC6F4F">
      <w:pPr>
        <w:spacing w:after="0" w:line="240" w:lineRule="auto"/>
        <w:rPr>
          <w:rFonts w:ascii="Times New Roman" w:eastAsia="Times New Roman" w:hAnsi="Times New Roman" w:cs="Times New Roman"/>
          <w:kern w:val="0"/>
          <w:sz w:val="24"/>
          <w:szCs w:val="24"/>
          <w:lang w:eastAsia="lt-LT"/>
          <w14:ligatures w14:val="none"/>
        </w:rPr>
      </w:pPr>
      <w:r w:rsidRPr="00DC6F4F">
        <w:rPr>
          <w:rFonts w:ascii="Times New Roman" w:eastAsia="Times New Roman" w:hAnsi="Times New Roman" w:cs="Times New Roman"/>
          <w:kern w:val="0"/>
          <w:sz w:val="24"/>
          <w:szCs w:val="24"/>
          <w:lang w:eastAsia="lt-LT"/>
          <w14:ligatures w14:val="none"/>
        </w:rPr>
        <w:t xml:space="preserve">Kartu su  reagentų rinkiniais </w:t>
      </w:r>
      <w:r w:rsidR="00614CBE">
        <w:rPr>
          <w:rFonts w:ascii="Times New Roman" w:eastAsia="Times New Roman" w:hAnsi="Times New Roman" w:cs="Times New Roman"/>
          <w:kern w:val="0"/>
          <w:sz w:val="24"/>
          <w:szCs w:val="24"/>
          <w:lang w:eastAsia="lt-LT"/>
          <w14:ligatures w14:val="none"/>
        </w:rPr>
        <w:t>bus</w:t>
      </w:r>
      <w:r w:rsidRPr="00DC6F4F">
        <w:rPr>
          <w:rFonts w:ascii="Times New Roman" w:eastAsia="Times New Roman" w:hAnsi="Times New Roman" w:cs="Times New Roman"/>
          <w:kern w:val="0"/>
          <w:sz w:val="24"/>
          <w:szCs w:val="24"/>
          <w:lang w:eastAsia="lt-LT"/>
          <w14:ligatures w14:val="none"/>
        </w:rPr>
        <w:t xml:space="preserve"> pateiktos naudojimo instrukcijos bei saugos duomenų lapai lietuvių kalba (</w:t>
      </w:r>
      <w:r w:rsidR="00913B56">
        <w:rPr>
          <w:rFonts w:ascii="Times New Roman" w:eastAsia="Times New Roman" w:hAnsi="Times New Roman" w:cs="Times New Roman"/>
          <w:b/>
          <w:bCs/>
          <w:i/>
          <w:iCs/>
          <w:kern w:val="0"/>
          <w:sz w:val="24"/>
          <w:szCs w:val="24"/>
          <w:lang w:eastAsia="lt-LT"/>
          <w14:ligatures w14:val="none"/>
        </w:rPr>
        <w:t>pateiktas</w:t>
      </w:r>
      <w:r w:rsidRPr="00DC6F4F">
        <w:rPr>
          <w:rFonts w:ascii="Times New Roman" w:eastAsia="Times New Roman" w:hAnsi="Times New Roman" w:cs="Times New Roman"/>
          <w:b/>
          <w:bCs/>
          <w:i/>
          <w:iCs/>
          <w:kern w:val="0"/>
          <w:sz w:val="24"/>
          <w:szCs w:val="24"/>
          <w:lang w:eastAsia="lt-LT"/>
          <w14:ligatures w14:val="none"/>
        </w:rPr>
        <w:t xml:space="preserve"> atitinkamas tiekėjo įsipareigojimas</w:t>
      </w:r>
      <w:r w:rsidRPr="00DC6F4F">
        <w:rPr>
          <w:rFonts w:ascii="Times New Roman" w:eastAsia="Times New Roman" w:hAnsi="Times New Roman" w:cs="Times New Roman"/>
          <w:kern w:val="0"/>
          <w:sz w:val="24"/>
          <w:szCs w:val="24"/>
          <w:lang w:eastAsia="lt-LT"/>
          <w14:ligatures w14:val="none"/>
        </w:rPr>
        <w:t xml:space="preserve">). </w:t>
      </w:r>
    </w:p>
    <w:p w14:paraId="59F46B9E" w14:textId="6DA58D5E" w:rsidR="00DC6F4F" w:rsidRPr="00922876" w:rsidRDefault="00DC6F4F" w:rsidP="00DC6F4F">
      <w:pPr>
        <w:spacing w:after="0" w:line="240" w:lineRule="auto"/>
        <w:rPr>
          <w:rFonts w:ascii="Times New Roman" w:eastAsia="Times New Roman" w:hAnsi="Times New Roman" w:cs="Times New Roman"/>
          <w:kern w:val="0"/>
          <w:sz w:val="24"/>
          <w:szCs w:val="24"/>
          <w:lang w:eastAsia="lt-LT"/>
          <w14:ligatures w14:val="none"/>
        </w:rPr>
      </w:pPr>
    </w:p>
    <w:p w14:paraId="41FFE414" w14:textId="103DAF6D" w:rsidR="00075142" w:rsidRDefault="00075142" w:rsidP="00075142">
      <w:pPr>
        <w:spacing w:after="0" w:line="240" w:lineRule="auto"/>
        <w:rPr>
          <w:rFonts w:ascii="Times New Roman" w:eastAsia="Times New Roman" w:hAnsi="Times New Roman" w:cs="Times New Roman"/>
          <w:kern w:val="0"/>
          <w:sz w:val="24"/>
          <w:szCs w:val="24"/>
          <w:lang w:eastAsia="lt-LT"/>
          <w14:ligatures w14:val="none"/>
        </w:rPr>
      </w:pPr>
      <w:r w:rsidRPr="00075142">
        <w:rPr>
          <w:rFonts w:ascii="Times New Roman" w:eastAsia="Times New Roman" w:hAnsi="Times New Roman" w:cs="Times New Roman"/>
          <w:kern w:val="0"/>
          <w:sz w:val="24"/>
          <w:szCs w:val="24"/>
          <w:lang w:eastAsia="lt-LT"/>
          <w14:ligatures w14:val="none"/>
        </w:rPr>
        <w:t xml:space="preserve">Tiekėjas </w:t>
      </w:r>
      <w:r w:rsidR="00913B56">
        <w:rPr>
          <w:rFonts w:ascii="Times New Roman" w:eastAsia="Times New Roman" w:hAnsi="Times New Roman" w:cs="Times New Roman"/>
          <w:kern w:val="0"/>
          <w:sz w:val="24"/>
          <w:szCs w:val="24"/>
          <w:lang w:eastAsia="lt-LT"/>
          <w14:ligatures w14:val="none"/>
        </w:rPr>
        <w:t>garantuoja</w:t>
      </w:r>
      <w:r w:rsidRPr="00075142">
        <w:rPr>
          <w:rFonts w:ascii="Times New Roman" w:eastAsia="Times New Roman" w:hAnsi="Times New Roman" w:cs="Times New Roman"/>
          <w:kern w:val="0"/>
          <w:sz w:val="24"/>
          <w:szCs w:val="24"/>
          <w:lang w:eastAsia="lt-LT"/>
          <w14:ligatures w14:val="none"/>
        </w:rPr>
        <w:t xml:space="preserve"> personalo konsultavimą techniniais, metodiniais, reagentų ir kitų ekploatacinių medžiagų naudojimo klausimais visą sutarties laikotarpį (</w:t>
      </w:r>
      <w:r w:rsidR="00913B56">
        <w:rPr>
          <w:rFonts w:ascii="Times New Roman" w:eastAsia="Times New Roman" w:hAnsi="Times New Roman" w:cs="Times New Roman"/>
          <w:b/>
          <w:bCs/>
          <w:i/>
          <w:iCs/>
          <w:kern w:val="0"/>
          <w:sz w:val="24"/>
          <w:szCs w:val="24"/>
          <w:lang w:eastAsia="lt-LT"/>
          <w14:ligatures w14:val="none"/>
        </w:rPr>
        <w:t>pateikt</w:t>
      </w:r>
      <w:r w:rsidR="00A45827">
        <w:rPr>
          <w:rFonts w:ascii="Times New Roman" w:eastAsia="Times New Roman" w:hAnsi="Times New Roman" w:cs="Times New Roman"/>
          <w:b/>
          <w:bCs/>
          <w:i/>
          <w:iCs/>
          <w:kern w:val="0"/>
          <w:sz w:val="24"/>
          <w:szCs w:val="24"/>
          <w:lang w:eastAsia="lt-LT"/>
          <w14:ligatures w14:val="none"/>
        </w:rPr>
        <w:t>a</w:t>
      </w:r>
      <w:r w:rsidR="00913B56">
        <w:rPr>
          <w:rFonts w:ascii="Times New Roman" w:eastAsia="Times New Roman" w:hAnsi="Times New Roman" w:cs="Times New Roman"/>
          <w:b/>
          <w:bCs/>
          <w:i/>
          <w:iCs/>
          <w:kern w:val="0"/>
          <w:sz w:val="24"/>
          <w:szCs w:val="24"/>
          <w:lang w:eastAsia="lt-LT"/>
          <w14:ligatures w14:val="none"/>
        </w:rPr>
        <w:t>s</w:t>
      </w:r>
      <w:r w:rsidRPr="00075142">
        <w:rPr>
          <w:rFonts w:ascii="Times New Roman" w:eastAsia="Times New Roman" w:hAnsi="Times New Roman" w:cs="Times New Roman"/>
          <w:b/>
          <w:bCs/>
          <w:i/>
          <w:iCs/>
          <w:kern w:val="0"/>
          <w:sz w:val="24"/>
          <w:szCs w:val="24"/>
          <w:lang w:eastAsia="lt-LT"/>
          <w14:ligatures w14:val="none"/>
        </w:rPr>
        <w:t xml:space="preserve"> atitinkamas tiekėjo įsipareigojimas</w:t>
      </w:r>
      <w:r w:rsidRPr="00075142">
        <w:rPr>
          <w:rFonts w:ascii="Times New Roman" w:eastAsia="Times New Roman" w:hAnsi="Times New Roman" w:cs="Times New Roman"/>
          <w:kern w:val="0"/>
          <w:sz w:val="24"/>
          <w:szCs w:val="24"/>
          <w:lang w:eastAsia="lt-LT"/>
          <w14:ligatures w14:val="none"/>
        </w:rPr>
        <w:t>).</w:t>
      </w:r>
    </w:p>
    <w:p w14:paraId="010F2E0B" w14:textId="77777777" w:rsidR="00913B56" w:rsidRPr="00922876" w:rsidRDefault="00913B56" w:rsidP="00075142">
      <w:pPr>
        <w:spacing w:after="0" w:line="240" w:lineRule="auto"/>
        <w:rPr>
          <w:rFonts w:ascii="Times New Roman" w:eastAsia="Times New Roman" w:hAnsi="Times New Roman" w:cs="Times New Roman"/>
          <w:kern w:val="0"/>
          <w:sz w:val="24"/>
          <w:szCs w:val="24"/>
          <w:lang w:eastAsia="lt-LT"/>
          <w14:ligatures w14:val="none"/>
        </w:rPr>
      </w:pPr>
    </w:p>
    <w:p w14:paraId="6CBF01FB" w14:textId="48FCF0B9" w:rsidR="00075142" w:rsidRDefault="00075142" w:rsidP="00075142">
      <w:pPr>
        <w:spacing w:after="0" w:line="240" w:lineRule="auto"/>
        <w:rPr>
          <w:rFonts w:ascii="Times New Roman" w:eastAsia="Times New Roman" w:hAnsi="Times New Roman" w:cs="Times New Roman"/>
          <w:kern w:val="0"/>
          <w:sz w:val="24"/>
          <w:szCs w:val="24"/>
          <w:lang w:eastAsia="lt-LT"/>
          <w14:ligatures w14:val="none"/>
        </w:rPr>
      </w:pPr>
      <w:r w:rsidRPr="00075142">
        <w:rPr>
          <w:rFonts w:ascii="Times New Roman" w:eastAsia="Times New Roman" w:hAnsi="Times New Roman" w:cs="Times New Roman"/>
          <w:kern w:val="0"/>
          <w:sz w:val="24"/>
          <w:szCs w:val="24"/>
          <w:lang w:eastAsia="lt-LT"/>
          <w14:ligatures w14:val="none"/>
        </w:rPr>
        <w:t xml:space="preserve">Komisijai pareikalavus, </w:t>
      </w:r>
      <w:r w:rsidR="00913B56">
        <w:rPr>
          <w:rFonts w:ascii="Times New Roman" w:eastAsia="Times New Roman" w:hAnsi="Times New Roman" w:cs="Times New Roman"/>
          <w:kern w:val="0"/>
          <w:sz w:val="24"/>
          <w:szCs w:val="24"/>
          <w:lang w:eastAsia="lt-LT"/>
          <w14:ligatures w14:val="none"/>
        </w:rPr>
        <w:t>bus</w:t>
      </w:r>
      <w:r w:rsidRPr="00075142">
        <w:rPr>
          <w:rFonts w:ascii="Times New Roman" w:eastAsia="Times New Roman" w:hAnsi="Times New Roman" w:cs="Times New Roman"/>
          <w:kern w:val="0"/>
          <w:sz w:val="24"/>
          <w:szCs w:val="24"/>
          <w:lang w:eastAsia="lt-LT"/>
          <w14:ligatures w14:val="none"/>
        </w:rPr>
        <w:t xml:space="preserve"> pateikt</w:t>
      </w:r>
      <w:r w:rsidR="00913B56">
        <w:rPr>
          <w:rFonts w:ascii="Times New Roman" w:eastAsia="Times New Roman" w:hAnsi="Times New Roman" w:cs="Times New Roman"/>
          <w:kern w:val="0"/>
          <w:sz w:val="24"/>
          <w:szCs w:val="24"/>
          <w:lang w:eastAsia="lt-LT"/>
          <w14:ligatures w14:val="none"/>
        </w:rPr>
        <w:t>as</w:t>
      </w:r>
      <w:r w:rsidRPr="00075142">
        <w:rPr>
          <w:rFonts w:ascii="Times New Roman" w:eastAsia="Times New Roman" w:hAnsi="Times New Roman" w:cs="Times New Roman"/>
          <w:kern w:val="0"/>
          <w:sz w:val="24"/>
          <w:szCs w:val="24"/>
          <w:lang w:eastAsia="lt-LT"/>
          <w14:ligatures w14:val="none"/>
        </w:rPr>
        <w:t xml:space="preserve"> reagentų rinkinio pavyzd</w:t>
      </w:r>
      <w:r w:rsidR="00913B56">
        <w:rPr>
          <w:rFonts w:ascii="Times New Roman" w:eastAsia="Times New Roman" w:hAnsi="Times New Roman" w:cs="Times New Roman"/>
          <w:kern w:val="0"/>
          <w:sz w:val="24"/>
          <w:szCs w:val="24"/>
          <w:lang w:eastAsia="lt-LT"/>
          <w14:ligatures w14:val="none"/>
        </w:rPr>
        <w:t>ys</w:t>
      </w:r>
      <w:r w:rsidRPr="00075142">
        <w:rPr>
          <w:rFonts w:ascii="Times New Roman" w:eastAsia="Times New Roman" w:hAnsi="Times New Roman" w:cs="Times New Roman"/>
          <w:kern w:val="0"/>
          <w:sz w:val="24"/>
          <w:szCs w:val="24"/>
          <w:lang w:eastAsia="lt-LT"/>
          <w14:ligatures w14:val="none"/>
        </w:rPr>
        <w:t>.</w:t>
      </w:r>
    </w:p>
    <w:p w14:paraId="1A9877DE"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0A474BBB"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2B49C1C1"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175B71DB"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6734966B"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06E30DA2"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30547142"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698758FF"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6CDCC94C" w14:textId="77777777" w:rsidR="0022511F" w:rsidRDefault="0022511F" w:rsidP="00075142">
      <w:pPr>
        <w:spacing w:after="0" w:line="240" w:lineRule="auto"/>
        <w:rPr>
          <w:rFonts w:ascii="Times New Roman" w:eastAsia="Times New Roman" w:hAnsi="Times New Roman" w:cs="Times New Roman"/>
          <w:kern w:val="0"/>
          <w:sz w:val="24"/>
          <w:szCs w:val="24"/>
          <w:lang w:eastAsia="lt-LT"/>
          <w14:ligatures w14:val="none"/>
        </w:rPr>
      </w:pPr>
    </w:p>
    <w:tbl>
      <w:tblPr>
        <w:tblW w:w="15840" w:type="dxa"/>
        <w:tblInd w:w="-941" w:type="dxa"/>
        <w:tblLook w:val="04A0" w:firstRow="1" w:lastRow="0" w:firstColumn="1" w:lastColumn="0" w:noHBand="0" w:noVBand="1"/>
      </w:tblPr>
      <w:tblGrid>
        <w:gridCol w:w="1843"/>
        <w:gridCol w:w="3544"/>
        <w:gridCol w:w="10453"/>
      </w:tblGrid>
      <w:tr w:rsidR="0022511F" w:rsidRPr="0022511F" w14:paraId="4CA4E560" w14:textId="77777777" w:rsidTr="0022511F">
        <w:trPr>
          <w:trHeight w:val="420"/>
        </w:trPr>
        <w:tc>
          <w:tcPr>
            <w:tcW w:w="1843" w:type="dxa"/>
            <w:tcBorders>
              <w:top w:val="nil"/>
              <w:left w:val="nil"/>
              <w:bottom w:val="nil"/>
              <w:right w:val="nil"/>
            </w:tcBorders>
            <w:shd w:val="clear" w:color="auto" w:fill="auto"/>
            <w:hideMark/>
          </w:tcPr>
          <w:p w14:paraId="4A2FA193" w14:textId="77777777" w:rsidR="0022511F" w:rsidRPr="0022511F" w:rsidRDefault="0022511F" w:rsidP="0022511F">
            <w:pPr>
              <w:spacing w:after="0" w:line="240" w:lineRule="auto"/>
              <w:rPr>
                <w:rFonts w:ascii="Times New Roman" w:eastAsia="Times New Roman" w:hAnsi="Times New Roman" w:cs="Times New Roman"/>
                <w:kern w:val="0"/>
                <w:sz w:val="24"/>
                <w:szCs w:val="24"/>
                <w:lang w:eastAsia="en-GB"/>
                <w14:ligatures w14:val="none"/>
              </w:rPr>
            </w:pPr>
          </w:p>
        </w:tc>
        <w:tc>
          <w:tcPr>
            <w:tcW w:w="3544" w:type="dxa"/>
            <w:tcBorders>
              <w:top w:val="nil"/>
              <w:left w:val="nil"/>
              <w:bottom w:val="nil"/>
              <w:right w:val="nil"/>
            </w:tcBorders>
            <w:shd w:val="clear" w:color="auto" w:fill="auto"/>
            <w:hideMark/>
          </w:tcPr>
          <w:p w14:paraId="64B30D4D" w14:textId="77777777" w:rsid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p w14:paraId="08D6677C" w14:textId="77777777" w:rsid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p w14:paraId="2D481096" w14:textId="77777777" w:rsid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p w14:paraId="64EB9825" w14:textId="77777777" w:rsid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p w14:paraId="454C0766" w14:textId="77777777" w:rsid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p w14:paraId="791246A6" w14:textId="77777777" w:rsid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p w14:paraId="5DAE0875" w14:textId="77777777" w:rsid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p w14:paraId="20565208"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c>
          <w:tcPr>
            <w:tcW w:w="10453" w:type="dxa"/>
            <w:tcBorders>
              <w:top w:val="nil"/>
              <w:left w:val="nil"/>
              <w:bottom w:val="nil"/>
              <w:right w:val="nil"/>
            </w:tcBorders>
            <w:shd w:val="clear" w:color="auto" w:fill="auto"/>
            <w:vAlign w:val="center"/>
            <w:hideMark/>
          </w:tcPr>
          <w:p w14:paraId="2A95B747" w14:textId="77777777" w:rsidR="0022511F" w:rsidRPr="0022511F" w:rsidRDefault="0022511F" w:rsidP="0022511F">
            <w:pPr>
              <w:spacing w:after="0" w:line="240" w:lineRule="auto"/>
              <w:jc w:val="right"/>
              <w:rPr>
                <w:rFonts w:ascii="Times New Roman" w:eastAsia="Times New Roman" w:hAnsi="Times New Roman" w:cs="Times New Roman"/>
                <w:kern w:val="0"/>
                <w:lang w:eastAsia="en-GB"/>
                <w14:ligatures w14:val="none"/>
              </w:rPr>
            </w:pPr>
            <w:r w:rsidRPr="0022511F">
              <w:rPr>
                <w:rFonts w:ascii="Times New Roman" w:eastAsia="Times New Roman" w:hAnsi="Times New Roman" w:cs="Times New Roman"/>
                <w:kern w:val="0"/>
                <w:lang w:eastAsia="en-GB"/>
                <w14:ligatures w14:val="none"/>
              </w:rPr>
              <w:t>1 priedas</w:t>
            </w:r>
          </w:p>
        </w:tc>
      </w:tr>
      <w:tr w:rsidR="0022511F" w:rsidRPr="0022511F" w14:paraId="4519102B" w14:textId="77777777" w:rsidTr="0022511F">
        <w:trPr>
          <w:trHeight w:val="570"/>
        </w:trPr>
        <w:tc>
          <w:tcPr>
            <w:tcW w:w="15840" w:type="dxa"/>
            <w:gridSpan w:val="3"/>
            <w:tcBorders>
              <w:top w:val="nil"/>
              <w:left w:val="nil"/>
              <w:bottom w:val="nil"/>
              <w:right w:val="nil"/>
            </w:tcBorders>
            <w:shd w:val="clear" w:color="auto" w:fill="auto"/>
            <w:vAlign w:val="center"/>
            <w:hideMark/>
          </w:tcPr>
          <w:p w14:paraId="4B26BE53" w14:textId="77777777" w:rsidR="0022511F" w:rsidRDefault="0022511F" w:rsidP="0022511F">
            <w:pPr>
              <w:spacing w:after="0" w:line="240" w:lineRule="auto"/>
              <w:jc w:val="center"/>
              <w:rPr>
                <w:rFonts w:ascii="Times New Roman" w:eastAsia="Times New Roman" w:hAnsi="Times New Roman" w:cs="Times New Roman"/>
                <w:b/>
                <w:bCs/>
                <w:kern w:val="0"/>
                <w:sz w:val="24"/>
                <w:szCs w:val="24"/>
                <w:lang w:eastAsia="en-GB"/>
                <w14:ligatures w14:val="none"/>
              </w:rPr>
            </w:pPr>
            <w:r w:rsidRPr="0022511F">
              <w:rPr>
                <w:rFonts w:ascii="Times New Roman" w:eastAsia="Times New Roman" w:hAnsi="Times New Roman" w:cs="Times New Roman"/>
                <w:b/>
                <w:bCs/>
                <w:kern w:val="0"/>
                <w:sz w:val="24"/>
                <w:szCs w:val="24"/>
                <w:lang w:eastAsia="en-GB"/>
                <w14:ligatures w14:val="none"/>
              </w:rPr>
              <w:t xml:space="preserve">PILNAI AUTOMATIZUOTOS SISTEMOS, SKIRTOS MULTIPLEKSINEI </w:t>
            </w:r>
            <w:r w:rsidRPr="0022511F">
              <w:rPr>
                <w:rFonts w:ascii="Times New Roman" w:eastAsia="Times New Roman" w:hAnsi="Times New Roman" w:cs="Times New Roman"/>
                <w:b/>
                <w:bCs/>
                <w:i/>
                <w:iCs/>
                <w:kern w:val="0"/>
                <w:sz w:val="24"/>
                <w:szCs w:val="24"/>
                <w:lang w:eastAsia="en-GB"/>
                <w14:ligatures w14:val="none"/>
              </w:rPr>
              <w:t>IN VITRO</w:t>
            </w:r>
            <w:r w:rsidRPr="0022511F">
              <w:rPr>
                <w:rFonts w:ascii="Times New Roman" w:eastAsia="Times New Roman" w:hAnsi="Times New Roman" w:cs="Times New Roman"/>
                <w:b/>
                <w:bCs/>
                <w:kern w:val="0"/>
                <w:sz w:val="24"/>
                <w:szCs w:val="24"/>
                <w:lang w:eastAsia="en-GB"/>
                <w14:ligatures w14:val="none"/>
              </w:rPr>
              <w:t xml:space="preserve"> ALERGENŲ DIAGNOSTIKAI</w:t>
            </w:r>
            <w:r w:rsidRPr="0022511F">
              <w:rPr>
                <w:rFonts w:ascii="Times New Roman" w:eastAsia="Times New Roman" w:hAnsi="Times New Roman" w:cs="Times New Roman"/>
                <w:b/>
                <w:bCs/>
                <w:kern w:val="0"/>
                <w:sz w:val="24"/>
                <w:szCs w:val="24"/>
                <w:lang w:eastAsia="en-GB"/>
                <w14:ligatures w14:val="none"/>
              </w:rPr>
              <w:br/>
              <w:t>TECHNINĖ SPECIFIKACIJA</w:t>
            </w:r>
          </w:p>
          <w:p w14:paraId="12D275F0" w14:textId="77777777" w:rsidR="0022511F" w:rsidRDefault="0022511F" w:rsidP="0022511F">
            <w:pPr>
              <w:spacing w:after="0" w:line="240" w:lineRule="auto"/>
              <w:jc w:val="center"/>
              <w:rPr>
                <w:rFonts w:ascii="Times New Roman" w:eastAsia="Times New Roman" w:hAnsi="Times New Roman" w:cs="Times New Roman"/>
                <w:b/>
                <w:bCs/>
                <w:kern w:val="0"/>
                <w:sz w:val="24"/>
                <w:szCs w:val="24"/>
                <w:lang w:eastAsia="en-GB"/>
                <w14:ligatures w14:val="none"/>
              </w:rPr>
            </w:pPr>
          </w:p>
          <w:p w14:paraId="2821E542" w14:textId="77777777" w:rsidR="0022511F" w:rsidRDefault="0022511F" w:rsidP="0022511F">
            <w:pPr>
              <w:spacing w:after="0" w:line="240" w:lineRule="auto"/>
              <w:jc w:val="center"/>
              <w:rPr>
                <w:rFonts w:ascii="Times New Roman" w:eastAsia="Times New Roman" w:hAnsi="Times New Roman" w:cs="Times New Roman"/>
                <w:b/>
                <w:bCs/>
                <w:kern w:val="0"/>
                <w:sz w:val="24"/>
                <w:szCs w:val="24"/>
                <w:lang w:eastAsia="en-GB"/>
                <w14:ligatures w14:val="none"/>
              </w:rPr>
            </w:pPr>
          </w:p>
          <w:p w14:paraId="34646E08" w14:textId="77777777" w:rsidR="0022511F" w:rsidRDefault="0022511F" w:rsidP="0022511F">
            <w:pPr>
              <w:spacing w:after="0" w:line="240" w:lineRule="auto"/>
              <w:jc w:val="center"/>
              <w:rPr>
                <w:rFonts w:ascii="Times New Roman" w:eastAsia="Times New Roman" w:hAnsi="Times New Roman" w:cs="Times New Roman"/>
                <w:b/>
                <w:bCs/>
                <w:kern w:val="0"/>
                <w:sz w:val="24"/>
                <w:szCs w:val="24"/>
                <w:lang w:eastAsia="en-GB"/>
                <w14:ligatures w14:val="none"/>
              </w:rPr>
            </w:pPr>
          </w:p>
          <w:p w14:paraId="6D0071C2" w14:textId="77777777" w:rsidR="0022511F" w:rsidRPr="0022511F" w:rsidRDefault="0022511F" w:rsidP="0022511F">
            <w:pPr>
              <w:spacing w:after="0" w:line="240" w:lineRule="auto"/>
              <w:jc w:val="center"/>
              <w:rPr>
                <w:rFonts w:ascii="Times New Roman" w:eastAsia="Times New Roman" w:hAnsi="Times New Roman" w:cs="Times New Roman"/>
                <w:b/>
                <w:bCs/>
                <w:kern w:val="0"/>
                <w:sz w:val="24"/>
                <w:szCs w:val="24"/>
                <w:lang w:eastAsia="en-GB"/>
                <w14:ligatures w14:val="none"/>
              </w:rPr>
            </w:pPr>
          </w:p>
        </w:tc>
      </w:tr>
      <w:tr w:rsidR="0022511F" w:rsidRPr="0022511F" w14:paraId="6648085F" w14:textId="77777777" w:rsidTr="0022511F">
        <w:trPr>
          <w:trHeight w:val="320"/>
        </w:trPr>
        <w:tc>
          <w:tcPr>
            <w:tcW w:w="1843" w:type="dxa"/>
            <w:tcBorders>
              <w:top w:val="nil"/>
              <w:left w:val="nil"/>
              <w:bottom w:val="nil"/>
              <w:right w:val="nil"/>
            </w:tcBorders>
            <w:shd w:val="clear" w:color="auto" w:fill="auto"/>
            <w:vAlign w:val="center"/>
            <w:hideMark/>
          </w:tcPr>
          <w:p w14:paraId="6D8E22A7" w14:textId="77777777" w:rsidR="0022511F" w:rsidRPr="0022511F" w:rsidRDefault="0022511F" w:rsidP="0022511F">
            <w:pPr>
              <w:spacing w:after="0" w:line="240" w:lineRule="auto"/>
              <w:jc w:val="center"/>
              <w:rPr>
                <w:rFonts w:ascii="Times New Roman" w:eastAsia="Times New Roman" w:hAnsi="Times New Roman" w:cs="Times New Roman"/>
                <w:b/>
                <w:bCs/>
                <w:kern w:val="0"/>
                <w:sz w:val="24"/>
                <w:szCs w:val="24"/>
                <w:lang w:eastAsia="en-GB"/>
                <w14:ligatures w14:val="none"/>
              </w:rPr>
            </w:pPr>
          </w:p>
        </w:tc>
        <w:tc>
          <w:tcPr>
            <w:tcW w:w="3544" w:type="dxa"/>
            <w:tcBorders>
              <w:top w:val="nil"/>
              <w:left w:val="nil"/>
              <w:bottom w:val="nil"/>
              <w:right w:val="nil"/>
            </w:tcBorders>
            <w:shd w:val="clear" w:color="auto" w:fill="auto"/>
            <w:vAlign w:val="center"/>
            <w:hideMark/>
          </w:tcPr>
          <w:p w14:paraId="00D44321" w14:textId="77777777" w:rsidR="0022511F" w:rsidRPr="0022511F" w:rsidRDefault="0022511F" w:rsidP="0022511F">
            <w:pPr>
              <w:spacing w:after="0" w:line="240" w:lineRule="auto"/>
              <w:jc w:val="center"/>
              <w:rPr>
                <w:rFonts w:ascii="Times New Roman" w:eastAsia="Times New Roman" w:hAnsi="Times New Roman" w:cs="Times New Roman"/>
                <w:kern w:val="0"/>
                <w:sz w:val="20"/>
                <w:szCs w:val="20"/>
                <w:lang w:eastAsia="en-GB"/>
                <w14:ligatures w14:val="none"/>
              </w:rPr>
            </w:pPr>
          </w:p>
        </w:tc>
        <w:tc>
          <w:tcPr>
            <w:tcW w:w="10453" w:type="dxa"/>
            <w:tcBorders>
              <w:top w:val="nil"/>
              <w:left w:val="nil"/>
              <w:bottom w:val="nil"/>
              <w:right w:val="nil"/>
            </w:tcBorders>
            <w:shd w:val="clear" w:color="auto" w:fill="auto"/>
            <w:vAlign w:val="center"/>
            <w:hideMark/>
          </w:tcPr>
          <w:p w14:paraId="6A1FF006" w14:textId="77777777" w:rsidR="0022511F" w:rsidRPr="0022511F" w:rsidRDefault="0022511F" w:rsidP="0022511F">
            <w:pPr>
              <w:spacing w:after="0" w:line="240" w:lineRule="auto"/>
              <w:jc w:val="center"/>
              <w:rPr>
                <w:rFonts w:ascii="Times New Roman" w:eastAsia="Times New Roman" w:hAnsi="Times New Roman" w:cs="Times New Roman"/>
                <w:kern w:val="0"/>
                <w:sz w:val="20"/>
                <w:szCs w:val="20"/>
                <w:lang w:eastAsia="en-GB"/>
                <w14:ligatures w14:val="none"/>
              </w:rPr>
            </w:pPr>
          </w:p>
        </w:tc>
      </w:tr>
      <w:tr w:rsidR="0022511F" w:rsidRPr="0022511F" w14:paraId="70917FAB" w14:textId="77777777" w:rsidTr="0022511F">
        <w:trPr>
          <w:trHeight w:val="405"/>
        </w:trPr>
        <w:tc>
          <w:tcPr>
            <w:tcW w:w="1843" w:type="dxa"/>
            <w:tcBorders>
              <w:top w:val="nil"/>
              <w:left w:val="nil"/>
              <w:bottom w:val="nil"/>
              <w:right w:val="nil"/>
            </w:tcBorders>
            <w:shd w:val="clear" w:color="auto" w:fill="auto"/>
            <w:hideMark/>
          </w:tcPr>
          <w:p w14:paraId="747602EB" w14:textId="77777777" w:rsidR="0022511F" w:rsidRPr="0022511F" w:rsidRDefault="0022511F" w:rsidP="0022511F">
            <w:pPr>
              <w:spacing w:after="0" w:line="240" w:lineRule="auto"/>
              <w:jc w:val="center"/>
              <w:rPr>
                <w:rFonts w:ascii="Times New Roman" w:eastAsia="Times New Roman" w:hAnsi="Times New Roman" w:cs="Times New Roman"/>
                <w:kern w:val="0"/>
                <w:sz w:val="20"/>
                <w:szCs w:val="20"/>
                <w:lang w:eastAsia="en-GB"/>
                <w14:ligatures w14:val="none"/>
              </w:rPr>
            </w:pPr>
          </w:p>
        </w:tc>
        <w:tc>
          <w:tcPr>
            <w:tcW w:w="3544" w:type="dxa"/>
            <w:tcBorders>
              <w:top w:val="nil"/>
              <w:left w:val="nil"/>
              <w:bottom w:val="nil"/>
              <w:right w:val="nil"/>
            </w:tcBorders>
            <w:shd w:val="clear" w:color="auto" w:fill="auto"/>
            <w:hideMark/>
          </w:tcPr>
          <w:p w14:paraId="6E5AEC7A"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Modelis: MultiArrayXplorer 9k</w:t>
            </w:r>
          </w:p>
        </w:tc>
        <w:tc>
          <w:tcPr>
            <w:tcW w:w="10453" w:type="dxa"/>
            <w:tcBorders>
              <w:top w:val="nil"/>
              <w:left w:val="nil"/>
              <w:bottom w:val="nil"/>
              <w:right w:val="nil"/>
            </w:tcBorders>
            <w:shd w:val="clear" w:color="auto" w:fill="auto"/>
            <w:hideMark/>
          </w:tcPr>
          <w:p w14:paraId="312EEEF2"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r>
      <w:tr w:rsidR="0022511F" w:rsidRPr="0022511F" w14:paraId="19DF1F60" w14:textId="77777777" w:rsidTr="0022511F">
        <w:trPr>
          <w:trHeight w:val="405"/>
        </w:trPr>
        <w:tc>
          <w:tcPr>
            <w:tcW w:w="1843" w:type="dxa"/>
            <w:tcBorders>
              <w:top w:val="nil"/>
              <w:left w:val="nil"/>
              <w:bottom w:val="nil"/>
              <w:right w:val="nil"/>
            </w:tcBorders>
            <w:shd w:val="clear" w:color="auto" w:fill="auto"/>
            <w:hideMark/>
          </w:tcPr>
          <w:p w14:paraId="18DBC772"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c>
          <w:tcPr>
            <w:tcW w:w="3544" w:type="dxa"/>
            <w:tcBorders>
              <w:top w:val="nil"/>
              <w:left w:val="nil"/>
              <w:bottom w:val="nil"/>
              <w:right w:val="nil"/>
            </w:tcBorders>
            <w:shd w:val="clear" w:color="auto" w:fill="auto"/>
            <w:hideMark/>
          </w:tcPr>
          <w:p w14:paraId="427F31B6"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Gamintojas: Macro Array diagnostics GmbH</w:t>
            </w:r>
          </w:p>
        </w:tc>
        <w:tc>
          <w:tcPr>
            <w:tcW w:w="10453" w:type="dxa"/>
            <w:tcBorders>
              <w:top w:val="nil"/>
              <w:left w:val="nil"/>
              <w:bottom w:val="nil"/>
              <w:right w:val="nil"/>
            </w:tcBorders>
            <w:shd w:val="clear" w:color="auto" w:fill="auto"/>
            <w:hideMark/>
          </w:tcPr>
          <w:p w14:paraId="24A2F008"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r>
      <w:tr w:rsidR="0022511F" w:rsidRPr="0022511F" w14:paraId="4A1BF6FC" w14:textId="77777777" w:rsidTr="0022511F">
        <w:trPr>
          <w:trHeight w:val="405"/>
        </w:trPr>
        <w:tc>
          <w:tcPr>
            <w:tcW w:w="1843" w:type="dxa"/>
            <w:tcBorders>
              <w:top w:val="nil"/>
              <w:left w:val="nil"/>
              <w:bottom w:val="nil"/>
              <w:right w:val="nil"/>
            </w:tcBorders>
            <w:shd w:val="clear" w:color="auto" w:fill="auto"/>
            <w:hideMark/>
          </w:tcPr>
          <w:p w14:paraId="1FC36FC2"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c>
          <w:tcPr>
            <w:tcW w:w="3544" w:type="dxa"/>
            <w:tcBorders>
              <w:top w:val="nil"/>
              <w:left w:val="nil"/>
              <w:bottom w:val="nil"/>
              <w:right w:val="nil"/>
            </w:tcBorders>
            <w:shd w:val="clear" w:color="auto" w:fill="auto"/>
            <w:hideMark/>
          </w:tcPr>
          <w:p w14:paraId="27A31CB3"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Kilmės šalis: Austrija</w:t>
            </w:r>
          </w:p>
        </w:tc>
        <w:tc>
          <w:tcPr>
            <w:tcW w:w="10453" w:type="dxa"/>
            <w:tcBorders>
              <w:top w:val="nil"/>
              <w:left w:val="nil"/>
              <w:bottom w:val="nil"/>
              <w:right w:val="nil"/>
            </w:tcBorders>
            <w:shd w:val="clear" w:color="auto" w:fill="auto"/>
            <w:hideMark/>
          </w:tcPr>
          <w:p w14:paraId="3790D3D9"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r>
      <w:tr w:rsidR="0022511F" w:rsidRPr="0022511F" w14:paraId="7FD83FCB" w14:textId="77777777" w:rsidTr="0022511F">
        <w:trPr>
          <w:trHeight w:val="260"/>
        </w:trPr>
        <w:tc>
          <w:tcPr>
            <w:tcW w:w="1843" w:type="dxa"/>
            <w:tcBorders>
              <w:top w:val="nil"/>
              <w:left w:val="nil"/>
              <w:bottom w:val="nil"/>
              <w:right w:val="nil"/>
            </w:tcBorders>
            <w:shd w:val="clear" w:color="auto" w:fill="auto"/>
            <w:hideMark/>
          </w:tcPr>
          <w:p w14:paraId="2DDF0281"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c>
          <w:tcPr>
            <w:tcW w:w="3544" w:type="dxa"/>
            <w:tcBorders>
              <w:top w:val="nil"/>
              <w:left w:val="nil"/>
              <w:bottom w:val="nil"/>
              <w:right w:val="nil"/>
            </w:tcBorders>
            <w:shd w:val="clear" w:color="auto" w:fill="auto"/>
            <w:hideMark/>
          </w:tcPr>
          <w:p w14:paraId="5F6FEA59"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c>
          <w:tcPr>
            <w:tcW w:w="10453" w:type="dxa"/>
            <w:tcBorders>
              <w:top w:val="nil"/>
              <w:left w:val="nil"/>
              <w:bottom w:val="nil"/>
              <w:right w:val="nil"/>
            </w:tcBorders>
            <w:shd w:val="clear" w:color="auto" w:fill="auto"/>
            <w:hideMark/>
          </w:tcPr>
          <w:p w14:paraId="637E5037"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p>
        </w:tc>
      </w:tr>
      <w:tr w:rsidR="0022511F" w:rsidRPr="0022511F" w14:paraId="541F8539" w14:textId="77777777" w:rsidTr="0022511F">
        <w:trPr>
          <w:trHeight w:val="1485"/>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44B94" w14:textId="77777777" w:rsidR="0022511F" w:rsidRPr="0022511F" w:rsidRDefault="0022511F" w:rsidP="0022511F">
            <w:pPr>
              <w:spacing w:after="0" w:line="240" w:lineRule="auto"/>
              <w:jc w:val="center"/>
              <w:rPr>
                <w:rFonts w:ascii="Times New Roman" w:eastAsia="Times New Roman" w:hAnsi="Times New Roman" w:cs="Times New Roman"/>
                <w:b/>
                <w:bCs/>
                <w:kern w:val="0"/>
                <w:sz w:val="20"/>
                <w:szCs w:val="20"/>
                <w:lang w:eastAsia="en-GB"/>
                <w14:ligatures w14:val="none"/>
              </w:rPr>
            </w:pPr>
            <w:r w:rsidRPr="0022511F">
              <w:rPr>
                <w:rFonts w:ascii="Times New Roman" w:eastAsia="Times New Roman" w:hAnsi="Times New Roman" w:cs="Times New Roman"/>
                <w:b/>
                <w:bCs/>
                <w:kern w:val="0"/>
                <w:sz w:val="20"/>
                <w:szCs w:val="20"/>
                <w:lang w:eastAsia="en-GB"/>
                <w14:ligatures w14:val="none"/>
              </w:rPr>
              <w:t>Techninis parametras</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73A437C4" w14:textId="77777777" w:rsidR="0022511F" w:rsidRPr="0022511F" w:rsidRDefault="0022511F" w:rsidP="0022511F">
            <w:pPr>
              <w:spacing w:after="0" w:line="240" w:lineRule="auto"/>
              <w:jc w:val="center"/>
              <w:rPr>
                <w:rFonts w:ascii="Times New Roman" w:eastAsia="Times New Roman" w:hAnsi="Times New Roman" w:cs="Times New Roman"/>
                <w:b/>
                <w:bCs/>
                <w:kern w:val="0"/>
                <w:sz w:val="20"/>
                <w:szCs w:val="20"/>
                <w:lang w:eastAsia="en-GB"/>
                <w14:ligatures w14:val="none"/>
              </w:rPr>
            </w:pPr>
            <w:r w:rsidRPr="0022511F">
              <w:rPr>
                <w:rFonts w:ascii="Times New Roman" w:eastAsia="Times New Roman" w:hAnsi="Times New Roman" w:cs="Times New Roman"/>
                <w:b/>
                <w:bCs/>
                <w:kern w:val="0"/>
                <w:sz w:val="20"/>
                <w:szCs w:val="20"/>
                <w:lang w:eastAsia="en-GB"/>
                <w14:ligatures w14:val="none"/>
              </w:rPr>
              <w:t>Reikalaujama techninio parametro reikšmė</w:t>
            </w:r>
          </w:p>
        </w:tc>
        <w:tc>
          <w:tcPr>
            <w:tcW w:w="10453" w:type="dxa"/>
            <w:tcBorders>
              <w:top w:val="single" w:sz="4" w:space="0" w:color="auto"/>
              <w:left w:val="nil"/>
              <w:bottom w:val="single" w:sz="4" w:space="0" w:color="auto"/>
              <w:right w:val="single" w:sz="4" w:space="0" w:color="auto"/>
            </w:tcBorders>
            <w:shd w:val="clear" w:color="auto" w:fill="auto"/>
            <w:vAlign w:val="center"/>
            <w:hideMark/>
          </w:tcPr>
          <w:p w14:paraId="7DFC5395" w14:textId="77777777" w:rsidR="0022511F" w:rsidRPr="0022511F" w:rsidRDefault="0022511F" w:rsidP="0022511F">
            <w:pPr>
              <w:spacing w:after="0" w:line="240" w:lineRule="auto"/>
              <w:jc w:val="center"/>
              <w:rPr>
                <w:rFonts w:ascii="Times New Roman" w:eastAsia="Times New Roman" w:hAnsi="Times New Roman" w:cs="Times New Roman"/>
                <w:b/>
                <w:bCs/>
                <w:kern w:val="0"/>
                <w:sz w:val="20"/>
                <w:szCs w:val="20"/>
                <w:lang w:eastAsia="en-GB"/>
                <w14:ligatures w14:val="none"/>
              </w:rPr>
            </w:pPr>
            <w:r w:rsidRPr="0022511F">
              <w:rPr>
                <w:rFonts w:ascii="Times New Roman" w:eastAsia="Times New Roman" w:hAnsi="Times New Roman" w:cs="Times New Roman"/>
                <w:b/>
                <w:bCs/>
                <w:kern w:val="0"/>
                <w:sz w:val="20"/>
                <w:szCs w:val="20"/>
                <w:lang w:eastAsia="en-GB"/>
                <w14:ligatures w14:val="none"/>
              </w:rPr>
              <w:t>Siūlomo parametro atitikimas, konkreti parametro reikšmė ir atitikimo patvirtinimas (psl. pasiūlyme, puslapyje pabraukiant kiekvienos pozicijos kiekvieną atitikimą, nurodant pozicijos numerį pagal prašomas specifikacijas)</w:t>
            </w:r>
          </w:p>
        </w:tc>
      </w:tr>
      <w:tr w:rsidR="0022511F" w:rsidRPr="0022511F" w14:paraId="74028F00" w14:textId="77777777" w:rsidTr="0022511F">
        <w:trPr>
          <w:trHeight w:val="12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11933" w14:textId="77777777" w:rsidR="0022511F" w:rsidRDefault="0022511F" w:rsidP="0022511F">
            <w:pPr>
              <w:spacing w:after="0" w:line="240" w:lineRule="auto"/>
              <w:rPr>
                <w:rFonts w:ascii="Times New Roman" w:eastAsia="Times New Roman" w:hAnsi="Times New Roman" w:cs="Times New Roman"/>
                <w:b/>
                <w:bCs/>
                <w:kern w:val="0"/>
                <w:sz w:val="20"/>
                <w:szCs w:val="20"/>
                <w:lang w:eastAsia="en-GB"/>
                <w14:ligatures w14:val="none"/>
              </w:rPr>
            </w:pPr>
            <w:r w:rsidRPr="0022511F">
              <w:rPr>
                <w:rFonts w:ascii="Times New Roman" w:eastAsia="Times New Roman" w:hAnsi="Times New Roman" w:cs="Times New Roman"/>
                <w:b/>
                <w:bCs/>
                <w:kern w:val="0"/>
                <w:sz w:val="20"/>
                <w:szCs w:val="20"/>
                <w:lang w:eastAsia="en-GB"/>
                <w14:ligatures w14:val="none"/>
              </w:rPr>
              <w:t>Pilnai automatizuota sistema, skirta multipleksinei in vitro alergenų diagnostikai - 1 vnt.</w:t>
            </w:r>
          </w:p>
          <w:p w14:paraId="5846AC8E" w14:textId="0CF7AA21" w:rsidR="0022511F" w:rsidRPr="0022511F" w:rsidRDefault="0022511F" w:rsidP="0022511F">
            <w:pPr>
              <w:spacing w:after="0" w:line="240" w:lineRule="auto"/>
              <w:rPr>
                <w:rFonts w:ascii="Times New Roman" w:eastAsia="Times New Roman" w:hAnsi="Times New Roman" w:cs="Times New Roman"/>
                <w:b/>
                <w:bCs/>
                <w:kern w:val="0"/>
                <w:sz w:val="20"/>
                <w:szCs w:val="20"/>
                <w:lang w:eastAsia="en-GB"/>
                <w14:ligatures w14:val="none"/>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69D0D" w14:textId="77777777" w:rsidR="0022511F" w:rsidRPr="0022511F" w:rsidRDefault="0022511F" w:rsidP="0022511F">
            <w:pPr>
              <w:spacing w:after="0" w:line="240" w:lineRule="auto"/>
              <w:rPr>
                <w:rFonts w:ascii="Times New Roman" w:eastAsia="Times New Roman" w:hAnsi="Times New Roman" w:cs="Times New Roman"/>
                <w:b/>
                <w:bCs/>
                <w:i/>
                <w:iCs/>
                <w:kern w:val="0"/>
                <w:sz w:val="20"/>
                <w:szCs w:val="20"/>
                <w:lang w:eastAsia="en-GB"/>
                <w14:ligatures w14:val="none"/>
              </w:rPr>
            </w:pPr>
            <w:r w:rsidRPr="0022511F">
              <w:rPr>
                <w:rFonts w:ascii="Times New Roman" w:eastAsia="Times New Roman" w:hAnsi="Times New Roman" w:cs="Times New Roman"/>
                <w:b/>
                <w:bCs/>
                <w:i/>
                <w:iCs/>
                <w:kern w:val="0"/>
                <w:sz w:val="20"/>
                <w:szCs w:val="20"/>
                <w:lang w:eastAsia="en-GB"/>
                <w14:ligatures w14:val="none"/>
              </w:rPr>
              <w:t> </w:t>
            </w:r>
          </w:p>
        </w:tc>
        <w:tc>
          <w:tcPr>
            <w:tcW w:w="10453" w:type="dxa"/>
            <w:tcBorders>
              <w:top w:val="nil"/>
              <w:left w:val="single" w:sz="4" w:space="0" w:color="auto"/>
              <w:bottom w:val="single" w:sz="4" w:space="0" w:color="auto"/>
              <w:right w:val="single" w:sz="4" w:space="0" w:color="auto"/>
            </w:tcBorders>
            <w:shd w:val="clear" w:color="auto" w:fill="auto"/>
            <w:vAlign w:val="center"/>
            <w:hideMark/>
          </w:tcPr>
          <w:p w14:paraId="57D3D0EA"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Pilnai automatizuota sistema MultiArray Xplorer 9k (MacroArray diagnostics GmbH, Viena, Austrija)</w:t>
            </w:r>
          </w:p>
        </w:tc>
      </w:tr>
      <w:tr w:rsidR="0022511F" w:rsidRPr="0022511F" w14:paraId="5AB0A102" w14:textId="77777777" w:rsidTr="0022511F">
        <w:trPr>
          <w:trHeight w:val="148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4E5B8"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lastRenderedPageBreak/>
              <w:t>Paskirtis</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D7AEC"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 xml:space="preserve">Automatizuotas analizatorius,  skirtas  nustatyti  alergenams specifinius IgE prieš alergenų komponentus ir ekstraktus bei bendrą IgE (ne mažiau nei 281 analitė vienam pacientui). </w:t>
            </w:r>
          </w:p>
        </w:tc>
        <w:tc>
          <w:tcPr>
            <w:tcW w:w="10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15040" w14:textId="38DC6D2E"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Automatizuotas analizatorius, skirtas nustatyti alergenams specifinius IgE prieš alergenų komponentus ir ekstraktus bei bendrą IgE, 296 analites vienam pacientui (žr. MAX 45_9k naudojimo instrukcija LT_pažymėta 6 psl.; ALEX2 informacinis lapelis LT_pažymėtas 16 psl.)</w:t>
            </w:r>
          </w:p>
        </w:tc>
      </w:tr>
      <w:tr w:rsidR="0022511F" w:rsidRPr="0022511F" w14:paraId="0FB0A6E0" w14:textId="77777777" w:rsidTr="0022511F">
        <w:trPr>
          <w:trHeight w:val="1400"/>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451DAA02" w14:textId="4DECB6CB"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Komplektacija (priedai)</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1E0FF83A"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Kompiuteris, monitorius, pelė, spausdintuvas, nepertraukiamo maitinimo šaltinis (UPS) ir kitos (neišvardintos techninėje specifikacijoje) pagalbinės priemonės, būtinos analizatoriaus darbui (</w:t>
            </w:r>
            <w:r w:rsidRPr="0022511F">
              <w:rPr>
                <w:rFonts w:ascii="Times New Roman" w:eastAsia="Times New Roman" w:hAnsi="Times New Roman" w:cs="Times New Roman"/>
                <w:b/>
                <w:bCs/>
                <w:i/>
                <w:iCs/>
                <w:kern w:val="0"/>
                <w:sz w:val="20"/>
                <w:szCs w:val="20"/>
                <w:lang w:eastAsia="en-GB"/>
                <w14:ligatures w14:val="none"/>
              </w:rPr>
              <w:t>pateikiant pasiūlymą konkursui, būtina išvardinti visą panaudai siūlomos įrangos komplektaciją, įskaitant ir papildomus (nenurodytus techninėje specifikacijoje) priedus</w:t>
            </w:r>
            <w:r w:rsidRPr="0022511F">
              <w:rPr>
                <w:rFonts w:ascii="Times New Roman" w:eastAsia="Times New Roman" w:hAnsi="Times New Roman" w:cs="Times New Roman"/>
                <w:kern w:val="0"/>
                <w:sz w:val="20"/>
                <w:szCs w:val="20"/>
                <w:lang w:eastAsia="en-GB"/>
                <w14:ligatures w14:val="none"/>
              </w:rPr>
              <w:t>).</w:t>
            </w:r>
          </w:p>
        </w:tc>
        <w:tc>
          <w:tcPr>
            <w:tcW w:w="10453" w:type="dxa"/>
            <w:tcBorders>
              <w:top w:val="single" w:sz="4" w:space="0" w:color="auto"/>
              <w:left w:val="nil"/>
              <w:bottom w:val="single" w:sz="4" w:space="0" w:color="auto"/>
              <w:right w:val="single" w:sz="4" w:space="0" w:color="auto"/>
            </w:tcBorders>
            <w:shd w:val="clear" w:color="auto" w:fill="auto"/>
            <w:vAlign w:val="center"/>
            <w:hideMark/>
          </w:tcPr>
          <w:p w14:paraId="65B29951" w14:textId="3A616B1A"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Kartu su analizatoriumi pateikiama pilna komplektacija, būtina analizatoriaus darbui: kompiuteris, pelė, klaviatūra, nepertraukiamo maitinimo šaltinis</w:t>
            </w:r>
            <w:r w:rsidR="00E4440A">
              <w:rPr>
                <w:rFonts w:ascii="Times New Roman" w:eastAsia="Times New Roman" w:hAnsi="Times New Roman" w:cs="Times New Roman"/>
                <w:kern w:val="0"/>
                <w:sz w:val="20"/>
                <w:szCs w:val="20"/>
                <w:lang w:eastAsia="en-GB"/>
                <w14:ligatures w14:val="none"/>
              </w:rPr>
              <w:t>, spausdintuvas</w:t>
            </w:r>
            <w:r w:rsidRPr="0022511F">
              <w:rPr>
                <w:rFonts w:ascii="Times New Roman" w:eastAsia="Times New Roman" w:hAnsi="Times New Roman" w:cs="Times New Roman"/>
                <w:kern w:val="0"/>
                <w:sz w:val="20"/>
                <w:szCs w:val="20"/>
                <w:lang w:eastAsia="en-GB"/>
                <w14:ligatures w14:val="none"/>
              </w:rPr>
              <w:t>.</w:t>
            </w:r>
          </w:p>
        </w:tc>
      </w:tr>
      <w:tr w:rsidR="0022511F" w:rsidRPr="0022511F" w14:paraId="639C6EC3" w14:textId="77777777" w:rsidTr="0022511F">
        <w:trPr>
          <w:trHeight w:val="780"/>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06FE88D0"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Prietaiso valdymas</w:t>
            </w:r>
          </w:p>
        </w:tc>
        <w:tc>
          <w:tcPr>
            <w:tcW w:w="3544" w:type="dxa"/>
            <w:tcBorders>
              <w:top w:val="nil"/>
              <w:left w:val="nil"/>
              <w:bottom w:val="single" w:sz="4" w:space="0" w:color="auto"/>
              <w:right w:val="single" w:sz="4" w:space="0" w:color="auto"/>
            </w:tcBorders>
            <w:shd w:val="clear" w:color="auto" w:fill="auto"/>
            <w:vAlign w:val="center"/>
            <w:hideMark/>
          </w:tcPr>
          <w:p w14:paraId="6DD35832"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Speciali, IVD sertifikuota kompiuterinė programa.</w:t>
            </w:r>
          </w:p>
        </w:tc>
        <w:tc>
          <w:tcPr>
            <w:tcW w:w="10453" w:type="dxa"/>
            <w:tcBorders>
              <w:top w:val="nil"/>
              <w:left w:val="nil"/>
              <w:bottom w:val="single" w:sz="4" w:space="0" w:color="auto"/>
              <w:right w:val="single" w:sz="4" w:space="0" w:color="auto"/>
            </w:tcBorders>
            <w:shd w:val="clear" w:color="auto" w:fill="auto"/>
            <w:vAlign w:val="center"/>
            <w:hideMark/>
          </w:tcPr>
          <w:p w14:paraId="5FEB5EB0"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Prietaisas valdomas specialia, IVD sertifikuota kompiuterine programa "Raptor Server" (žr. Raptor server vartotojo instrukcija LT_pažymėta 3 psl.; Raptor Server CE EN_LT)</w:t>
            </w:r>
          </w:p>
        </w:tc>
      </w:tr>
      <w:tr w:rsidR="0022511F" w:rsidRPr="0022511F" w14:paraId="0F8FE9E5" w14:textId="77777777" w:rsidTr="0022511F">
        <w:trPr>
          <w:trHeight w:val="760"/>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03520D1B"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Jungtis su kompiuteriu</w:t>
            </w:r>
          </w:p>
        </w:tc>
        <w:tc>
          <w:tcPr>
            <w:tcW w:w="3544" w:type="dxa"/>
            <w:tcBorders>
              <w:top w:val="nil"/>
              <w:left w:val="nil"/>
              <w:bottom w:val="single" w:sz="4" w:space="0" w:color="auto"/>
              <w:right w:val="single" w:sz="4" w:space="0" w:color="auto"/>
            </w:tcBorders>
            <w:shd w:val="clear" w:color="auto" w:fill="auto"/>
            <w:vAlign w:val="center"/>
            <w:hideMark/>
          </w:tcPr>
          <w:p w14:paraId="7DCD6540"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USB, Ethernet arba lygiavertė.</w:t>
            </w:r>
          </w:p>
        </w:tc>
        <w:tc>
          <w:tcPr>
            <w:tcW w:w="10453" w:type="dxa"/>
            <w:tcBorders>
              <w:top w:val="nil"/>
              <w:left w:val="nil"/>
              <w:bottom w:val="single" w:sz="4" w:space="0" w:color="auto"/>
              <w:right w:val="single" w:sz="4" w:space="0" w:color="auto"/>
            </w:tcBorders>
            <w:shd w:val="clear" w:color="auto" w:fill="auto"/>
            <w:vAlign w:val="center"/>
            <w:hideMark/>
          </w:tcPr>
          <w:p w14:paraId="4BB23B0B"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Jungtis su kompiuteriu - Ethernet. (žr. MAX 45_9k naudojimo instrukcija LT_pažymėta, 24 psl.)</w:t>
            </w:r>
          </w:p>
        </w:tc>
      </w:tr>
      <w:tr w:rsidR="0022511F" w:rsidRPr="0022511F" w14:paraId="5E36DF0E" w14:textId="77777777" w:rsidTr="0022511F">
        <w:trPr>
          <w:trHeight w:val="555"/>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1F0CA1F4"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Brūkšninių kodų skaitytuvas</w:t>
            </w:r>
          </w:p>
        </w:tc>
        <w:tc>
          <w:tcPr>
            <w:tcW w:w="3544" w:type="dxa"/>
            <w:tcBorders>
              <w:top w:val="nil"/>
              <w:left w:val="nil"/>
              <w:bottom w:val="single" w:sz="4" w:space="0" w:color="auto"/>
              <w:right w:val="single" w:sz="4" w:space="0" w:color="auto"/>
            </w:tcBorders>
            <w:shd w:val="clear" w:color="auto" w:fill="auto"/>
            <w:vAlign w:val="center"/>
            <w:hideMark/>
          </w:tcPr>
          <w:p w14:paraId="42ADC41D"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Įrenginys turi integruotą brūkšninių kodų skaitytuvą.</w:t>
            </w:r>
          </w:p>
        </w:tc>
        <w:tc>
          <w:tcPr>
            <w:tcW w:w="10453" w:type="dxa"/>
            <w:tcBorders>
              <w:top w:val="nil"/>
              <w:left w:val="nil"/>
              <w:bottom w:val="single" w:sz="4" w:space="0" w:color="auto"/>
              <w:right w:val="single" w:sz="4" w:space="0" w:color="auto"/>
            </w:tcBorders>
            <w:shd w:val="clear" w:color="auto" w:fill="auto"/>
            <w:vAlign w:val="center"/>
            <w:hideMark/>
          </w:tcPr>
          <w:p w14:paraId="1F496866"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Įrenginys turi integruotą brūkšninių kodų skaitytuvą. (žr. MAX 45_9k naudojimo instrukcija LT_pažymėta, 49 psl.)</w:t>
            </w:r>
          </w:p>
        </w:tc>
      </w:tr>
      <w:tr w:rsidR="0022511F" w:rsidRPr="0022511F" w14:paraId="538A2A39" w14:textId="77777777" w:rsidTr="0022511F">
        <w:trPr>
          <w:trHeight w:val="1680"/>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7A17F94B"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Galimybė jungtis prie laboratorinės informacinės sistemos (LIS)</w:t>
            </w:r>
          </w:p>
        </w:tc>
        <w:tc>
          <w:tcPr>
            <w:tcW w:w="3544" w:type="dxa"/>
            <w:tcBorders>
              <w:top w:val="nil"/>
              <w:left w:val="nil"/>
              <w:bottom w:val="single" w:sz="4" w:space="0" w:color="auto"/>
              <w:right w:val="single" w:sz="4" w:space="0" w:color="auto"/>
            </w:tcBorders>
            <w:shd w:val="clear" w:color="auto" w:fill="auto"/>
            <w:vAlign w:val="center"/>
            <w:hideMark/>
          </w:tcPr>
          <w:p w14:paraId="04C3B0F4"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1. Sistema pritaikyta jungimui prie LIS.</w:t>
            </w:r>
            <w:r w:rsidRPr="0022511F">
              <w:rPr>
                <w:rFonts w:ascii="Times New Roman" w:eastAsia="Times New Roman" w:hAnsi="Times New Roman" w:cs="Times New Roman"/>
                <w:kern w:val="0"/>
                <w:sz w:val="20"/>
                <w:szCs w:val="20"/>
                <w:lang w:eastAsia="en-GB"/>
                <w14:ligatures w14:val="none"/>
              </w:rPr>
              <w:br/>
              <w:t>2.  Tiekėjas privalo pasirūpinti, kad įranga tiekėjo lėšomis būtų pajungta duomenų siuntimui į LIS/HIS duomenų bazę, ne vėliau kaip per 60 dienų nuo panaudos sutarties pasirašymo dienos (</w:t>
            </w:r>
            <w:r w:rsidRPr="0022511F">
              <w:rPr>
                <w:rFonts w:ascii="Times New Roman" w:eastAsia="Times New Roman" w:hAnsi="Times New Roman" w:cs="Times New Roman"/>
                <w:b/>
                <w:bCs/>
                <w:i/>
                <w:iCs/>
                <w:kern w:val="0"/>
                <w:sz w:val="20"/>
                <w:szCs w:val="20"/>
                <w:lang w:eastAsia="en-GB"/>
                <w14:ligatures w14:val="none"/>
              </w:rPr>
              <w:t>būtinas atitinkamas tiekėjo įsipareigojimas</w:t>
            </w:r>
            <w:r w:rsidRPr="0022511F">
              <w:rPr>
                <w:rFonts w:ascii="Times New Roman" w:eastAsia="Times New Roman" w:hAnsi="Times New Roman" w:cs="Times New Roman"/>
                <w:kern w:val="0"/>
                <w:sz w:val="20"/>
                <w:szCs w:val="20"/>
                <w:lang w:eastAsia="en-GB"/>
                <w14:ligatures w14:val="none"/>
              </w:rPr>
              <w:t>).</w:t>
            </w:r>
          </w:p>
        </w:tc>
        <w:tc>
          <w:tcPr>
            <w:tcW w:w="10453" w:type="dxa"/>
            <w:tcBorders>
              <w:top w:val="nil"/>
              <w:left w:val="nil"/>
              <w:bottom w:val="single" w:sz="4" w:space="0" w:color="auto"/>
              <w:right w:val="single" w:sz="4" w:space="0" w:color="auto"/>
            </w:tcBorders>
            <w:shd w:val="clear" w:color="auto" w:fill="auto"/>
            <w:vAlign w:val="center"/>
            <w:hideMark/>
          </w:tcPr>
          <w:p w14:paraId="62683A1C"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1. Sistema pritaikyta jungimui prie LIS per API (žr. Raptor API tutorial and explanations 8 psl.)</w:t>
            </w:r>
            <w:r w:rsidRPr="0022511F">
              <w:rPr>
                <w:rFonts w:ascii="Times New Roman" w:eastAsia="Times New Roman" w:hAnsi="Times New Roman" w:cs="Times New Roman"/>
                <w:kern w:val="0"/>
                <w:sz w:val="20"/>
                <w:szCs w:val="20"/>
                <w:lang w:eastAsia="en-GB"/>
                <w14:ligatures w14:val="none"/>
              </w:rPr>
              <w:br/>
              <w:t>2. Tiekėjas pasirūpins, kad  kad įranga tiekėjo lėšomis būtų pajungta duomenų siuntimui į LIS/HIS duomenų bazę, ne vėliau kaip per 60 dienų nuo panaudos sutarties pasirašymo dienos (žr. tiekėjo įsipareigojimas dėl pajungimo į LIS)</w:t>
            </w:r>
          </w:p>
        </w:tc>
      </w:tr>
      <w:tr w:rsidR="0022511F" w:rsidRPr="0022511F" w14:paraId="2873254C" w14:textId="77777777" w:rsidTr="0022511F">
        <w:trPr>
          <w:trHeight w:val="114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2B5AE"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lastRenderedPageBreak/>
              <w:t>Analizatoriaus našumas</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0C069"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Galimybė vienu metu ištirti ne mažiau nei 2810 analičių.</w:t>
            </w:r>
          </w:p>
        </w:tc>
        <w:tc>
          <w:tcPr>
            <w:tcW w:w="10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23AB5"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Analizatorius vienu metu ištiria 2960 analičių. (žr. MAX 45_9k naudojimo instrukcija LT_pažymėta 6 psl.; ALEX2 informacinis lapelis LT_pažymėtas 16 psl.)</w:t>
            </w:r>
          </w:p>
        </w:tc>
      </w:tr>
      <w:tr w:rsidR="0022511F" w:rsidRPr="0022511F" w14:paraId="506B7D5B" w14:textId="77777777" w:rsidTr="0022511F">
        <w:trPr>
          <w:trHeight w:val="154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A8B88"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Tyrimo rezultatų vertinimas</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6677BFB7"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Tyrimo rezultatų vertinimas yra automatinis ir pateikiamas standartiniais kUA/L ir kU/L vienetais. Atsakymas pateikiamas su pirmine interpretacija.</w:t>
            </w:r>
          </w:p>
        </w:tc>
        <w:tc>
          <w:tcPr>
            <w:tcW w:w="10453" w:type="dxa"/>
            <w:tcBorders>
              <w:top w:val="single" w:sz="4" w:space="0" w:color="auto"/>
              <w:left w:val="nil"/>
              <w:bottom w:val="single" w:sz="4" w:space="0" w:color="auto"/>
              <w:right w:val="single" w:sz="4" w:space="0" w:color="auto"/>
            </w:tcBorders>
            <w:shd w:val="clear" w:color="auto" w:fill="auto"/>
            <w:vAlign w:val="center"/>
            <w:hideMark/>
          </w:tcPr>
          <w:p w14:paraId="1B02AB1F"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Tyrimo rezultatų vertinimas yra automatinis ir pateikiamas standartiniais kUA/L ir kU/L vienetais. Atsakymas pateikiamas su pirmine interpretacija. (žr. ALEX2 informacinis lapelis LT_pažymėtas 2 psl; Raptor server vartotojo instrukcija LT_pažymėta 57 psl.)</w:t>
            </w:r>
          </w:p>
        </w:tc>
      </w:tr>
      <w:tr w:rsidR="0022511F" w:rsidRPr="0022511F" w14:paraId="047D33AD" w14:textId="77777777" w:rsidTr="0022511F">
        <w:trPr>
          <w:trHeight w:val="630"/>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46B4F5A2"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Žymėjimas CE ženklu</w:t>
            </w:r>
          </w:p>
        </w:tc>
        <w:tc>
          <w:tcPr>
            <w:tcW w:w="3544" w:type="dxa"/>
            <w:tcBorders>
              <w:top w:val="nil"/>
              <w:left w:val="nil"/>
              <w:bottom w:val="single" w:sz="4" w:space="0" w:color="auto"/>
              <w:right w:val="single" w:sz="4" w:space="0" w:color="auto"/>
            </w:tcBorders>
            <w:shd w:val="clear" w:color="auto" w:fill="auto"/>
            <w:vAlign w:val="center"/>
            <w:hideMark/>
          </w:tcPr>
          <w:p w14:paraId="27401F12"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Būtinas (</w:t>
            </w:r>
            <w:r w:rsidRPr="0022511F">
              <w:rPr>
                <w:rFonts w:ascii="Times New Roman" w:eastAsia="Times New Roman" w:hAnsi="Times New Roman" w:cs="Times New Roman"/>
                <w:b/>
                <w:bCs/>
                <w:i/>
                <w:iCs/>
                <w:kern w:val="0"/>
                <w:sz w:val="20"/>
                <w:szCs w:val="20"/>
                <w:lang w:eastAsia="en-GB"/>
                <w14:ligatures w14:val="none"/>
              </w:rPr>
              <w:t>kartu su pasiūlymu konkursui turi būti pateikta žymėjimą CE ženklu liudijančio galiojančio dokumento kopija</w:t>
            </w:r>
            <w:r w:rsidRPr="0022511F">
              <w:rPr>
                <w:rFonts w:ascii="Times New Roman" w:eastAsia="Times New Roman" w:hAnsi="Times New Roman" w:cs="Times New Roman"/>
                <w:kern w:val="0"/>
                <w:sz w:val="20"/>
                <w:szCs w:val="20"/>
                <w:lang w:eastAsia="en-GB"/>
                <w14:ligatures w14:val="none"/>
              </w:rPr>
              <w:t>).</w:t>
            </w:r>
          </w:p>
        </w:tc>
        <w:tc>
          <w:tcPr>
            <w:tcW w:w="10453" w:type="dxa"/>
            <w:tcBorders>
              <w:top w:val="nil"/>
              <w:left w:val="nil"/>
              <w:bottom w:val="single" w:sz="4" w:space="0" w:color="auto"/>
              <w:right w:val="single" w:sz="4" w:space="0" w:color="auto"/>
            </w:tcBorders>
            <w:shd w:val="clear" w:color="auto" w:fill="auto"/>
            <w:vAlign w:val="center"/>
            <w:hideMark/>
          </w:tcPr>
          <w:p w14:paraId="61F4B97F"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Analizatorius žymėtas CE ženklu (žr. MAX 9k analizatoriaus CE EN_LT)</w:t>
            </w:r>
          </w:p>
        </w:tc>
      </w:tr>
      <w:tr w:rsidR="0022511F" w:rsidRPr="0022511F" w14:paraId="5594DD20" w14:textId="77777777" w:rsidTr="0022511F">
        <w:trPr>
          <w:trHeight w:val="1340"/>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523434F6"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Kartu su įranga pateikiama dokumentacija</w:t>
            </w:r>
          </w:p>
        </w:tc>
        <w:tc>
          <w:tcPr>
            <w:tcW w:w="3544" w:type="dxa"/>
            <w:tcBorders>
              <w:top w:val="nil"/>
              <w:left w:val="nil"/>
              <w:bottom w:val="single" w:sz="4" w:space="0" w:color="auto"/>
              <w:right w:val="single" w:sz="4" w:space="0" w:color="auto"/>
            </w:tcBorders>
            <w:shd w:val="clear" w:color="auto" w:fill="auto"/>
            <w:vAlign w:val="center"/>
            <w:hideMark/>
          </w:tcPr>
          <w:p w14:paraId="37E0954A"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Išsami naudojimo instrukcija lietuvių ir anglų kalba (</w:t>
            </w:r>
            <w:r w:rsidRPr="0022511F">
              <w:rPr>
                <w:rFonts w:ascii="Times New Roman" w:eastAsia="Times New Roman" w:hAnsi="Times New Roman" w:cs="Times New Roman"/>
                <w:b/>
                <w:bCs/>
                <w:i/>
                <w:iCs/>
                <w:kern w:val="0"/>
                <w:sz w:val="20"/>
                <w:szCs w:val="20"/>
                <w:lang w:eastAsia="en-GB"/>
                <w14:ligatures w14:val="none"/>
              </w:rPr>
              <w:t>būtinas atitinkamas tiekėjo įsipareigojimas</w:t>
            </w:r>
            <w:r w:rsidRPr="0022511F">
              <w:rPr>
                <w:rFonts w:ascii="Times New Roman" w:eastAsia="Times New Roman" w:hAnsi="Times New Roman" w:cs="Times New Roman"/>
                <w:kern w:val="0"/>
                <w:sz w:val="20"/>
                <w:szCs w:val="20"/>
                <w:lang w:eastAsia="en-GB"/>
                <w14:ligatures w14:val="none"/>
              </w:rPr>
              <w:t>).</w:t>
            </w:r>
          </w:p>
        </w:tc>
        <w:tc>
          <w:tcPr>
            <w:tcW w:w="10453" w:type="dxa"/>
            <w:tcBorders>
              <w:top w:val="nil"/>
              <w:left w:val="nil"/>
              <w:bottom w:val="single" w:sz="4" w:space="0" w:color="auto"/>
              <w:right w:val="single" w:sz="4" w:space="0" w:color="auto"/>
            </w:tcBorders>
            <w:shd w:val="clear" w:color="auto" w:fill="auto"/>
            <w:vAlign w:val="center"/>
            <w:hideMark/>
          </w:tcPr>
          <w:p w14:paraId="3DCBFC25"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Kartu su įranga pateikiama išsami naudojimo instrukcija lietuvių ir anglų kalbomis (žr. MAX 45_9k naudojimo instrukcija LT_pažymėta;MAX 45_9k naudojimo instrukcija EN_pažymėta; Tiekėjo įsipareigojimas pateikti instrukcijas)</w:t>
            </w:r>
          </w:p>
        </w:tc>
      </w:tr>
      <w:tr w:rsidR="0022511F" w:rsidRPr="0022511F" w14:paraId="01FEF439" w14:textId="77777777" w:rsidTr="0022511F">
        <w:trPr>
          <w:trHeight w:val="840"/>
        </w:trPr>
        <w:tc>
          <w:tcPr>
            <w:tcW w:w="1843" w:type="dxa"/>
            <w:tcBorders>
              <w:top w:val="nil"/>
              <w:left w:val="single" w:sz="4" w:space="0" w:color="auto"/>
              <w:bottom w:val="single" w:sz="4" w:space="0" w:color="auto"/>
              <w:right w:val="single" w:sz="4" w:space="0" w:color="auto"/>
            </w:tcBorders>
            <w:shd w:val="clear" w:color="auto" w:fill="auto"/>
            <w:vAlign w:val="center"/>
            <w:hideMark/>
          </w:tcPr>
          <w:p w14:paraId="4AF3EB9E"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Įrangos instaliavimas, personalo apmokymas</w:t>
            </w:r>
          </w:p>
        </w:tc>
        <w:tc>
          <w:tcPr>
            <w:tcW w:w="3544" w:type="dxa"/>
            <w:tcBorders>
              <w:top w:val="nil"/>
              <w:left w:val="nil"/>
              <w:bottom w:val="single" w:sz="4" w:space="0" w:color="auto"/>
              <w:right w:val="single" w:sz="4" w:space="0" w:color="auto"/>
            </w:tcBorders>
            <w:shd w:val="clear" w:color="auto" w:fill="auto"/>
            <w:vAlign w:val="center"/>
            <w:hideMark/>
          </w:tcPr>
          <w:p w14:paraId="0AA2E1D2"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Tiekėjas turi nemokamai instaliuoti įrangą, pravesti detalų personalo mokymą darbui su siūlomu analizatoriumi (</w:t>
            </w:r>
            <w:r w:rsidRPr="0022511F">
              <w:rPr>
                <w:rFonts w:ascii="Times New Roman" w:eastAsia="Times New Roman" w:hAnsi="Times New Roman" w:cs="Times New Roman"/>
                <w:b/>
                <w:bCs/>
                <w:i/>
                <w:iCs/>
                <w:kern w:val="0"/>
                <w:sz w:val="20"/>
                <w:szCs w:val="20"/>
                <w:lang w:eastAsia="en-GB"/>
                <w14:ligatures w14:val="none"/>
              </w:rPr>
              <w:t>būtinas atitinkamas tiekėjo įsipareigojimas</w:t>
            </w:r>
            <w:r w:rsidRPr="0022511F">
              <w:rPr>
                <w:rFonts w:ascii="Times New Roman" w:eastAsia="Times New Roman" w:hAnsi="Times New Roman" w:cs="Times New Roman"/>
                <w:kern w:val="0"/>
                <w:sz w:val="20"/>
                <w:szCs w:val="20"/>
                <w:lang w:eastAsia="en-GB"/>
                <w14:ligatures w14:val="none"/>
              </w:rPr>
              <w:t>)</w:t>
            </w:r>
          </w:p>
        </w:tc>
        <w:tc>
          <w:tcPr>
            <w:tcW w:w="10453" w:type="dxa"/>
            <w:tcBorders>
              <w:top w:val="nil"/>
              <w:left w:val="nil"/>
              <w:bottom w:val="single" w:sz="4" w:space="0" w:color="auto"/>
              <w:right w:val="single" w:sz="4" w:space="0" w:color="auto"/>
            </w:tcBorders>
            <w:shd w:val="clear" w:color="auto" w:fill="auto"/>
            <w:vAlign w:val="center"/>
            <w:hideMark/>
          </w:tcPr>
          <w:p w14:paraId="25BDEB77"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Tiekėjas nemokamai instaliuos įrangą, praves detalų personalo mokymą darbui su siūlomu analizatoriumi (žr. Tiekėjo įsipareigojimas įrangos instaliavimui ir mokymams)</w:t>
            </w:r>
          </w:p>
        </w:tc>
      </w:tr>
      <w:tr w:rsidR="0022511F" w:rsidRPr="0022511F" w14:paraId="70284362" w14:textId="77777777" w:rsidTr="0022511F">
        <w:trPr>
          <w:trHeight w:val="4120"/>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CEBE6D4"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lastRenderedPageBreak/>
              <w:t>Įrangos techninis aptarnavimas</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1032EBA"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1. Tiekėjas turi užtikrinti įrangos techninį aptarnavimą darbo dienomis panaudos sutarties galiojimo laikotarpyje. Tiekėjui gavus pranešimą apie įrangos gedimą, į LSMUL Kauno klinikas turi atvykti reikiamą kvalifikaciją turintis darbuotojas ir per 72 valandas visiškai pašalinti gedimą, o nesant galimybės pašalinti gedimą, tiekėjas privalo per 72 val. sugedusią (netinkamai veikiančią) įrangą laikinai pakeisti lygiaverte arba sudaryti sąlygas kokybiškai ir savalaikiškai atlikti tyrimus.</w:t>
            </w:r>
            <w:r w:rsidRPr="0022511F">
              <w:rPr>
                <w:rFonts w:ascii="Times New Roman" w:eastAsia="Times New Roman" w:hAnsi="Times New Roman" w:cs="Times New Roman"/>
                <w:kern w:val="0"/>
                <w:sz w:val="20"/>
                <w:szCs w:val="20"/>
                <w:lang w:eastAsia="en-GB"/>
                <w14:ligatures w14:val="none"/>
              </w:rPr>
              <w:br/>
              <w:t>2. Įrangos techninis aptarnavimas ir remontas turi būti vykdomas nemokamai, įskaitant remontui atlikti reikalingas detales bei medžiagas, o taip pat ir gamintojo rekomenduojamu periodiškumu nemokamai atliekama techninė priežiūra, įskaitant techninei priežiūrai atlikti reikalingas detales ir medžiagas.</w:t>
            </w:r>
            <w:r w:rsidRPr="0022511F">
              <w:rPr>
                <w:rFonts w:ascii="Times New Roman" w:eastAsia="Times New Roman" w:hAnsi="Times New Roman" w:cs="Times New Roman"/>
                <w:kern w:val="0"/>
                <w:sz w:val="20"/>
                <w:szCs w:val="20"/>
                <w:lang w:eastAsia="en-GB"/>
                <w14:ligatures w14:val="none"/>
              </w:rPr>
              <w:br/>
              <w:t>(</w:t>
            </w:r>
            <w:r w:rsidRPr="0022511F">
              <w:rPr>
                <w:rFonts w:ascii="Times New Roman" w:eastAsia="Times New Roman" w:hAnsi="Times New Roman" w:cs="Times New Roman"/>
                <w:b/>
                <w:bCs/>
                <w:i/>
                <w:iCs/>
                <w:kern w:val="0"/>
                <w:sz w:val="20"/>
                <w:szCs w:val="20"/>
                <w:lang w:eastAsia="en-GB"/>
                <w14:ligatures w14:val="none"/>
              </w:rPr>
              <w:t>būtini atitinkami tiekėjo įsipareigojimai</w:t>
            </w:r>
            <w:r w:rsidRPr="0022511F">
              <w:rPr>
                <w:rFonts w:ascii="Times New Roman" w:eastAsia="Times New Roman" w:hAnsi="Times New Roman" w:cs="Times New Roman"/>
                <w:kern w:val="0"/>
                <w:sz w:val="20"/>
                <w:szCs w:val="20"/>
                <w:lang w:eastAsia="en-GB"/>
                <w14:ligatures w14:val="none"/>
              </w:rPr>
              <w:t>)</w:t>
            </w:r>
          </w:p>
        </w:tc>
        <w:tc>
          <w:tcPr>
            <w:tcW w:w="10453" w:type="dxa"/>
            <w:tcBorders>
              <w:top w:val="single" w:sz="4" w:space="0" w:color="auto"/>
              <w:left w:val="single" w:sz="4" w:space="0" w:color="auto"/>
              <w:bottom w:val="single" w:sz="4" w:space="0" w:color="auto"/>
              <w:right w:val="single" w:sz="4" w:space="0" w:color="auto"/>
            </w:tcBorders>
            <w:shd w:val="clear" w:color="auto" w:fill="auto"/>
            <w:hideMark/>
          </w:tcPr>
          <w:p w14:paraId="22249301" w14:textId="77777777" w:rsidR="0022511F" w:rsidRPr="0022511F" w:rsidRDefault="0022511F" w:rsidP="0022511F">
            <w:pPr>
              <w:spacing w:after="0" w:line="240" w:lineRule="auto"/>
              <w:rPr>
                <w:rFonts w:ascii="Times New Roman" w:eastAsia="Times New Roman" w:hAnsi="Times New Roman" w:cs="Times New Roman"/>
                <w:kern w:val="0"/>
                <w:sz w:val="20"/>
                <w:szCs w:val="20"/>
                <w:lang w:eastAsia="en-GB"/>
                <w14:ligatures w14:val="none"/>
              </w:rPr>
            </w:pPr>
            <w:r w:rsidRPr="0022511F">
              <w:rPr>
                <w:rFonts w:ascii="Times New Roman" w:eastAsia="Times New Roman" w:hAnsi="Times New Roman" w:cs="Times New Roman"/>
                <w:kern w:val="0"/>
                <w:sz w:val="20"/>
                <w:szCs w:val="20"/>
                <w:lang w:eastAsia="en-GB"/>
                <w14:ligatures w14:val="none"/>
              </w:rPr>
              <w:t>1. Tiekėjas užtikrins įrangos techninį aptarnavimą darbo dienomis panaudos sutarties galiojimo laikotarpyje. Tiekėjui gavus pranešimą apie įrangos gedimą, į LSMUL Kauno klinikas atvyks reikiamą kvalifikaciją turintis darbuotojas ir per 72 valandas visiškai pašalins gedimą, o nesant galimybės pašalinti gedimą, tiekėjas per 72 val. sugedusią (netinkamai veikiančią) įrangą laikinai pakeis lygiaverte arba sudarys sąlygas kokybiškai ir savalaikiškai atlikti tyrimus.</w:t>
            </w:r>
            <w:r w:rsidRPr="0022511F">
              <w:rPr>
                <w:rFonts w:ascii="Times New Roman" w:eastAsia="Times New Roman" w:hAnsi="Times New Roman" w:cs="Times New Roman"/>
                <w:kern w:val="0"/>
                <w:sz w:val="20"/>
                <w:szCs w:val="20"/>
                <w:lang w:eastAsia="en-GB"/>
                <w14:ligatures w14:val="none"/>
              </w:rPr>
              <w:br/>
              <w:t>2. Įrangos techninis aptarnavimas ir remontas bus vykdomas nemokamai, įskaitant remontui atlikti reikalingas detales bei medžiagas, o taip pat ir gamintojo rekomenduojamu periodiškumu nemokamai atlieks techninę priežiūra, įskaitant techninei priežiūrai atlikti reikalingas detales ir medžiagas.</w:t>
            </w:r>
            <w:r w:rsidRPr="0022511F">
              <w:rPr>
                <w:rFonts w:ascii="Times New Roman" w:eastAsia="Times New Roman" w:hAnsi="Times New Roman" w:cs="Times New Roman"/>
                <w:kern w:val="0"/>
                <w:sz w:val="20"/>
                <w:szCs w:val="20"/>
                <w:lang w:eastAsia="en-GB"/>
                <w14:ligatures w14:val="none"/>
              </w:rPr>
              <w:br/>
              <w:t>(žr. tiekėjo įsipareigojimas dėl techninio aptarnavimo)</w:t>
            </w:r>
          </w:p>
        </w:tc>
      </w:tr>
    </w:tbl>
    <w:p w14:paraId="7E5F946F" w14:textId="77777777" w:rsidR="0022511F" w:rsidRPr="00922876" w:rsidRDefault="0022511F" w:rsidP="00075142">
      <w:pPr>
        <w:spacing w:after="0" w:line="240" w:lineRule="auto"/>
        <w:rPr>
          <w:rFonts w:ascii="Times New Roman" w:eastAsia="Times New Roman" w:hAnsi="Times New Roman" w:cs="Times New Roman"/>
          <w:kern w:val="0"/>
          <w:sz w:val="24"/>
          <w:szCs w:val="24"/>
          <w:lang w:eastAsia="lt-LT"/>
          <w14:ligatures w14:val="none"/>
        </w:rPr>
      </w:pPr>
    </w:p>
    <w:p w14:paraId="527BA4E7" w14:textId="4F3B5787" w:rsidR="00A14C27" w:rsidRPr="00922876" w:rsidRDefault="00A14C27" w:rsidP="00DC6F4F">
      <w:pPr>
        <w:rPr>
          <w:sz w:val="24"/>
          <w:szCs w:val="24"/>
        </w:rPr>
      </w:pPr>
    </w:p>
    <w:sectPr w:rsidR="00A14C27" w:rsidRPr="00922876" w:rsidSect="00A14C2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3FADA" w14:textId="77777777" w:rsidR="009B325A" w:rsidRDefault="009B325A" w:rsidP="00614CBE">
      <w:pPr>
        <w:spacing w:after="0" w:line="240" w:lineRule="auto"/>
      </w:pPr>
      <w:r>
        <w:separator/>
      </w:r>
    </w:p>
  </w:endnote>
  <w:endnote w:type="continuationSeparator" w:id="0">
    <w:p w14:paraId="20FD5B48" w14:textId="77777777" w:rsidR="009B325A" w:rsidRDefault="009B325A" w:rsidP="00614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6DDDE" w14:textId="77777777" w:rsidR="009B325A" w:rsidRDefault="009B325A" w:rsidP="00614CBE">
      <w:pPr>
        <w:spacing w:after="0" w:line="240" w:lineRule="auto"/>
      </w:pPr>
      <w:r>
        <w:separator/>
      </w:r>
    </w:p>
  </w:footnote>
  <w:footnote w:type="continuationSeparator" w:id="0">
    <w:p w14:paraId="1767C123" w14:textId="77777777" w:rsidR="009B325A" w:rsidRDefault="009B325A" w:rsidP="00614C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C27"/>
    <w:rsid w:val="00075142"/>
    <w:rsid w:val="000E17BF"/>
    <w:rsid w:val="002158BC"/>
    <w:rsid w:val="0022511F"/>
    <w:rsid w:val="0023170E"/>
    <w:rsid w:val="004042A6"/>
    <w:rsid w:val="004234E9"/>
    <w:rsid w:val="00447B2E"/>
    <w:rsid w:val="00487354"/>
    <w:rsid w:val="00491851"/>
    <w:rsid w:val="00527FBB"/>
    <w:rsid w:val="00614CBE"/>
    <w:rsid w:val="007E18BD"/>
    <w:rsid w:val="00913B56"/>
    <w:rsid w:val="00922876"/>
    <w:rsid w:val="00977471"/>
    <w:rsid w:val="009B325A"/>
    <w:rsid w:val="009C5B06"/>
    <w:rsid w:val="00A14C27"/>
    <w:rsid w:val="00A45827"/>
    <w:rsid w:val="00CC5DFA"/>
    <w:rsid w:val="00CF69E0"/>
    <w:rsid w:val="00D05FEB"/>
    <w:rsid w:val="00D76588"/>
    <w:rsid w:val="00DC6F4F"/>
    <w:rsid w:val="00E444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A2426"/>
  <w15:chartTrackingRefBased/>
  <w15:docId w15:val="{12272D9E-0927-4775-9C32-9DAA9AA6F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14C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4C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4C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4C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4C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4C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C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C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C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C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4C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4C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4C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4C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4C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4C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4C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4C27"/>
    <w:rPr>
      <w:rFonts w:eastAsiaTheme="majorEastAsia" w:cstheme="majorBidi"/>
      <w:color w:val="272727" w:themeColor="text1" w:themeTint="D8"/>
    </w:rPr>
  </w:style>
  <w:style w:type="paragraph" w:styleId="Title">
    <w:name w:val="Title"/>
    <w:basedOn w:val="Normal"/>
    <w:next w:val="Normal"/>
    <w:link w:val="TitleChar"/>
    <w:uiPriority w:val="10"/>
    <w:qFormat/>
    <w:rsid w:val="00A14C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C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C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C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C27"/>
    <w:pPr>
      <w:spacing w:before="160"/>
      <w:jc w:val="center"/>
    </w:pPr>
    <w:rPr>
      <w:i/>
      <w:iCs/>
      <w:color w:val="404040" w:themeColor="text1" w:themeTint="BF"/>
    </w:rPr>
  </w:style>
  <w:style w:type="character" w:customStyle="1" w:styleId="QuoteChar">
    <w:name w:val="Quote Char"/>
    <w:basedOn w:val="DefaultParagraphFont"/>
    <w:link w:val="Quote"/>
    <w:uiPriority w:val="29"/>
    <w:rsid w:val="00A14C27"/>
    <w:rPr>
      <w:i/>
      <w:iCs/>
      <w:color w:val="404040" w:themeColor="text1" w:themeTint="BF"/>
    </w:rPr>
  </w:style>
  <w:style w:type="paragraph" w:styleId="ListParagraph">
    <w:name w:val="List Paragraph"/>
    <w:basedOn w:val="Normal"/>
    <w:uiPriority w:val="34"/>
    <w:qFormat/>
    <w:rsid w:val="00A14C27"/>
    <w:pPr>
      <w:ind w:left="720"/>
      <w:contextualSpacing/>
    </w:pPr>
  </w:style>
  <w:style w:type="character" w:styleId="IntenseEmphasis">
    <w:name w:val="Intense Emphasis"/>
    <w:basedOn w:val="DefaultParagraphFont"/>
    <w:uiPriority w:val="21"/>
    <w:qFormat/>
    <w:rsid w:val="00A14C27"/>
    <w:rPr>
      <w:i/>
      <w:iCs/>
      <w:color w:val="2F5496" w:themeColor="accent1" w:themeShade="BF"/>
    </w:rPr>
  </w:style>
  <w:style w:type="paragraph" w:styleId="IntenseQuote">
    <w:name w:val="Intense Quote"/>
    <w:basedOn w:val="Normal"/>
    <w:next w:val="Normal"/>
    <w:link w:val="IntenseQuoteChar"/>
    <w:uiPriority w:val="30"/>
    <w:qFormat/>
    <w:rsid w:val="00A14C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C27"/>
    <w:rPr>
      <w:i/>
      <w:iCs/>
      <w:color w:val="2F5496" w:themeColor="accent1" w:themeShade="BF"/>
    </w:rPr>
  </w:style>
  <w:style w:type="character" w:styleId="IntenseReference">
    <w:name w:val="Intense Reference"/>
    <w:basedOn w:val="DefaultParagraphFont"/>
    <w:uiPriority w:val="32"/>
    <w:qFormat/>
    <w:rsid w:val="00A14C27"/>
    <w:rPr>
      <w:b/>
      <w:bCs/>
      <w:smallCaps/>
      <w:color w:val="2F5496" w:themeColor="accent1" w:themeShade="BF"/>
      <w:spacing w:val="5"/>
    </w:rPr>
  </w:style>
  <w:style w:type="table" w:styleId="TableGrid">
    <w:name w:val="Table Grid"/>
    <w:basedOn w:val="TableNormal"/>
    <w:uiPriority w:val="39"/>
    <w:rsid w:val="00A14C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3781">
      <w:bodyDiv w:val="1"/>
      <w:marLeft w:val="0"/>
      <w:marRight w:val="0"/>
      <w:marTop w:val="0"/>
      <w:marBottom w:val="0"/>
      <w:divBdr>
        <w:top w:val="none" w:sz="0" w:space="0" w:color="auto"/>
        <w:left w:val="none" w:sz="0" w:space="0" w:color="auto"/>
        <w:bottom w:val="none" w:sz="0" w:space="0" w:color="auto"/>
        <w:right w:val="none" w:sz="0" w:space="0" w:color="auto"/>
      </w:divBdr>
    </w:div>
    <w:div w:id="400953337">
      <w:bodyDiv w:val="1"/>
      <w:marLeft w:val="0"/>
      <w:marRight w:val="0"/>
      <w:marTop w:val="0"/>
      <w:marBottom w:val="0"/>
      <w:divBdr>
        <w:top w:val="none" w:sz="0" w:space="0" w:color="auto"/>
        <w:left w:val="none" w:sz="0" w:space="0" w:color="auto"/>
        <w:bottom w:val="none" w:sz="0" w:space="0" w:color="auto"/>
        <w:right w:val="none" w:sz="0" w:space="0" w:color="auto"/>
      </w:divBdr>
    </w:div>
    <w:div w:id="563880022">
      <w:bodyDiv w:val="1"/>
      <w:marLeft w:val="0"/>
      <w:marRight w:val="0"/>
      <w:marTop w:val="0"/>
      <w:marBottom w:val="0"/>
      <w:divBdr>
        <w:top w:val="none" w:sz="0" w:space="0" w:color="auto"/>
        <w:left w:val="none" w:sz="0" w:space="0" w:color="auto"/>
        <w:bottom w:val="none" w:sz="0" w:space="0" w:color="auto"/>
        <w:right w:val="none" w:sz="0" w:space="0" w:color="auto"/>
      </w:divBdr>
    </w:div>
    <w:div w:id="711805360">
      <w:bodyDiv w:val="1"/>
      <w:marLeft w:val="0"/>
      <w:marRight w:val="0"/>
      <w:marTop w:val="0"/>
      <w:marBottom w:val="0"/>
      <w:divBdr>
        <w:top w:val="none" w:sz="0" w:space="0" w:color="auto"/>
        <w:left w:val="none" w:sz="0" w:space="0" w:color="auto"/>
        <w:bottom w:val="none" w:sz="0" w:space="0" w:color="auto"/>
        <w:right w:val="none" w:sz="0" w:space="0" w:color="auto"/>
      </w:divBdr>
    </w:div>
    <w:div w:id="794519520">
      <w:bodyDiv w:val="1"/>
      <w:marLeft w:val="0"/>
      <w:marRight w:val="0"/>
      <w:marTop w:val="0"/>
      <w:marBottom w:val="0"/>
      <w:divBdr>
        <w:top w:val="none" w:sz="0" w:space="0" w:color="auto"/>
        <w:left w:val="none" w:sz="0" w:space="0" w:color="auto"/>
        <w:bottom w:val="none" w:sz="0" w:space="0" w:color="auto"/>
        <w:right w:val="none" w:sz="0" w:space="0" w:color="auto"/>
      </w:divBdr>
    </w:div>
    <w:div w:id="1100562544">
      <w:bodyDiv w:val="1"/>
      <w:marLeft w:val="0"/>
      <w:marRight w:val="0"/>
      <w:marTop w:val="0"/>
      <w:marBottom w:val="0"/>
      <w:divBdr>
        <w:top w:val="none" w:sz="0" w:space="0" w:color="auto"/>
        <w:left w:val="none" w:sz="0" w:space="0" w:color="auto"/>
        <w:bottom w:val="none" w:sz="0" w:space="0" w:color="auto"/>
        <w:right w:val="none" w:sz="0" w:space="0" w:color="auto"/>
      </w:divBdr>
    </w:div>
    <w:div w:id="1950776733">
      <w:bodyDiv w:val="1"/>
      <w:marLeft w:val="0"/>
      <w:marRight w:val="0"/>
      <w:marTop w:val="0"/>
      <w:marBottom w:val="0"/>
      <w:divBdr>
        <w:top w:val="none" w:sz="0" w:space="0" w:color="auto"/>
        <w:left w:val="none" w:sz="0" w:space="0" w:color="auto"/>
        <w:bottom w:val="none" w:sz="0" w:space="0" w:color="auto"/>
        <w:right w:val="none" w:sz="0" w:space="0" w:color="auto"/>
      </w:divBdr>
    </w:div>
    <w:div w:id="211540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6441</Words>
  <Characters>3672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Fainoji</dc:creator>
  <cp:keywords/>
  <dc:description/>
  <cp:lastModifiedBy>Neringa Peleckienė</cp:lastModifiedBy>
  <cp:revision>2</cp:revision>
  <dcterms:created xsi:type="dcterms:W3CDTF">2025-08-06T05:28:00Z</dcterms:created>
  <dcterms:modified xsi:type="dcterms:W3CDTF">2025-08-06T05:28:00Z</dcterms:modified>
</cp:coreProperties>
</file>