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0BFD" w14:textId="5C05FF2B" w:rsidR="00BF5CA6" w:rsidRPr="00D6428A" w:rsidRDefault="00D6428A" w:rsidP="00BF5CA6">
      <w:pPr>
        <w:jc w:val="right"/>
        <w:rPr>
          <w:rFonts w:ascii="Times New Roman" w:hAnsi="Times New Roman" w:cs="Times New Roman"/>
          <w:sz w:val="24"/>
          <w:szCs w:val="24"/>
        </w:rPr>
      </w:pPr>
      <w:r w:rsidRPr="00D6428A">
        <w:rPr>
          <w:rFonts w:ascii="Times New Roman" w:hAnsi="Times New Roman" w:cs="Times New Roman"/>
          <w:sz w:val="24"/>
          <w:szCs w:val="24"/>
        </w:rPr>
        <w:t>1 PRIEDAS</w:t>
      </w:r>
    </w:p>
    <w:p w14:paraId="28061DEA" w14:textId="77777777" w:rsidR="002F5050" w:rsidRDefault="002F5050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B018" w14:textId="71955257" w:rsidR="00BF5CA6" w:rsidRDefault="00B65DF4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ODON</w:t>
      </w:r>
      <w:r w:rsidR="00255D35" w:rsidRPr="00255D35">
        <w:rPr>
          <w:rFonts w:ascii="Times New Roman" w:hAnsi="Times New Roman" w:cs="Times New Roman"/>
          <w:b/>
          <w:bCs/>
          <w:sz w:val="24"/>
          <w:szCs w:val="24"/>
        </w:rPr>
        <w:t xml:space="preserve">TOLOGINIŲ </w:t>
      </w:r>
      <w:r>
        <w:rPr>
          <w:rFonts w:ascii="Times New Roman" w:hAnsi="Times New Roman" w:cs="Times New Roman"/>
          <w:b/>
          <w:bCs/>
          <w:sz w:val="24"/>
          <w:szCs w:val="24"/>
        </w:rPr>
        <w:t>GRĄŽ</w:t>
      </w:r>
      <w:r w:rsidR="00255D35" w:rsidRPr="00255D35">
        <w:rPr>
          <w:rFonts w:ascii="Times New Roman" w:hAnsi="Times New Roman" w:cs="Times New Roman"/>
          <w:b/>
          <w:bCs/>
          <w:sz w:val="24"/>
          <w:szCs w:val="24"/>
        </w:rPr>
        <w:t xml:space="preserve">TŲ </w:t>
      </w:r>
      <w:r w:rsidR="00D6428A" w:rsidRPr="00D6428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788D110" w14:textId="77777777" w:rsidR="002F5050" w:rsidRDefault="002F5050" w:rsidP="002F505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984"/>
        <w:gridCol w:w="1134"/>
        <w:gridCol w:w="993"/>
        <w:gridCol w:w="1417"/>
        <w:gridCol w:w="1418"/>
      </w:tblGrid>
      <w:tr w:rsidR="00D6428A" w14:paraId="12F65EE0" w14:textId="1594D6BE" w:rsidTr="009151DB">
        <w:tc>
          <w:tcPr>
            <w:tcW w:w="704" w:type="dxa"/>
          </w:tcPr>
          <w:p w14:paraId="5CC436D9" w14:textId="37B48BE7" w:rsidR="00D6428A" w:rsidRPr="009151DB" w:rsidRDefault="009151DB" w:rsidP="009151DB">
            <w:pPr>
              <w:jc w:val="center"/>
              <w:rPr>
                <w:b/>
                <w:bCs/>
              </w:rPr>
            </w:pPr>
            <w:r w:rsidRPr="009151DB">
              <w:rPr>
                <w:b/>
                <w:bCs/>
              </w:rPr>
              <w:t>Pirkimo dalys</w:t>
            </w:r>
          </w:p>
        </w:tc>
        <w:tc>
          <w:tcPr>
            <w:tcW w:w="5103" w:type="dxa"/>
          </w:tcPr>
          <w:p w14:paraId="6E7906DC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 xml:space="preserve">Pirkimo objekto pavadinimas ir </w:t>
            </w:r>
          </w:p>
          <w:p w14:paraId="34091292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851" w:type="dxa"/>
          </w:tcPr>
          <w:p w14:paraId="5B1A2D33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992" w:type="dxa"/>
          </w:tcPr>
          <w:p w14:paraId="1644E648" w14:textId="51894EC1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51DB">
              <w:rPr>
                <w:b/>
                <w:bCs/>
                <w:sz w:val="22"/>
                <w:szCs w:val="22"/>
              </w:rPr>
              <w:t>Prelimi</w:t>
            </w:r>
            <w:proofErr w:type="spellEnd"/>
            <w:r w:rsidRPr="009151DB">
              <w:rPr>
                <w:b/>
                <w:bCs/>
                <w:sz w:val="22"/>
                <w:szCs w:val="22"/>
              </w:rPr>
              <w:t>-narus kiekis</w:t>
            </w:r>
          </w:p>
          <w:p w14:paraId="6C430915" w14:textId="2C84EA79" w:rsidR="00D6428A" w:rsidRPr="009151DB" w:rsidRDefault="007359F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24</w:t>
            </w:r>
            <w:r w:rsidR="00D6428A" w:rsidRPr="009151DB">
              <w:rPr>
                <w:b/>
                <w:bCs/>
                <w:sz w:val="22"/>
                <w:szCs w:val="22"/>
              </w:rPr>
              <w:t xml:space="preserve"> mėn. </w:t>
            </w:r>
          </w:p>
        </w:tc>
        <w:tc>
          <w:tcPr>
            <w:tcW w:w="1984" w:type="dxa"/>
          </w:tcPr>
          <w:p w14:paraId="62C05BEB" w14:textId="0648F84D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Siūlomos prekės komercinis pavadinimas ir gamintojas</w:t>
            </w:r>
          </w:p>
        </w:tc>
        <w:tc>
          <w:tcPr>
            <w:tcW w:w="1134" w:type="dxa"/>
          </w:tcPr>
          <w:p w14:paraId="089338CA" w14:textId="68DB8B98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(be PVM)</w:t>
            </w:r>
          </w:p>
        </w:tc>
        <w:tc>
          <w:tcPr>
            <w:tcW w:w="993" w:type="dxa"/>
          </w:tcPr>
          <w:p w14:paraId="331175C3" w14:textId="00A99855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(su PVM)</w:t>
            </w:r>
          </w:p>
        </w:tc>
        <w:tc>
          <w:tcPr>
            <w:tcW w:w="1417" w:type="dxa"/>
          </w:tcPr>
          <w:p w14:paraId="42577342" w14:textId="26228D0D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2</w:t>
            </w:r>
            <w:r w:rsidR="00F92A1C">
              <w:rPr>
                <w:b/>
                <w:bCs/>
                <w:sz w:val="22"/>
                <w:szCs w:val="22"/>
              </w:rPr>
              <w:t>4</w:t>
            </w:r>
            <w:r w:rsidRPr="009151DB">
              <w:rPr>
                <w:b/>
                <w:bCs/>
                <w:sz w:val="22"/>
                <w:szCs w:val="22"/>
              </w:rPr>
              <w:t xml:space="preserve"> mėn. kiekio kaina, Eur (be PVM)</w:t>
            </w:r>
          </w:p>
          <w:p w14:paraId="6A389F33" w14:textId="5577EE2D" w:rsidR="009151DB" w:rsidRPr="009151DB" w:rsidRDefault="009151DB" w:rsidP="00D6428A">
            <w:pPr>
              <w:jc w:val="center"/>
              <w:rPr>
                <w:i/>
                <w:iCs/>
                <w:sz w:val="22"/>
                <w:szCs w:val="22"/>
              </w:rPr>
            </w:pPr>
            <w:r w:rsidRPr="009151DB">
              <w:rPr>
                <w:i/>
                <w:iCs/>
                <w:sz w:val="22"/>
                <w:szCs w:val="22"/>
              </w:rPr>
              <w:t>(4x6)</w:t>
            </w:r>
          </w:p>
        </w:tc>
        <w:tc>
          <w:tcPr>
            <w:tcW w:w="1418" w:type="dxa"/>
          </w:tcPr>
          <w:p w14:paraId="19E31A1D" w14:textId="42F6B12E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2</w:t>
            </w:r>
            <w:r w:rsidR="00F92A1C">
              <w:rPr>
                <w:b/>
                <w:bCs/>
                <w:sz w:val="22"/>
                <w:szCs w:val="22"/>
              </w:rPr>
              <w:t>4</w:t>
            </w:r>
            <w:r w:rsidRPr="009151DB">
              <w:rPr>
                <w:b/>
                <w:bCs/>
                <w:sz w:val="22"/>
                <w:szCs w:val="22"/>
              </w:rPr>
              <w:t xml:space="preserve"> mėn. kiekio kaina, Eur (su PVM)</w:t>
            </w:r>
          </w:p>
          <w:p w14:paraId="09FF0062" w14:textId="1550EEB2" w:rsidR="009151DB" w:rsidRPr="009151DB" w:rsidRDefault="009151DB" w:rsidP="00D6428A">
            <w:pPr>
              <w:jc w:val="center"/>
              <w:rPr>
                <w:i/>
                <w:iCs/>
                <w:sz w:val="22"/>
                <w:szCs w:val="22"/>
              </w:rPr>
            </w:pPr>
            <w:r w:rsidRPr="009151DB">
              <w:rPr>
                <w:i/>
                <w:iCs/>
                <w:sz w:val="22"/>
                <w:szCs w:val="22"/>
              </w:rPr>
              <w:t>(4x7)</w:t>
            </w:r>
          </w:p>
        </w:tc>
      </w:tr>
      <w:tr w:rsidR="009151DB" w14:paraId="3F6A498D" w14:textId="77777777" w:rsidTr="009151DB">
        <w:tc>
          <w:tcPr>
            <w:tcW w:w="704" w:type="dxa"/>
          </w:tcPr>
          <w:p w14:paraId="1EA08C36" w14:textId="6B946FF3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102FBABA" w14:textId="3897B34A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21B3383" w14:textId="2EC5FB05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893D612" w14:textId="7C3BC02F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1A885432" w14:textId="1B48D552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B12CBF7" w14:textId="542C6336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1B27BFB7" w14:textId="45E6DFD7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5EF2820E" w14:textId="4526110C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874443B" w14:textId="6068E04F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54CCC" w14:paraId="6CFE7C5F" w14:textId="16BE5C69" w:rsidTr="009A6E60">
        <w:tc>
          <w:tcPr>
            <w:tcW w:w="704" w:type="dxa"/>
          </w:tcPr>
          <w:p w14:paraId="10A2616A" w14:textId="77777777" w:rsidR="00B54CCC" w:rsidRPr="009151DB" w:rsidRDefault="00B54CCC" w:rsidP="00D6428A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1.</w:t>
            </w:r>
          </w:p>
        </w:tc>
        <w:tc>
          <w:tcPr>
            <w:tcW w:w="13892" w:type="dxa"/>
            <w:gridSpan w:val="8"/>
          </w:tcPr>
          <w:p w14:paraId="1FEBF373" w14:textId="6F47F81A" w:rsidR="002F5050" w:rsidRPr="002F5050" w:rsidRDefault="007359FA" w:rsidP="00D64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Grąžtai deimantiniai turbininiai</w:t>
            </w:r>
            <w:r w:rsidR="00B54CCC" w:rsidRPr="009151DB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6428A" w14:paraId="1381837A" w14:textId="39E74B4F" w:rsidTr="009151DB">
        <w:tc>
          <w:tcPr>
            <w:tcW w:w="704" w:type="dxa"/>
          </w:tcPr>
          <w:p w14:paraId="79F62E69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1.1.</w:t>
            </w:r>
          </w:p>
        </w:tc>
        <w:tc>
          <w:tcPr>
            <w:tcW w:w="5103" w:type="dxa"/>
          </w:tcPr>
          <w:p w14:paraId="745F738B" w14:textId="719B2765" w:rsidR="00D6428A" w:rsidRPr="007359FA" w:rsidRDefault="007359FA" w:rsidP="004905A5">
            <w:pPr>
              <w:spacing w:after="20" w:line="259" w:lineRule="auto"/>
              <w:ind w:left="5"/>
              <w:rPr>
                <w:rFonts w:eastAsia="Calibri"/>
                <w:color w:val="000000"/>
              </w:rPr>
            </w:pPr>
            <w:r w:rsidRPr="007359FA">
              <w:rPr>
                <w:color w:val="000000"/>
                <w:sz w:val="24"/>
              </w:rPr>
              <w:t>Daug</w:t>
            </w:r>
            <w:r>
              <w:rPr>
                <w:color w:val="000000"/>
                <w:sz w:val="24"/>
              </w:rPr>
              <w:t>k</w:t>
            </w:r>
            <w:r w:rsidRPr="007359FA">
              <w:rPr>
                <w:color w:val="000000"/>
                <w:sz w:val="24"/>
              </w:rPr>
              <w:t>artini</w:t>
            </w:r>
            <w:r>
              <w:rPr>
                <w:color w:val="000000"/>
                <w:sz w:val="24"/>
              </w:rPr>
              <w:t>o naudojimo.</w:t>
            </w:r>
            <w:r w:rsidRPr="007359FA">
              <w:rPr>
                <w:color w:val="000000"/>
                <w:sz w:val="24"/>
              </w:rPr>
              <w:t xml:space="preserve"> Pagamint</w:t>
            </w:r>
            <w:r>
              <w:rPr>
                <w:color w:val="000000"/>
                <w:sz w:val="24"/>
              </w:rPr>
              <w:t xml:space="preserve">i </w:t>
            </w:r>
            <w:r w:rsidRPr="007359FA">
              <w:rPr>
                <w:color w:val="000000"/>
                <w:sz w:val="24"/>
              </w:rPr>
              <w:t xml:space="preserve">iš nerūdijančio plieno, atsparūs dezinfekcijai ir sterilizacijai, </w:t>
            </w:r>
            <w:proofErr w:type="spellStart"/>
            <w:r w:rsidRPr="007359FA">
              <w:rPr>
                <w:color w:val="000000"/>
                <w:sz w:val="24"/>
              </w:rPr>
              <w:t>autoklavuojami</w:t>
            </w:r>
            <w:proofErr w:type="spellEnd"/>
            <w:r w:rsidRPr="007359FA">
              <w:rPr>
                <w:color w:val="000000"/>
                <w:sz w:val="24"/>
              </w:rPr>
              <w:t xml:space="preserve">. Darbinė dalis įvairios formos, dydžio.  Grąžto šiurkštumas nurodomas spalviniais kodais, žymimais ant kotelio. </w:t>
            </w:r>
            <w:r w:rsidR="00C873CD" w:rsidRPr="00C873CD">
              <w:rPr>
                <w:color w:val="000000"/>
                <w:sz w:val="24"/>
              </w:rPr>
              <w:t>Atitinka ISO grąžtų žymėjimo standartą.</w:t>
            </w:r>
            <w:r w:rsidR="004905A5">
              <w:rPr>
                <w:color w:val="000000"/>
                <w:sz w:val="24"/>
              </w:rPr>
              <w:t xml:space="preserve"> </w:t>
            </w:r>
            <w:r w:rsidR="00C873CD">
              <w:rPr>
                <w:color w:val="000000"/>
                <w:sz w:val="24"/>
              </w:rPr>
              <w:t>Turi turėti CE žymėjimą.</w:t>
            </w:r>
          </w:p>
        </w:tc>
        <w:tc>
          <w:tcPr>
            <w:tcW w:w="851" w:type="dxa"/>
          </w:tcPr>
          <w:p w14:paraId="0CE09003" w14:textId="19266DC4" w:rsidR="00D6428A" w:rsidRPr="009151DB" w:rsidRDefault="007359FA" w:rsidP="00D642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vnt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1E0187F4" w14:textId="13FB4D20" w:rsidR="00D6428A" w:rsidRPr="009151DB" w:rsidRDefault="00BF2D07" w:rsidP="00D642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4114D5">
              <w:rPr>
                <w:sz w:val="22"/>
                <w:szCs w:val="22"/>
                <w:lang w:val="en-US"/>
              </w:rPr>
              <w:t>8</w:t>
            </w:r>
            <w:r w:rsidR="00E2657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984" w:type="dxa"/>
          </w:tcPr>
          <w:p w14:paraId="3BC94C58" w14:textId="651ABA9E" w:rsidR="00D6428A" w:rsidRPr="0071348A" w:rsidRDefault="0071348A" w:rsidP="00D6428A">
            <w:pPr>
              <w:rPr>
                <w:sz w:val="24"/>
                <w:szCs w:val="24"/>
                <w:lang w:val="it-IT"/>
              </w:rPr>
            </w:pPr>
            <w:r w:rsidRPr="0071348A">
              <w:rPr>
                <w:sz w:val="24"/>
                <w:szCs w:val="24"/>
                <w:lang w:val="it-IT"/>
              </w:rPr>
              <w:t>Deimantiniai grąžtai, gamintojas NTI, p</w:t>
            </w:r>
            <w:r>
              <w:rPr>
                <w:sz w:val="24"/>
                <w:szCs w:val="24"/>
                <w:lang w:val="it-IT"/>
              </w:rPr>
              <w:t xml:space="preserve">akuotėje po 5 vnt. </w:t>
            </w:r>
          </w:p>
        </w:tc>
        <w:tc>
          <w:tcPr>
            <w:tcW w:w="1134" w:type="dxa"/>
          </w:tcPr>
          <w:p w14:paraId="3482A85B" w14:textId="6A39F725" w:rsidR="00D6428A" w:rsidRDefault="0071348A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  <w:tc>
          <w:tcPr>
            <w:tcW w:w="993" w:type="dxa"/>
          </w:tcPr>
          <w:p w14:paraId="7EA47CE8" w14:textId="383749C5" w:rsidR="00D6428A" w:rsidRDefault="0071348A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1417" w:type="dxa"/>
          </w:tcPr>
          <w:p w14:paraId="09C0B4F2" w14:textId="62F6661E" w:rsidR="00D6428A" w:rsidRDefault="004A13FB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2970,00</w:t>
            </w:r>
          </w:p>
        </w:tc>
        <w:tc>
          <w:tcPr>
            <w:tcW w:w="1418" w:type="dxa"/>
          </w:tcPr>
          <w:p w14:paraId="7940E8F1" w14:textId="79BAEB75" w:rsidR="00D6428A" w:rsidRDefault="004A13FB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3600,00</w:t>
            </w:r>
          </w:p>
        </w:tc>
      </w:tr>
      <w:tr w:rsidR="00D6428A" w14:paraId="226938BC" w14:textId="4A355E2F" w:rsidTr="009151DB">
        <w:tc>
          <w:tcPr>
            <w:tcW w:w="704" w:type="dxa"/>
          </w:tcPr>
          <w:p w14:paraId="6A9D9FAE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1.2.</w:t>
            </w:r>
          </w:p>
        </w:tc>
        <w:tc>
          <w:tcPr>
            <w:tcW w:w="5103" w:type="dxa"/>
            <w:vAlign w:val="center"/>
          </w:tcPr>
          <w:p w14:paraId="3C03D78A" w14:textId="086546DA" w:rsidR="00D6428A" w:rsidRPr="009151DB" w:rsidRDefault="00E26570" w:rsidP="0033643E">
            <w:pPr>
              <w:spacing w:after="20" w:line="259" w:lineRule="auto"/>
              <w:ind w:left="5"/>
              <w:rPr>
                <w:sz w:val="22"/>
                <w:szCs w:val="22"/>
              </w:rPr>
            </w:pPr>
            <w:r>
              <w:rPr>
                <w:color w:val="000000"/>
                <w:sz w:val="24"/>
              </w:rPr>
              <w:t>Prailginti, d</w:t>
            </w:r>
            <w:r w:rsidRPr="007359FA">
              <w:rPr>
                <w:color w:val="000000"/>
                <w:sz w:val="24"/>
              </w:rPr>
              <w:t>aug</w:t>
            </w:r>
            <w:r>
              <w:rPr>
                <w:color w:val="000000"/>
                <w:sz w:val="24"/>
              </w:rPr>
              <w:t>k</w:t>
            </w:r>
            <w:r w:rsidRPr="007359FA">
              <w:rPr>
                <w:color w:val="000000"/>
                <w:sz w:val="24"/>
              </w:rPr>
              <w:t>artini</w:t>
            </w:r>
            <w:r>
              <w:rPr>
                <w:color w:val="000000"/>
                <w:sz w:val="24"/>
              </w:rPr>
              <w:t>o naudojimo.</w:t>
            </w:r>
            <w:r w:rsidRPr="007359FA">
              <w:rPr>
                <w:color w:val="000000"/>
                <w:sz w:val="24"/>
              </w:rPr>
              <w:t xml:space="preserve"> Pagamint</w:t>
            </w:r>
            <w:r>
              <w:rPr>
                <w:color w:val="000000"/>
                <w:sz w:val="24"/>
              </w:rPr>
              <w:t xml:space="preserve">i </w:t>
            </w:r>
            <w:r w:rsidRPr="007359FA">
              <w:rPr>
                <w:color w:val="000000"/>
                <w:sz w:val="24"/>
              </w:rPr>
              <w:t xml:space="preserve">iš nerūdijančio plieno, atsparūs dezinfekcijai ir sterilizacijai, </w:t>
            </w:r>
            <w:proofErr w:type="spellStart"/>
            <w:r w:rsidRPr="007359FA">
              <w:rPr>
                <w:color w:val="000000"/>
                <w:sz w:val="24"/>
              </w:rPr>
              <w:t>autoklavuojami</w:t>
            </w:r>
            <w:proofErr w:type="spellEnd"/>
            <w:r w:rsidRPr="007359FA">
              <w:rPr>
                <w:color w:val="000000"/>
                <w:sz w:val="24"/>
              </w:rPr>
              <w:t xml:space="preserve">. Darbinė dalis įvairios formos, dydžio.  Grąžto šiurkštumas nurodomas spalviniais kodais, žymimais ant kotelio. </w:t>
            </w:r>
            <w:r w:rsidR="00C873CD" w:rsidRPr="00C873CD">
              <w:rPr>
                <w:color w:val="000000"/>
                <w:sz w:val="24"/>
              </w:rPr>
              <w:t>Atitinka ISO grąžtų žymėjimo standartą.</w:t>
            </w:r>
            <w:r w:rsidR="004905A5">
              <w:rPr>
                <w:color w:val="000000"/>
                <w:sz w:val="24"/>
              </w:rPr>
              <w:t xml:space="preserve"> </w:t>
            </w:r>
            <w:r w:rsidR="00C873CD">
              <w:rPr>
                <w:color w:val="000000"/>
                <w:sz w:val="24"/>
              </w:rPr>
              <w:t>Turi turėti CE žymėjimą.</w:t>
            </w:r>
          </w:p>
        </w:tc>
        <w:tc>
          <w:tcPr>
            <w:tcW w:w="851" w:type="dxa"/>
          </w:tcPr>
          <w:p w14:paraId="7A70903D" w14:textId="5AF84CFA" w:rsidR="00D6428A" w:rsidRPr="009151DB" w:rsidRDefault="00E26570" w:rsidP="00D642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vnt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4B5A5C76" w14:textId="35FDDD24" w:rsidR="00D6428A" w:rsidRPr="009151DB" w:rsidRDefault="00BF2D07" w:rsidP="00D642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4114D5">
              <w:rPr>
                <w:sz w:val="22"/>
                <w:szCs w:val="22"/>
                <w:lang w:val="en-US"/>
              </w:rPr>
              <w:t>4</w:t>
            </w:r>
            <w:r w:rsidR="00E2657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984" w:type="dxa"/>
          </w:tcPr>
          <w:p w14:paraId="6499EEB6" w14:textId="0350798D" w:rsidR="00D6428A" w:rsidRDefault="00744617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Prailginti deimantiniai grąžtai, </w:t>
            </w:r>
            <w:proofErr w:type="spellStart"/>
            <w:r>
              <w:rPr>
                <w:sz w:val="28"/>
                <w:szCs w:val="28"/>
              </w:rPr>
              <w:t>gamkintojas</w:t>
            </w:r>
            <w:proofErr w:type="spellEnd"/>
            <w:r>
              <w:rPr>
                <w:sz w:val="28"/>
                <w:szCs w:val="28"/>
              </w:rPr>
              <w:t xml:space="preserve"> NTI, pakuotėje po 5 vnt. </w:t>
            </w:r>
          </w:p>
        </w:tc>
        <w:tc>
          <w:tcPr>
            <w:tcW w:w="1134" w:type="dxa"/>
          </w:tcPr>
          <w:p w14:paraId="00679FC7" w14:textId="35CC3800" w:rsidR="00D6428A" w:rsidRDefault="00744617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1,82</w:t>
            </w:r>
          </w:p>
        </w:tc>
        <w:tc>
          <w:tcPr>
            <w:tcW w:w="993" w:type="dxa"/>
          </w:tcPr>
          <w:p w14:paraId="75D59045" w14:textId="12B0B8BC" w:rsidR="00D6428A" w:rsidRDefault="00744617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2,20</w:t>
            </w:r>
          </w:p>
        </w:tc>
        <w:tc>
          <w:tcPr>
            <w:tcW w:w="1417" w:type="dxa"/>
          </w:tcPr>
          <w:p w14:paraId="7CC33A56" w14:textId="777FE140" w:rsidR="00D6428A" w:rsidRDefault="00744617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2548,00</w:t>
            </w:r>
          </w:p>
        </w:tc>
        <w:tc>
          <w:tcPr>
            <w:tcW w:w="1418" w:type="dxa"/>
          </w:tcPr>
          <w:p w14:paraId="7C6B1BFE" w14:textId="7B65F0CD" w:rsidR="00D6428A" w:rsidRDefault="00744617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3080,00</w:t>
            </w:r>
          </w:p>
        </w:tc>
      </w:tr>
      <w:tr w:rsidR="00D6428A" w14:paraId="271F9123" w14:textId="341DE732" w:rsidTr="009151DB">
        <w:tc>
          <w:tcPr>
            <w:tcW w:w="704" w:type="dxa"/>
          </w:tcPr>
          <w:p w14:paraId="39B25AEB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1.3.</w:t>
            </w:r>
          </w:p>
        </w:tc>
        <w:tc>
          <w:tcPr>
            <w:tcW w:w="5103" w:type="dxa"/>
            <w:vAlign w:val="center"/>
          </w:tcPr>
          <w:p w14:paraId="0A56AA56" w14:textId="30606C9C" w:rsidR="00D6428A" w:rsidRPr="00E65091" w:rsidRDefault="005E3307" w:rsidP="004905A5">
            <w:pPr>
              <w:spacing w:after="22"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E05B3E">
              <w:rPr>
                <w:color w:val="000000"/>
                <w:sz w:val="24"/>
              </w:rPr>
              <w:t>Daug</w:t>
            </w:r>
            <w:r>
              <w:rPr>
                <w:color w:val="000000"/>
                <w:sz w:val="24"/>
              </w:rPr>
              <w:t>k</w:t>
            </w:r>
            <w:r w:rsidRPr="00E05B3E">
              <w:rPr>
                <w:color w:val="000000"/>
                <w:sz w:val="24"/>
              </w:rPr>
              <w:t>artini</w:t>
            </w:r>
            <w:r>
              <w:rPr>
                <w:color w:val="000000"/>
                <w:sz w:val="24"/>
              </w:rPr>
              <w:t xml:space="preserve">o naudojimo. </w:t>
            </w:r>
            <w:r w:rsidRPr="00E05B3E">
              <w:rPr>
                <w:color w:val="000000"/>
                <w:sz w:val="24"/>
              </w:rPr>
              <w:t>Pagamint</w:t>
            </w:r>
            <w:r>
              <w:rPr>
                <w:color w:val="000000"/>
                <w:sz w:val="24"/>
              </w:rPr>
              <w:t>i</w:t>
            </w:r>
            <w:r w:rsidRPr="00E05B3E">
              <w:rPr>
                <w:color w:val="000000"/>
                <w:sz w:val="24"/>
              </w:rPr>
              <w:t xml:space="preserve"> iš nerūdijančio plieno, atsparūs dezinfekcijai ir sterilizacijai, </w:t>
            </w:r>
            <w:proofErr w:type="spellStart"/>
            <w:r w:rsidRPr="00E05B3E">
              <w:rPr>
                <w:color w:val="000000"/>
                <w:sz w:val="24"/>
              </w:rPr>
              <w:t>autoklavuojami</w:t>
            </w:r>
            <w:proofErr w:type="spellEnd"/>
            <w:r w:rsidRPr="00E05B3E">
              <w:rPr>
                <w:color w:val="000000"/>
                <w:sz w:val="24"/>
              </w:rPr>
              <w:t xml:space="preserve">. Darbinė dalis įvairios formos, dydžio.  Grąžto šiurkštumas nurodomas spalviniais kodais, žymimais ant kotelio: baltas – 10-20 µm, geltonas – 20-38 µm, raudonas – 38-64 µm, mėlynas – 64-126 µm, žalias – 107-151 µm, juodas – 152-181 µm. </w:t>
            </w:r>
            <w:r w:rsidR="00C873CD" w:rsidRPr="00C873CD">
              <w:rPr>
                <w:color w:val="000000"/>
                <w:sz w:val="24"/>
              </w:rPr>
              <w:t>Atitinka ISO grąžtų žymėjimo standartą.</w:t>
            </w:r>
            <w:r w:rsidR="004905A5">
              <w:rPr>
                <w:color w:val="000000"/>
                <w:sz w:val="24"/>
              </w:rPr>
              <w:t xml:space="preserve"> </w:t>
            </w:r>
            <w:r w:rsidR="00C873CD">
              <w:rPr>
                <w:color w:val="000000"/>
                <w:sz w:val="24"/>
              </w:rPr>
              <w:t>Turi turėti CE žymėjimą.</w:t>
            </w:r>
            <w:r w:rsidRPr="00E05B3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9D16B3A" w14:textId="4973FA1A" w:rsidR="00D6428A" w:rsidRPr="009151DB" w:rsidRDefault="005E3307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320B5C93" w14:textId="59D3704B" w:rsidR="00D6428A" w:rsidRPr="009151DB" w:rsidRDefault="004114D5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5E3307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984" w:type="dxa"/>
          </w:tcPr>
          <w:p w14:paraId="78EB3855" w14:textId="1B84C315" w:rsidR="00D6428A" w:rsidRPr="00320D13" w:rsidRDefault="00760FB6" w:rsidP="00D64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Deimantiniai grąžtai, gamintojas NTI, pakuotėje po 5 vnt.</w:t>
            </w:r>
          </w:p>
        </w:tc>
        <w:tc>
          <w:tcPr>
            <w:tcW w:w="1134" w:type="dxa"/>
          </w:tcPr>
          <w:p w14:paraId="72DD1946" w14:textId="717F74A0" w:rsidR="00D6428A" w:rsidRDefault="00760FB6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993" w:type="dxa"/>
          </w:tcPr>
          <w:p w14:paraId="08BEFC4C" w14:textId="6433EE4D" w:rsidR="00D6428A" w:rsidRDefault="00760FB6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2,25</w:t>
            </w:r>
          </w:p>
        </w:tc>
        <w:tc>
          <w:tcPr>
            <w:tcW w:w="1417" w:type="dxa"/>
          </w:tcPr>
          <w:p w14:paraId="29771AF9" w14:textId="32F049C0" w:rsidR="00D6428A" w:rsidRDefault="00760FB6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1302,00</w:t>
            </w:r>
          </w:p>
        </w:tc>
        <w:tc>
          <w:tcPr>
            <w:tcW w:w="1418" w:type="dxa"/>
          </w:tcPr>
          <w:p w14:paraId="7A3B2FD1" w14:textId="08AED2DC" w:rsidR="00D6428A" w:rsidRDefault="00760FB6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1575,00</w:t>
            </w:r>
          </w:p>
        </w:tc>
      </w:tr>
      <w:tr w:rsidR="0033643E" w14:paraId="32F79D52" w14:textId="77777777" w:rsidTr="00700ABC">
        <w:tc>
          <w:tcPr>
            <w:tcW w:w="11761" w:type="dxa"/>
            <w:gridSpan w:val="7"/>
          </w:tcPr>
          <w:p w14:paraId="60A1DD46" w14:textId="42B4DCEF" w:rsidR="0033643E" w:rsidRPr="0033643E" w:rsidRDefault="0033643E" w:rsidP="0033643E">
            <w:pPr>
              <w:jc w:val="right"/>
              <w:rPr>
                <w:b/>
                <w:bCs/>
                <w:sz w:val="24"/>
                <w:szCs w:val="24"/>
              </w:rPr>
            </w:pPr>
            <w:r w:rsidRPr="0033643E">
              <w:rPr>
                <w:b/>
                <w:bCs/>
                <w:sz w:val="24"/>
                <w:szCs w:val="24"/>
              </w:rPr>
              <w:t>Bendra 1 pirkimo dalies suma, Eur</w:t>
            </w:r>
          </w:p>
        </w:tc>
        <w:tc>
          <w:tcPr>
            <w:tcW w:w="1417" w:type="dxa"/>
          </w:tcPr>
          <w:p w14:paraId="3CB2ABBC" w14:textId="0BDE09D6" w:rsidR="0033643E" w:rsidRDefault="00760FB6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6820,00</w:t>
            </w:r>
          </w:p>
        </w:tc>
        <w:tc>
          <w:tcPr>
            <w:tcW w:w="1418" w:type="dxa"/>
          </w:tcPr>
          <w:p w14:paraId="2D7314F4" w14:textId="6B77D72C" w:rsidR="0033643E" w:rsidRDefault="00760FB6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8255,00</w:t>
            </w:r>
          </w:p>
        </w:tc>
      </w:tr>
      <w:tr w:rsidR="00B54CCC" w14:paraId="5AFA947C" w14:textId="478544F3" w:rsidTr="00D40501">
        <w:tc>
          <w:tcPr>
            <w:tcW w:w="704" w:type="dxa"/>
          </w:tcPr>
          <w:p w14:paraId="43FF143D" w14:textId="77777777" w:rsidR="00B54CCC" w:rsidRPr="009151DB" w:rsidRDefault="00B54CCC" w:rsidP="00D6428A">
            <w:pPr>
              <w:widowControl/>
              <w:jc w:val="left"/>
              <w:textAlignment w:val="center"/>
            </w:pPr>
            <w:r w:rsidRPr="009151DB">
              <w:rPr>
                <w:rFonts w:eastAsia="SimSun"/>
                <w:b/>
                <w:color w:val="000000"/>
                <w:lang w:val="en-US" w:eastAsia="zh-CN" w:bidi="ar"/>
              </w:rPr>
              <w:lastRenderedPageBreak/>
              <w:t>2.</w:t>
            </w:r>
          </w:p>
        </w:tc>
        <w:tc>
          <w:tcPr>
            <w:tcW w:w="13892" w:type="dxa"/>
            <w:gridSpan w:val="8"/>
          </w:tcPr>
          <w:p w14:paraId="5EB304DA" w14:textId="570F991F" w:rsidR="00B54CCC" w:rsidRDefault="00B54CCC" w:rsidP="00D6428A">
            <w:pPr>
              <w:rPr>
                <w:sz w:val="28"/>
                <w:szCs w:val="28"/>
              </w:rPr>
            </w:pPr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G</w:t>
            </w:r>
            <w:r w:rsidRPr="009151DB">
              <w:rPr>
                <w:b/>
                <w:sz w:val="22"/>
                <w:szCs w:val="22"/>
              </w:rPr>
              <w:t xml:space="preserve">rąžtai </w:t>
            </w:r>
            <w:proofErr w:type="spellStart"/>
            <w:r w:rsidR="005E3307">
              <w:rPr>
                <w:b/>
                <w:sz w:val="22"/>
                <w:szCs w:val="22"/>
              </w:rPr>
              <w:t>kietmetalio</w:t>
            </w:r>
            <w:proofErr w:type="spellEnd"/>
            <w:r w:rsidR="005E3307">
              <w:rPr>
                <w:b/>
                <w:sz w:val="22"/>
                <w:szCs w:val="22"/>
              </w:rPr>
              <w:t xml:space="preserve"> turbininiai</w:t>
            </w:r>
            <w:r w:rsidRPr="009151DB">
              <w:rPr>
                <w:b/>
                <w:sz w:val="22"/>
                <w:szCs w:val="22"/>
              </w:rPr>
              <w:t>:</w:t>
            </w:r>
          </w:p>
        </w:tc>
      </w:tr>
      <w:tr w:rsidR="00D6428A" w:rsidRPr="004F7C6F" w14:paraId="50B13B70" w14:textId="14CE1296" w:rsidTr="009151DB">
        <w:tc>
          <w:tcPr>
            <w:tcW w:w="704" w:type="dxa"/>
          </w:tcPr>
          <w:p w14:paraId="5A1F3056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2.1.</w:t>
            </w:r>
          </w:p>
        </w:tc>
        <w:tc>
          <w:tcPr>
            <w:tcW w:w="5103" w:type="dxa"/>
          </w:tcPr>
          <w:p w14:paraId="56B64DF1" w14:textId="305BC362" w:rsidR="005E3307" w:rsidRPr="004B4533" w:rsidRDefault="005E3307" w:rsidP="0033643E">
            <w:pPr>
              <w:spacing w:after="21"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4B4533">
              <w:rPr>
                <w:color w:val="000000"/>
                <w:sz w:val="24"/>
              </w:rPr>
              <w:t>Daug</w:t>
            </w:r>
            <w:r>
              <w:rPr>
                <w:color w:val="000000"/>
                <w:sz w:val="24"/>
              </w:rPr>
              <w:t>k</w:t>
            </w:r>
            <w:r w:rsidRPr="004B4533">
              <w:rPr>
                <w:color w:val="000000"/>
                <w:sz w:val="24"/>
              </w:rPr>
              <w:t>artini</w:t>
            </w:r>
            <w:r>
              <w:rPr>
                <w:color w:val="000000"/>
                <w:sz w:val="24"/>
              </w:rPr>
              <w:t>o naudojimo</w:t>
            </w:r>
            <w:r w:rsidRPr="004B4533">
              <w:rPr>
                <w:color w:val="000000"/>
                <w:sz w:val="24"/>
              </w:rPr>
              <w:t>. Pagamint</w:t>
            </w:r>
            <w:r>
              <w:rPr>
                <w:color w:val="000000"/>
                <w:sz w:val="24"/>
              </w:rPr>
              <w:t>i</w:t>
            </w:r>
            <w:r w:rsidRPr="004B4533">
              <w:rPr>
                <w:color w:val="000000"/>
                <w:sz w:val="24"/>
              </w:rPr>
              <w:t xml:space="preserve"> iš nerūdijančio plieno, atsparūs dezinfekcijai ir sterilizacijai, </w:t>
            </w:r>
            <w:proofErr w:type="spellStart"/>
            <w:r w:rsidRPr="004B4533">
              <w:rPr>
                <w:color w:val="000000"/>
                <w:sz w:val="24"/>
              </w:rPr>
              <w:t>autoklavuojami</w:t>
            </w:r>
            <w:proofErr w:type="spellEnd"/>
            <w:r w:rsidRPr="004B4533">
              <w:rPr>
                <w:color w:val="000000"/>
                <w:sz w:val="24"/>
              </w:rPr>
              <w:t xml:space="preserve">. </w:t>
            </w:r>
          </w:p>
          <w:p w14:paraId="2AD90CB7" w14:textId="77777777" w:rsidR="005E3307" w:rsidRPr="004B4533" w:rsidRDefault="005E3307" w:rsidP="005E3307">
            <w:pPr>
              <w:spacing w:after="26"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4B4533">
              <w:rPr>
                <w:color w:val="000000"/>
                <w:sz w:val="24"/>
              </w:rPr>
              <w:t xml:space="preserve">Darbinė dalis įvairios formos, dydžio, ilgumo.  </w:t>
            </w:r>
          </w:p>
          <w:p w14:paraId="798E4488" w14:textId="15B863E3" w:rsidR="00C873CD" w:rsidRPr="00E65091" w:rsidRDefault="00C873CD" w:rsidP="004905A5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C873CD">
              <w:rPr>
                <w:color w:val="000000"/>
                <w:sz w:val="24"/>
              </w:rPr>
              <w:t>Atitinka ISO grąžtų žymėjimo standartą.</w:t>
            </w:r>
            <w:r w:rsidR="004905A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Turi turėti CE žymėjimą.</w:t>
            </w:r>
          </w:p>
        </w:tc>
        <w:tc>
          <w:tcPr>
            <w:tcW w:w="851" w:type="dxa"/>
          </w:tcPr>
          <w:p w14:paraId="61E807D2" w14:textId="77777777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D80EB38" w14:textId="7883BA2B" w:rsidR="00D6428A" w:rsidRPr="009151DB" w:rsidRDefault="00BF2D07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5E3307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984" w:type="dxa"/>
          </w:tcPr>
          <w:p w14:paraId="75CC7458" w14:textId="1134D77C" w:rsidR="00D6428A" w:rsidRDefault="00B57EAB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Grąžtai </w:t>
            </w:r>
            <w:proofErr w:type="spellStart"/>
            <w:r>
              <w:rPr>
                <w:sz w:val="28"/>
                <w:szCs w:val="28"/>
              </w:rPr>
              <w:t>kietmetalio</w:t>
            </w:r>
            <w:proofErr w:type="spellEnd"/>
            <w:r>
              <w:rPr>
                <w:sz w:val="28"/>
                <w:szCs w:val="28"/>
              </w:rPr>
              <w:t xml:space="preserve">, gamintojas NTI, pakuotėje po 5 vnt. </w:t>
            </w:r>
          </w:p>
        </w:tc>
        <w:tc>
          <w:tcPr>
            <w:tcW w:w="1134" w:type="dxa"/>
          </w:tcPr>
          <w:p w14:paraId="3F984C3B" w14:textId="18D09C72" w:rsidR="00D6428A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2,07</w:t>
            </w:r>
          </w:p>
        </w:tc>
        <w:tc>
          <w:tcPr>
            <w:tcW w:w="993" w:type="dxa"/>
          </w:tcPr>
          <w:p w14:paraId="6005FCBB" w14:textId="1CD1DECE" w:rsidR="00D6428A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14:paraId="2A1C3DC0" w14:textId="28BCED8A" w:rsidR="00D6428A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414,00</w:t>
            </w:r>
          </w:p>
        </w:tc>
        <w:tc>
          <w:tcPr>
            <w:tcW w:w="1418" w:type="dxa"/>
          </w:tcPr>
          <w:p w14:paraId="40ABD3D7" w14:textId="2015599F" w:rsidR="00D6428A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500,00</w:t>
            </w:r>
          </w:p>
        </w:tc>
      </w:tr>
      <w:tr w:rsidR="00ED5211" w:rsidRPr="004F7C6F" w14:paraId="08EC3C4C" w14:textId="77777777" w:rsidTr="009151DB">
        <w:tc>
          <w:tcPr>
            <w:tcW w:w="704" w:type="dxa"/>
          </w:tcPr>
          <w:p w14:paraId="7C0F7B26" w14:textId="47CB6DB4" w:rsidR="00ED5211" w:rsidRPr="009151DB" w:rsidRDefault="00ED5211" w:rsidP="00D6428A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103" w:type="dxa"/>
          </w:tcPr>
          <w:p w14:paraId="78F45C5C" w14:textId="58FA734B" w:rsidR="00C873CD" w:rsidRPr="00ED5211" w:rsidRDefault="00ED5211" w:rsidP="004905A5">
            <w:pPr>
              <w:spacing w:after="46" w:line="238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sz w:val="24"/>
              </w:rPr>
              <w:t xml:space="preserve">Daugkartinio naudojimo, prailginti. </w:t>
            </w:r>
            <w:r w:rsidRPr="004B4533">
              <w:rPr>
                <w:color w:val="000000"/>
                <w:sz w:val="24"/>
              </w:rPr>
              <w:t>Pagamint</w:t>
            </w:r>
            <w:r>
              <w:rPr>
                <w:color w:val="000000"/>
                <w:sz w:val="24"/>
              </w:rPr>
              <w:t>i</w:t>
            </w:r>
            <w:r w:rsidRPr="004B4533">
              <w:rPr>
                <w:color w:val="000000"/>
                <w:sz w:val="24"/>
              </w:rPr>
              <w:t xml:space="preserve"> iš nerūdijančio plieno, atsparūs dezinfekcijai ir sterilizacijai, </w:t>
            </w:r>
            <w:proofErr w:type="spellStart"/>
            <w:r w:rsidRPr="004B4533">
              <w:rPr>
                <w:color w:val="000000"/>
                <w:sz w:val="24"/>
              </w:rPr>
              <w:t>autoklavuojami</w:t>
            </w:r>
            <w:proofErr w:type="spellEnd"/>
            <w:r w:rsidRPr="004B4533">
              <w:rPr>
                <w:color w:val="000000"/>
                <w:sz w:val="24"/>
              </w:rPr>
              <w:t>.</w:t>
            </w:r>
            <w:r w:rsidR="00E65091">
              <w:rPr>
                <w:color w:val="000000"/>
                <w:sz w:val="24"/>
              </w:rPr>
              <w:t xml:space="preserve"> </w:t>
            </w:r>
            <w:r w:rsidRPr="004B4533">
              <w:rPr>
                <w:color w:val="000000"/>
                <w:sz w:val="24"/>
              </w:rPr>
              <w:t>Darbinė dalis įvairios formos, dydžio, ilgumo</w:t>
            </w:r>
            <w:r w:rsidR="00C873CD" w:rsidRPr="00C873CD">
              <w:rPr>
                <w:color w:val="000000"/>
                <w:sz w:val="24"/>
              </w:rPr>
              <w:t xml:space="preserve"> Atitinka ISO grąžtų žymėjimo standartą.</w:t>
            </w:r>
            <w:r w:rsidR="004905A5">
              <w:rPr>
                <w:color w:val="000000"/>
                <w:sz w:val="24"/>
              </w:rPr>
              <w:t xml:space="preserve"> </w:t>
            </w:r>
            <w:r w:rsidR="00C873CD">
              <w:rPr>
                <w:color w:val="000000"/>
                <w:sz w:val="24"/>
              </w:rPr>
              <w:t>Turi turėti CE žymėjimą.</w:t>
            </w:r>
          </w:p>
        </w:tc>
        <w:tc>
          <w:tcPr>
            <w:tcW w:w="851" w:type="dxa"/>
          </w:tcPr>
          <w:p w14:paraId="5188237E" w14:textId="20067C69" w:rsidR="00ED5211" w:rsidRPr="00AE459F" w:rsidRDefault="00ED5211" w:rsidP="00D6428A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AE459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AE459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6EC66C2B" w14:textId="7640AFBF" w:rsidR="00ED5211" w:rsidRDefault="00BF2D07" w:rsidP="00D6428A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ED5211">
              <w:rPr>
                <w:lang w:val="en-US"/>
              </w:rPr>
              <w:t>0</w:t>
            </w:r>
          </w:p>
        </w:tc>
        <w:tc>
          <w:tcPr>
            <w:tcW w:w="1984" w:type="dxa"/>
          </w:tcPr>
          <w:p w14:paraId="4D308DD4" w14:textId="518B282D" w:rsidR="00ED5211" w:rsidRDefault="00B57EAB" w:rsidP="00D6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Grąžtai prailginti </w:t>
            </w:r>
            <w:proofErr w:type="spellStart"/>
            <w:r>
              <w:rPr>
                <w:sz w:val="28"/>
                <w:szCs w:val="28"/>
              </w:rPr>
              <w:t>kietmetalio</w:t>
            </w:r>
            <w:proofErr w:type="spellEnd"/>
            <w:r>
              <w:rPr>
                <w:sz w:val="28"/>
                <w:szCs w:val="28"/>
              </w:rPr>
              <w:t xml:space="preserve">, gamintojas NTI, pakuotėje po 5 vnt. </w:t>
            </w:r>
          </w:p>
        </w:tc>
        <w:tc>
          <w:tcPr>
            <w:tcW w:w="1134" w:type="dxa"/>
          </w:tcPr>
          <w:p w14:paraId="5ABDE08C" w14:textId="0432DBAE" w:rsidR="00ED5211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415C2F3B" w14:textId="3F764CCB" w:rsidR="00ED5211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,85</w:t>
            </w:r>
          </w:p>
        </w:tc>
        <w:tc>
          <w:tcPr>
            <w:tcW w:w="1417" w:type="dxa"/>
          </w:tcPr>
          <w:p w14:paraId="088CB225" w14:textId="53721B17" w:rsidR="00ED5211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472,00</w:t>
            </w:r>
          </w:p>
        </w:tc>
        <w:tc>
          <w:tcPr>
            <w:tcW w:w="1418" w:type="dxa"/>
          </w:tcPr>
          <w:p w14:paraId="189AE267" w14:textId="36DF8023" w:rsidR="00ED5211" w:rsidRPr="00B57EAB" w:rsidRDefault="00B57EAB" w:rsidP="00D6428A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570,00</w:t>
            </w:r>
          </w:p>
        </w:tc>
      </w:tr>
      <w:tr w:rsidR="0033643E" w:rsidRPr="004F7C6F" w14:paraId="6620F3EA" w14:textId="77777777" w:rsidTr="007042F6">
        <w:tc>
          <w:tcPr>
            <w:tcW w:w="11761" w:type="dxa"/>
            <w:gridSpan w:val="7"/>
          </w:tcPr>
          <w:p w14:paraId="6F330C17" w14:textId="266604D7" w:rsidR="0033643E" w:rsidRPr="004F7C6F" w:rsidRDefault="0033643E" w:rsidP="0033643E">
            <w:pPr>
              <w:jc w:val="right"/>
              <w:rPr>
                <w:sz w:val="28"/>
                <w:szCs w:val="28"/>
                <w:highlight w:val="red"/>
              </w:rPr>
            </w:pPr>
            <w:r w:rsidRPr="0033643E">
              <w:rPr>
                <w:b/>
                <w:bCs/>
                <w:sz w:val="24"/>
                <w:szCs w:val="24"/>
              </w:rPr>
              <w:t xml:space="preserve">Bendra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3643E">
              <w:rPr>
                <w:b/>
                <w:bCs/>
                <w:sz w:val="24"/>
                <w:szCs w:val="24"/>
              </w:rPr>
              <w:t xml:space="preserve"> pirkimo dalies suma, Eur</w:t>
            </w:r>
          </w:p>
        </w:tc>
        <w:tc>
          <w:tcPr>
            <w:tcW w:w="1417" w:type="dxa"/>
          </w:tcPr>
          <w:p w14:paraId="1463B755" w14:textId="646136E5" w:rsidR="0033643E" w:rsidRPr="00B57EAB" w:rsidRDefault="00B57EAB" w:rsidP="0033643E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886,00</w:t>
            </w:r>
          </w:p>
        </w:tc>
        <w:tc>
          <w:tcPr>
            <w:tcW w:w="1418" w:type="dxa"/>
          </w:tcPr>
          <w:p w14:paraId="507CFDC9" w14:textId="1603F61C" w:rsidR="0033643E" w:rsidRPr="00B57EAB" w:rsidRDefault="00B57EAB" w:rsidP="0033643E">
            <w:pPr>
              <w:rPr>
                <w:sz w:val="28"/>
                <w:szCs w:val="28"/>
              </w:rPr>
            </w:pPr>
            <w:r w:rsidRPr="00B57EAB">
              <w:rPr>
                <w:sz w:val="28"/>
                <w:szCs w:val="28"/>
              </w:rPr>
              <w:t>1070,00</w:t>
            </w:r>
          </w:p>
        </w:tc>
      </w:tr>
      <w:tr w:rsidR="0033643E" w14:paraId="3FC15A73" w14:textId="1AEAC6A9" w:rsidTr="00077C5C">
        <w:tc>
          <w:tcPr>
            <w:tcW w:w="704" w:type="dxa"/>
          </w:tcPr>
          <w:p w14:paraId="3A4226E2" w14:textId="77777777" w:rsidR="0033643E" w:rsidRPr="009151DB" w:rsidRDefault="0033643E" w:rsidP="0033643E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3.</w:t>
            </w:r>
          </w:p>
        </w:tc>
        <w:tc>
          <w:tcPr>
            <w:tcW w:w="13892" w:type="dxa"/>
            <w:gridSpan w:val="8"/>
          </w:tcPr>
          <w:p w14:paraId="3BD3F5EB" w14:textId="4A9EE337" w:rsidR="0033643E" w:rsidRDefault="0033643E" w:rsidP="0033643E">
            <w:r w:rsidRPr="00ED5211">
              <w:rPr>
                <w:b/>
                <w:bCs/>
                <w:sz w:val="24"/>
              </w:rPr>
              <w:t xml:space="preserve">Grąžtai </w:t>
            </w:r>
            <w:proofErr w:type="spellStart"/>
            <w:r w:rsidRPr="00ED5211">
              <w:rPr>
                <w:b/>
                <w:bCs/>
                <w:sz w:val="24"/>
              </w:rPr>
              <w:t>kietmetalio</w:t>
            </w:r>
            <w:proofErr w:type="spellEnd"/>
            <w:r w:rsidRPr="00ED5211">
              <w:rPr>
                <w:b/>
                <w:bCs/>
                <w:sz w:val="24"/>
              </w:rPr>
              <w:t xml:space="preserve"> chirurginiai</w:t>
            </w:r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 xml:space="preserve">:    </w:t>
            </w:r>
          </w:p>
        </w:tc>
      </w:tr>
      <w:tr w:rsidR="0033643E" w14:paraId="4C276AB1" w14:textId="4D8E1EDF" w:rsidTr="009151DB">
        <w:tc>
          <w:tcPr>
            <w:tcW w:w="704" w:type="dxa"/>
          </w:tcPr>
          <w:p w14:paraId="77B7C990" w14:textId="77777777" w:rsidR="0033643E" w:rsidRPr="009151DB" w:rsidRDefault="0033643E" w:rsidP="0033643E">
            <w:pPr>
              <w:rPr>
                <w:lang w:val="en-US"/>
              </w:rPr>
            </w:pPr>
            <w:r w:rsidRPr="009151DB">
              <w:rPr>
                <w:lang w:val="en-US"/>
              </w:rPr>
              <w:t>3.1.</w:t>
            </w:r>
          </w:p>
        </w:tc>
        <w:tc>
          <w:tcPr>
            <w:tcW w:w="5103" w:type="dxa"/>
          </w:tcPr>
          <w:p w14:paraId="60BC86B5" w14:textId="16CB8369" w:rsidR="0033643E" w:rsidRPr="00ED5211" w:rsidRDefault="0033643E" w:rsidP="0033643E">
            <w:pPr>
              <w:spacing w:after="47" w:line="237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  <w:sz w:val="24"/>
              </w:rPr>
              <w:t xml:space="preserve">Daugkartinio naudojimo. </w:t>
            </w:r>
            <w:r w:rsidRPr="005D6728">
              <w:rPr>
                <w:color w:val="000000"/>
                <w:sz w:val="24"/>
              </w:rPr>
              <w:t>Pagamint</w:t>
            </w:r>
            <w:r>
              <w:rPr>
                <w:color w:val="000000"/>
                <w:sz w:val="24"/>
              </w:rPr>
              <w:t>i</w:t>
            </w:r>
            <w:r w:rsidRPr="005D6728">
              <w:rPr>
                <w:color w:val="000000"/>
                <w:sz w:val="24"/>
              </w:rPr>
              <w:t xml:space="preserve"> iš nerūdijančio plieno, atsparūs dezinfekcijai ir sterilizacijai, </w:t>
            </w:r>
            <w:proofErr w:type="spellStart"/>
            <w:r w:rsidRPr="005D6728">
              <w:rPr>
                <w:color w:val="000000"/>
                <w:sz w:val="24"/>
              </w:rPr>
              <w:t>autoklavuojam</w:t>
            </w:r>
            <w:r>
              <w:rPr>
                <w:color w:val="000000"/>
                <w:sz w:val="24"/>
              </w:rPr>
              <w:t>i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r w:rsidRPr="005D6728">
              <w:rPr>
                <w:color w:val="000000"/>
                <w:sz w:val="24"/>
              </w:rPr>
              <w:t xml:space="preserve">Darbinė dalis įvairios formos, dydžio, ilgumo. </w:t>
            </w:r>
            <w:r w:rsidRPr="00C873CD">
              <w:rPr>
                <w:color w:val="000000"/>
                <w:sz w:val="24"/>
              </w:rPr>
              <w:t>Atitinka ISO grąžtų žymėjimo standartą.</w:t>
            </w:r>
            <w:r>
              <w:rPr>
                <w:color w:val="000000"/>
                <w:sz w:val="24"/>
              </w:rPr>
              <w:t xml:space="preserve"> Turi turėti CE žymėjimą.</w:t>
            </w:r>
          </w:p>
        </w:tc>
        <w:tc>
          <w:tcPr>
            <w:tcW w:w="851" w:type="dxa"/>
          </w:tcPr>
          <w:p w14:paraId="3B88AF16" w14:textId="626353CF" w:rsidR="0033643E" w:rsidRPr="009151DB" w:rsidRDefault="0033643E" w:rsidP="0033643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AE459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AE459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05B1B6F6" w14:textId="7E796C19" w:rsidR="0033643E" w:rsidRPr="009151DB" w:rsidRDefault="0033643E" w:rsidP="0033643E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984" w:type="dxa"/>
          </w:tcPr>
          <w:p w14:paraId="0DC4B84A" w14:textId="110BF267" w:rsidR="0033643E" w:rsidRDefault="00C07AD5" w:rsidP="003364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Kietmetalio</w:t>
            </w:r>
            <w:proofErr w:type="spellEnd"/>
            <w:r>
              <w:rPr>
                <w:sz w:val="22"/>
                <w:szCs w:val="22"/>
              </w:rPr>
              <w:t xml:space="preserve"> grąžtai chirurgijai, gamintojas NTI, pakuotėje po 1 vnt. </w:t>
            </w:r>
          </w:p>
        </w:tc>
        <w:tc>
          <w:tcPr>
            <w:tcW w:w="1134" w:type="dxa"/>
          </w:tcPr>
          <w:p w14:paraId="4EDE95D8" w14:textId="4F94D9B2" w:rsidR="0033643E" w:rsidRDefault="00C07AD5" w:rsidP="00336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16,52</w:t>
            </w:r>
          </w:p>
        </w:tc>
        <w:tc>
          <w:tcPr>
            <w:tcW w:w="993" w:type="dxa"/>
          </w:tcPr>
          <w:p w14:paraId="343FC351" w14:textId="6F7A180B" w:rsidR="0033643E" w:rsidRDefault="00C07AD5" w:rsidP="0033643E">
            <w:r>
              <w:t>20,00</w:t>
            </w:r>
          </w:p>
        </w:tc>
        <w:tc>
          <w:tcPr>
            <w:tcW w:w="1417" w:type="dxa"/>
          </w:tcPr>
          <w:p w14:paraId="46F95E75" w14:textId="6EE05751" w:rsidR="0033643E" w:rsidRDefault="00C07AD5" w:rsidP="0033643E">
            <w:r>
              <w:t>660,80</w:t>
            </w:r>
          </w:p>
        </w:tc>
        <w:tc>
          <w:tcPr>
            <w:tcW w:w="1418" w:type="dxa"/>
          </w:tcPr>
          <w:p w14:paraId="60433D6E" w14:textId="68E42C58" w:rsidR="0033643E" w:rsidRDefault="00C07AD5" w:rsidP="0033643E">
            <w:r>
              <w:t>800,00</w:t>
            </w:r>
          </w:p>
        </w:tc>
      </w:tr>
      <w:tr w:rsidR="0033643E" w14:paraId="69B0D5AC" w14:textId="77777777" w:rsidTr="00EB056F">
        <w:tc>
          <w:tcPr>
            <w:tcW w:w="11761" w:type="dxa"/>
            <w:gridSpan w:val="7"/>
          </w:tcPr>
          <w:p w14:paraId="001A573F" w14:textId="1A04760D" w:rsidR="0033643E" w:rsidRDefault="0033643E" w:rsidP="0033643E">
            <w:pPr>
              <w:jc w:val="right"/>
            </w:pPr>
            <w:r w:rsidRPr="0033643E">
              <w:rPr>
                <w:b/>
                <w:bCs/>
                <w:sz w:val="24"/>
                <w:szCs w:val="24"/>
              </w:rPr>
              <w:t xml:space="preserve">Bendra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3643E">
              <w:rPr>
                <w:b/>
                <w:bCs/>
                <w:sz w:val="24"/>
                <w:szCs w:val="24"/>
              </w:rPr>
              <w:t xml:space="preserve"> pirkimo dalies suma, Eur</w:t>
            </w:r>
          </w:p>
        </w:tc>
        <w:tc>
          <w:tcPr>
            <w:tcW w:w="1417" w:type="dxa"/>
          </w:tcPr>
          <w:p w14:paraId="0D91CC1B" w14:textId="43426EEE" w:rsidR="0033643E" w:rsidRDefault="00C07AD5" w:rsidP="0033643E">
            <w:r>
              <w:t>660,80</w:t>
            </w:r>
          </w:p>
        </w:tc>
        <w:tc>
          <w:tcPr>
            <w:tcW w:w="1418" w:type="dxa"/>
          </w:tcPr>
          <w:p w14:paraId="2D4FCE79" w14:textId="236C2BB4" w:rsidR="0033643E" w:rsidRDefault="00C07AD5" w:rsidP="0033643E">
            <w:r>
              <w:t>800,00</w:t>
            </w:r>
          </w:p>
        </w:tc>
      </w:tr>
      <w:tr w:rsidR="0033643E" w14:paraId="61481EDE" w14:textId="6C931424" w:rsidTr="00145EFD">
        <w:tc>
          <w:tcPr>
            <w:tcW w:w="704" w:type="dxa"/>
          </w:tcPr>
          <w:p w14:paraId="37CBD834" w14:textId="77777777" w:rsidR="0033643E" w:rsidRPr="009151DB" w:rsidRDefault="0033643E" w:rsidP="0033643E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4.</w:t>
            </w:r>
          </w:p>
        </w:tc>
        <w:tc>
          <w:tcPr>
            <w:tcW w:w="13892" w:type="dxa"/>
            <w:gridSpan w:val="8"/>
          </w:tcPr>
          <w:p w14:paraId="6178A42F" w14:textId="5ADC18E2" w:rsidR="0033643E" w:rsidRPr="00C873CD" w:rsidRDefault="0033643E" w:rsidP="0033643E">
            <w:pPr>
              <w:rPr>
                <w:sz w:val="24"/>
                <w:szCs w:val="24"/>
              </w:rPr>
            </w:pPr>
            <w:r w:rsidRPr="00C873CD">
              <w:rPr>
                <w:b/>
                <w:bCs/>
                <w:sz w:val="24"/>
                <w:szCs w:val="24"/>
              </w:rPr>
              <w:t>Grąžtai vainikėlių nupjovimui:</w:t>
            </w:r>
          </w:p>
        </w:tc>
      </w:tr>
      <w:tr w:rsidR="0033643E" w14:paraId="75E65ADB" w14:textId="7621E641" w:rsidTr="009151DB">
        <w:tc>
          <w:tcPr>
            <w:tcW w:w="704" w:type="dxa"/>
          </w:tcPr>
          <w:p w14:paraId="1E7BBCD3" w14:textId="170AFD0F" w:rsidR="0033643E" w:rsidRPr="009151DB" w:rsidRDefault="0033643E" w:rsidP="0033643E">
            <w:pPr>
              <w:rPr>
                <w:lang w:val="en-US"/>
              </w:rPr>
            </w:pPr>
            <w:r>
              <w:rPr>
                <w:lang w:val="en-US"/>
              </w:rPr>
              <w:t>4.1.</w:t>
            </w:r>
          </w:p>
        </w:tc>
        <w:tc>
          <w:tcPr>
            <w:tcW w:w="5103" w:type="dxa"/>
          </w:tcPr>
          <w:p w14:paraId="0C07A8FF" w14:textId="0E266270" w:rsidR="0033643E" w:rsidRPr="00C873CD" w:rsidRDefault="0033643E" w:rsidP="0033643E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 w:rsidRPr="00C873CD">
              <w:rPr>
                <w:sz w:val="24"/>
                <w:szCs w:val="24"/>
              </w:rPr>
              <w:t xml:space="preserve">Turbininiai, pagaminti iš </w:t>
            </w:r>
            <w:proofErr w:type="spellStart"/>
            <w:r w:rsidRPr="00C873CD">
              <w:rPr>
                <w:sz w:val="24"/>
                <w:szCs w:val="24"/>
              </w:rPr>
              <w:t>kietmetalio</w:t>
            </w:r>
            <w:proofErr w:type="spellEnd"/>
            <w:r w:rsidRPr="00C873CD">
              <w:rPr>
                <w:sz w:val="24"/>
                <w:szCs w:val="24"/>
              </w:rPr>
              <w:t xml:space="preserve">, daugkartinio naudojimo. Atsparūs dezinfekcijai ir sterilizacijai, </w:t>
            </w:r>
            <w:proofErr w:type="spellStart"/>
            <w:r w:rsidRPr="00C873CD">
              <w:rPr>
                <w:sz w:val="24"/>
                <w:szCs w:val="24"/>
              </w:rPr>
              <w:t>autoklavuojami</w:t>
            </w:r>
            <w:proofErr w:type="spellEnd"/>
            <w:r w:rsidRPr="00C873CD">
              <w:rPr>
                <w:sz w:val="24"/>
                <w:szCs w:val="24"/>
              </w:rPr>
              <w:t>. Darbinės dalies forma: “</w:t>
            </w:r>
            <w:proofErr w:type="spellStart"/>
            <w:r w:rsidRPr="00C873CD">
              <w:rPr>
                <w:sz w:val="24"/>
                <w:szCs w:val="24"/>
              </w:rPr>
              <w:t>fisūra</w:t>
            </w:r>
            <w:proofErr w:type="spellEnd"/>
            <w:r w:rsidRPr="00C873CD">
              <w:rPr>
                <w:sz w:val="24"/>
                <w:szCs w:val="24"/>
              </w:rPr>
              <w:t xml:space="preserve">“, įvairaus ilgio ir dydžio. </w:t>
            </w:r>
            <w:r w:rsidRPr="00C873CD">
              <w:rPr>
                <w:color w:val="000000"/>
                <w:sz w:val="24"/>
              </w:rPr>
              <w:t>Atitinka ISO grąžtų žymėjimo standartą.</w:t>
            </w:r>
            <w:r>
              <w:rPr>
                <w:color w:val="000000"/>
                <w:sz w:val="24"/>
              </w:rPr>
              <w:t xml:space="preserve"> </w:t>
            </w:r>
            <w:r w:rsidRPr="00C873CD">
              <w:rPr>
                <w:color w:val="000000"/>
                <w:sz w:val="24"/>
                <w:szCs w:val="24"/>
              </w:rPr>
              <w:t>Turi turėti CE žymėjimą.</w:t>
            </w:r>
          </w:p>
        </w:tc>
        <w:tc>
          <w:tcPr>
            <w:tcW w:w="851" w:type="dxa"/>
          </w:tcPr>
          <w:p w14:paraId="1CEAF6E9" w14:textId="6744DFEA" w:rsidR="0033643E" w:rsidRPr="00C873CD" w:rsidRDefault="0033643E" w:rsidP="0033643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proofErr w:type="spellStart"/>
            <w:r w:rsidRPr="00C873CD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vnt</w:t>
            </w:r>
            <w:proofErr w:type="spellEnd"/>
            <w:r w:rsidRPr="00C873CD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7D0F0BED" w14:textId="55584D3D" w:rsidR="0033643E" w:rsidRPr="00C873CD" w:rsidRDefault="0033643E" w:rsidP="0033643E">
            <w:pPr>
              <w:widowControl/>
              <w:jc w:val="center"/>
              <w:textAlignment w:val="center"/>
              <w:rPr>
                <w:sz w:val="24"/>
                <w:szCs w:val="24"/>
                <w:lang w:val="en-US"/>
              </w:rPr>
            </w:pPr>
            <w:r w:rsidRPr="00C873CD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984" w:type="dxa"/>
          </w:tcPr>
          <w:p w14:paraId="454987A5" w14:textId="4F170621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Grąžtai vainikėlių nupjovimui, gamintojas NTI, pakuotėje po 5 vnt. </w:t>
            </w:r>
          </w:p>
        </w:tc>
        <w:tc>
          <w:tcPr>
            <w:tcW w:w="1134" w:type="dxa"/>
          </w:tcPr>
          <w:p w14:paraId="30E5AB38" w14:textId="7B5F5FCD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3,72</w:t>
            </w:r>
          </w:p>
        </w:tc>
        <w:tc>
          <w:tcPr>
            <w:tcW w:w="993" w:type="dxa"/>
          </w:tcPr>
          <w:p w14:paraId="5F5DAFFE" w14:textId="2296F98E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1417" w:type="dxa"/>
          </w:tcPr>
          <w:p w14:paraId="213DE227" w14:textId="051BFE8D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1116,00</w:t>
            </w:r>
          </w:p>
        </w:tc>
        <w:tc>
          <w:tcPr>
            <w:tcW w:w="1418" w:type="dxa"/>
          </w:tcPr>
          <w:p w14:paraId="0D8B5556" w14:textId="33EB1659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1350,00</w:t>
            </w:r>
          </w:p>
        </w:tc>
      </w:tr>
      <w:tr w:rsidR="0033643E" w14:paraId="6C9B724B" w14:textId="77777777" w:rsidTr="009E5E0F">
        <w:tc>
          <w:tcPr>
            <w:tcW w:w="11761" w:type="dxa"/>
            <w:gridSpan w:val="7"/>
          </w:tcPr>
          <w:p w14:paraId="77FBC08D" w14:textId="6107EEE9" w:rsidR="0033643E" w:rsidRPr="00C873CD" w:rsidRDefault="0033643E" w:rsidP="0033643E">
            <w:pPr>
              <w:jc w:val="right"/>
              <w:rPr>
                <w:sz w:val="24"/>
                <w:szCs w:val="24"/>
              </w:rPr>
            </w:pPr>
            <w:r w:rsidRPr="0033643E">
              <w:rPr>
                <w:b/>
                <w:bCs/>
                <w:sz w:val="24"/>
                <w:szCs w:val="24"/>
              </w:rPr>
              <w:t xml:space="preserve">Bendra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43E">
              <w:rPr>
                <w:b/>
                <w:bCs/>
                <w:sz w:val="24"/>
                <w:szCs w:val="24"/>
              </w:rPr>
              <w:t xml:space="preserve"> pirkimo dalies suma, Eur</w:t>
            </w:r>
          </w:p>
        </w:tc>
        <w:tc>
          <w:tcPr>
            <w:tcW w:w="1417" w:type="dxa"/>
          </w:tcPr>
          <w:p w14:paraId="1016E014" w14:textId="2982811F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1116,00</w:t>
            </w:r>
          </w:p>
        </w:tc>
        <w:tc>
          <w:tcPr>
            <w:tcW w:w="1418" w:type="dxa"/>
          </w:tcPr>
          <w:p w14:paraId="589F26AC" w14:textId="57FD1BAA" w:rsidR="0033643E" w:rsidRPr="00C873CD" w:rsidRDefault="00D6781E" w:rsidP="0033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1350,00</w:t>
            </w:r>
          </w:p>
        </w:tc>
      </w:tr>
    </w:tbl>
    <w:tbl>
      <w:tblPr>
        <w:tblW w:w="14591" w:type="dxa"/>
        <w:tblLook w:val="04A0" w:firstRow="1" w:lastRow="0" w:firstColumn="1" w:lastColumn="0" w:noHBand="0" w:noVBand="1"/>
      </w:tblPr>
      <w:tblGrid>
        <w:gridCol w:w="699"/>
        <w:gridCol w:w="5103"/>
        <w:gridCol w:w="851"/>
        <w:gridCol w:w="992"/>
        <w:gridCol w:w="1984"/>
        <w:gridCol w:w="1134"/>
        <w:gridCol w:w="993"/>
        <w:gridCol w:w="1417"/>
        <w:gridCol w:w="1418"/>
      </w:tblGrid>
      <w:tr w:rsidR="004114D5" w14:paraId="07B4ADB6" w14:textId="77777777" w:rsidTr="004114D5">
        <w:trPr>
          <w:trHeight w:val="2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C9BCB" w14:textId="38E71CE3" w:rsidR="004114D5" w:rsidRDefault="004114D5">
            <w:pPr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38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9602" w14:textId="77777777" w:rsidR="004114D5" w:rsidRPr="004114D5" w:rsidRDefault="004114D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Grąžtai </w:t>
            </w:r>
            <w:proofErr w:type="spellStart"/>
            <w:r w:rsidRPr="0041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endodontijai</w:t>
            </w:r>
            <w:proofErr w:type="spellEnd"/>
          </w:p>
        </w:tc>
      </w:tr>
      <w:tr w:rsidR="004114D5" w14:paraId="7FAA585D" w14:textId="77777777" w:rsidTr="004114D5">
        <w:trPr>
          <w:trHeight w:val="10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78D092" w14:textId="211A452D" w:rsidR="004114D5" w:rsidRDefault="00411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E64661" w14:textId="77777777" w:rsidR="004114D5" w:rsidRPr="004114D5" w:rsidRDefault="004114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4D5">
              <w:rPr>
                <w:rFonts w:ascii="Times New Roman" w:hAnsi="Times New Roman" w:cs="Times New Roman"/>
                <w:sz w:val="24"/>
                <w:szCs w:val="24"/>
              </w:rPr>
              <w:t xml:space="preserve">Specialios paskirties, darbinė deimantinė dalis su užapvalintu „rutuliuko“ formos galu, pjovimo paviršiaus ilgis – 10 mm, visas ilgis – 21 mm, skersm.1,1 mm; 1,5mm; 1,8mm, greitaeigis, dydžiai </w:t>
            </w:r>
            <w:proofErr w:type="spellStart"/>
            <w:r w:rsidRPr="004114D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4114D5">
              <w:rPr>
                <w:rFonts w:ascii="Times New Roman" w:hAnsi="Times New Roman" w:cs="Times New Roman"/>
                <w:sz w:val="24"/>
                <w:szCs w:val="24"/>
              </w:rPr>
              <w:t xml:space="preserve"> 2,3 (</w:t>
            </w:r>
            <w:proofErr w:type="spellStart"/>
            <w:r w:rsidRPr="004114D5">
              <w:rPr>
                <w:rFonts w:ascii="Times New Roman" w:hAnsi="Times New Roman" w:cs="Times New Roman"/>
                <w:sz w:val="24"/>
                <w:szCs w:val="24"/>
              </w:rPr>
              <w:t>Endo</w:t>
            </w:r>
            <w:proofErr w:type="spellEnd"/>
            <w:r w:rsidRPr="0041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4D5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4114D5">
              <w:rPr>
                <w:rFonts w:ascii="Times New Roman" w:hAnsi="Times New Roman" w:cs="Times New Roman"/>
                <w:sz w:val="24"/>
                <w:szCs w:val="24"/>
              </w:rPr>
              <w:t xml:space="preserve"> arba lygiaverčiai), pakuotėje - po 1 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6F32C" w14:textId="77777777" w:rsidR="004114D5" w:rsidRDefault="00411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4BA33F" w14:textId="77777777" w:rsidR="004114D5" w:rsidRDefault="00411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26D92" w14:textId="7F895B02" w:rsidR="004114D5" w:rsidRDefault="00697AC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Acces</w:t>
            </w:r>
            <w:proofErr w:type="spellEnd"/>
            <w:r>
              <w:rPr>
                <w:color w:val="000000"/>
              </w:rPr>
              <w:t xml:space="preserve">, gamintojas </w:t>
            </w:r>
            <w:proofErr w:type="spellStart"/>
            <w:r>
              <w:rPr>
                <w:color w:val="000000"/>
              </w:rPr>
              <w:t>Densplay</w:t>
            </w:r>
            <w:proofErr w:type="spellEnd"/>
            <w:r>
              <w:rPr>
                <w:color w:val="000000"/>
              </w:rPr>
              <w:t xml:space="preserve">, pakuotėje po 1 vnt.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25108" w14:textId="09101A94" w:rsidR="004114D5" w:rsidRDefault="00697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081B7554" w14:textId="1CDF80A0" w:rsidR="004114D5" w:rsidRPr="00E9431B" w:rsidRDefault="00697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</w:tcPr>
          <w:p w14:paraId="2070CDB1" w14:textId="4895441A" w:rsidR="004114D5" w:rsidRPr="00E9431B" w:rsidRDefault="00697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</w:tcPr>
          <w:p w14:paraId="228FBF4B" w14:textId="01A7A309" w:rsidR="004114D5" w:rsidRPr="00E9431B" w:rsidRDefault="00697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269,10</w:t>
            </w:r>
          </w:p>
        </w:tc>
      </w:tr>
      <w:tr w:rsidR="004114D5" w14:paraId="28A6409D" w14:textId="77777777" w:rsidTr="004114D5">
        <w:trPr>
          <w:trHeight w:val="300"/>
        </w:trPr>
        <w:tc>
          <w:tcPr>
            <w:tcW w:w="11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50CE9DC" w14:textId="587653AA" w:rsidR="004114D5" w:rsidRPr="00E9431B" w:rsidRDefault="004114D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31B">
              <w:rPr>
                <w:rFonts w:ascii="Times New Roman" w:hAnsi="Times New Roman" w:cs="Times New Roman"/>
                <w:b/>
                <w:bCs/>
                <w:color w:val="000000"/>
              </w:rPr>
              <w:t>Bendra 5 pirkimo dalies suma,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</w:tcPr>
          <w:p w14:paraId="1B74835A" w14:textId="51227CE9" w:rsidR="004114D5" w:rsidRPr="00E9431B" w:rsidRDefault="00697A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</w:tcPr>
          <w:p w14:paraId="5FDFD2C9" w14:textId="223AF052" w:rsidR="004114D5" w:rsidRPr="00E9431B" w:rsidRDefault="00697A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269,10</w:t>
            </w:r>
          </w:p>
        </w:tc>
      </w:tr>
    </w:tbl>
    <w:p w14:paraId="0CF209DD" w14:textId="719E10F2" w:rsidR="0078365B" w:rsidRDefault="0078365B"/>
    <w:p w14:paraId="57FD0714" w14:textId="046283E3" w:rsidR="009151DB" w:rsidRDefault="009151DB" w:rsidP="009151DB">
      <w:pPr>
        <w:jc w:val="center"/>
      </w:pPr>
      <w:r>
        <w:t>_________________________</w:t>
      </w:r>
    </w:p>
    <w:sectPr w:rsidR="009151DB" w:rsidSect="0033643E">
      <w:headerReference w:type="default" r:id="rId6"/>
      <w:pgSz w:w="16838" w:h="11906" w:orient="landscape"/>
      <w:pgMar w:top="709" w:right="962" w:bottom="993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EFDE" w14:textId="77777777" w:rsidR="00FE7D85" w:rsidRDefault="00FE7D85" w:rsidP="00D6428A">
      <w:pPr>
        <w:spacing w:after="0" w:line="240" w:lineRule="auto"/>
      </w:pPr>
      <w:r>
        <w:separator/>
      </w:r>
    </w:p>
  </w:endnote>
  <w:endnote w:type="continuationSeparator" w:id="0">
    <w:p w14:paraId="6CF96EEB" w14:textId="77777777" w:rsidR="00FE7D85" w:rsidRDefault="00FE7D85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E70A" w14:textId="77777777" w:rsidR="00FE7D85" w:rsidRDefault="00FE7D85" w:rsidP="00D6428A">
      <w:pPr>
        <w:spacing w:after="0" w:line="240" w:lineRule="auto"/>
      </w:pPr>
      <w:r>
        <w:separator/>
      </w:r>
    </w:p>
  </w:footnote>
  <w:footnote w:type="continuationSeparator" w:id="0">
    <w:p w14:paraId="19C919AA" w14:textId="77777777" w:rsidR="00FE7D85" w:rsidRDefault="00FE7D85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76264"/>
      <w:docPartObj>
        <w:docPartGallery w:val="Page Numbers (Top of Page)"/>
        <w:docPartUnique/>
      </w:docPartObj>
    </w:sdtPr>
    <w:sdtEndPr/>
    <w:sdtContent>
      <w:p w14:paraId="7B573E9E" w14:textId="6903485E" w:rsidR="00D6428A" w:rsidRDefault="00D642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A077" w14:textId="77777777" w:rsidR="00D6428A" w:rsidRDefault="00D6428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6"/>
    <w:rsid w:val="00032D62"/>
    <w:rsid w:val="00042CA2"/>
    <w:rsid w:val="00054264"/>
    <w:rsid w:val="000577EA"/>
    <w:rsid w:val="000E672A"/>
    <w:rsid w:val="000E7269"/>
    <w:rsid w:val="001040AB"/>
    <w:rsid w:val="0019417A"/>
    <w:rsid w:val="001D58EE"/>
    <w:rsid w:val="001E11DF"/>
    <w:rsid w:val="00216A47"/>
    <w:rsid w:val="0022204F"/>
    <w:rsid w:val="00233CD5"/>
    <w:rsid w:val="00255D35"/>
    <w:rsid w:val="0028316B"/>
    <w:rsid w:val="002C4507"/>
    <w:rsid w:val="002F5050"/>
    <w:rsid w:val="0031441D"/>
    <w:rsid w:val="00327EB4"/>
    <w:rsid w:val="00333553"/>
    <w:rsid w:val="0033643E"/>
    <w:rsid w:val="00391D15"/>
    <w:rsid w:val="003D00B3"/>
    <w:rsid w:val="004114D5"/>
    <w:rsid w:val="00424BF9"/>
    <w:rsid w:val="004449DF"/>
    <w:rsid w:val="004618CD"/>
    <w:rsid w:val="004852FC"/>
    <w:rsid w:val="004905A5"/>
    <w:rsid w:val="004A13FB"/>
    <w:rsid w:val="004B20BA"/>
    <w:rsid w:val="004B5795"/>
    <w:rsid w:val="004E70D3"/>
    <w:rsid w:val="004F6C24"/>
    <w:rsid w:val="005A07AA"/>
    <w:rsid w:val="005A73F4"/>
    <w:rsid w:val="005A7A05"/>
    <w:rsid w:val="005E3307"/>
    <w:rsid w:val="0065288A"/>
    <w:rsid w:val="00667E61"/>
    <w:rsid w:val="00697AC6"/>
    <w:rsid w:val="006B6954"/>
    <w:rsid w:val="0071348A"/>
    <w:rsid w:val="007359FA"/>
    <w:rsid w:val="00744617"/>
    <w:rsid w:val="007451F7"/>
    <w:rsid w:val="00753AFB"/>
    <w:rsid w:val="00757986"/>
    <w:rsid w:val="00760FB6"/>
    <w:rsid w:val="0078365B"/>
    <w:rsid w:val="00795B9B"/>
    <w:rsid w:val="00795BDA"/>
    <w:rsid w:val="00827864"/>
    <w:rsid w:val="00844B96"/>
    <w:rsid w:val="00860784"/>
    <w:rsid w:val="00862125"/>
    <w:rsid w:val="00877F66"/>
    <w:rsid w:val="00893101"/>
    <w:rsid w:val="008E21D1"/>
    <w:rsid w:val="008F259E"/>
    <w:rsid w:val="009151DB"/>
    <w:rsid w:val="00987892"/>
    <w:rsid w:val="009A2484"/>
    <w:rsid w:val="009F1868"/>
    <w:rsid w:val="00AA7FC6"/>
    <w:rsid w:val="00AE459F"/>
    <w:rsid w:val="00B54CCC"/>
    <w:rsid w:val="00B57EAB"/>
    <w:rsid w:val="00B65AC0"/>
    <w:rsid w:val="00B65DF4"/>
    <w:rsid w:val="00B72AAB"/>
    <w:rsid w:val="00BB190E"/>
    <w:rsid w:val="00BB46A3"/>
    <w:rsid w:val="00BF2D07"/>
    <w:rsid w:val="00BF5CA6"/>
    <w:rsid w:val="00C07AD5"/>
    <w:rsid w:val="00C21814"/>
    <w:rsid w:val="00C45CF6"/>
    <w:rsid w:val="00C629DF"/>
    <w:rsid w:val="00C76A1A"/>
    <w:rsid w:val="00C873CD"/>
    <w:rsid w:val="00CC2781"/>
    <w:rsid w:val="00D21AA9"/>
    <w:rsid w:val="00D500B7"/>
    <w:rsid w:val="00D6428A"/>
    <w:rsid w:val="00D6781E"/>
    <w:rsid w:val="00DB1425"/>
    <w:rsid w:val="00DB4E01"/>
    <w:rsid w:val="00DD342A"/>
    <w:rsid w:val="00E1284A"/>
    <w:rsid w:val="00E16450"/>
    <w:rsid w:val="00E26570"/>
    <w:rsid w:val="00E4432C"/>
    <w:rsid w:val="00E625F4"/>
    <w:rsid w:val="00E65091"/>
    <w:rsid w:val="00E9431B"/>
    <w:rsid w:val="00EC71E2"/>
    <w:rsid w:val="00ED5211"/>
    <w:rsid w:val="00EF2E7A"/>
    <w:rsid w:val="00EF6BE1"/>
    <w:rsid w:val="00EF7AE3"/>
    <w:rsid w:val="00F02399"/>
    <w:rsid w:val="00F42F3C"/>
    <w:rsid w:val="00F92A1C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C8E"/>
  <w15:chartTrackingRefBased/>
  <w15:docId w15:val="{4DE3606A-83AB-4CC8-A947-DE146D9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qFormat/>
    <w:rsid w:val="00BF5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42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428A"/>
  </w:style>
  <w:style w:type="paragraph" w:styleId="Porat">
    <w:name w:val="footer"/>
    <w:basedOn w:val="prastasis"/>
    <w:link w:val="PoratDiagrama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Tatjana Kondrotė</cp:lastModifiedBy>
  <cp:revision>2</cp:revision>
  <cp:lastPrinted>2019-12-20T11:58:00Z</cp:lastPrinted>
  <dcterms:created xsi:type="dcterms:W3CDTF">2025-08-05T10:10:00Z</dcterms:created>
  <dcterms:modified xsi:type="dcterms:W3CDTF">2025-08-05T10:10:00Z</dcterms:modified>
</cp:coreProperties>
</file>