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485647" w14:paraId="68CD11A2" w14:textId="77777777">
        <w:tc>
          <w:tcPr>
            <w:tcW w:w="2808" w:type="dxa"/>
            <w:vMerge/>
          </w:tcPr>
          <w:p w14:paraId="7D8C4523" w14:textId="77777777" w:rsidR="00485647" w:rsidRDefault="00485647" w:rsidP="00485647">
            <w:pPr>
              <w:rPr>
                <w:kern w:val="2"/>
                <w:szCs w:val="24"/>
              </w:rPr>
            </w:pPr>
          </w:p>
        </w:tc>
        <w:tc>
          <w:tcPr>
            <w:tcW w:w="3240" w:type="dxa"/>
          </w:tcPr>
          <w:p w14:paraId="09455684" w14:textId="77777777" w:rsidR="00485647" w:rsidRDefault="00485647" w:rsidP="00485647">
            <w:pPr>
              <w:rPr>
                <w:kern w:val="2"/>
                <w:szCs w:val="24"/>
              </w:rPr>
            </w:pPr>
            <w:r>
              <w:rPr>
                <w:kern w:val="2"/>
                <w:szCs w:val="24"/>
              </w:rPr>
              <w:t>1.1.9. Šalies atstovas</w:t>
            </w:r>
          </w:p>
        </w:tc>
        <w:tc>
          <w:tcPr>
            <w:tcW w:w="3510" w:type="dxa"/>
          </w:tcPr>
          <w:p w14:paraId="15EA8FE5" w14:textId="77777777" w:rsidR="00485647" w:rsidRPr="00107DCF" w:rsidRDefault="00485647" w:rsidP="00485647">
            <w:pPr>
              <w:jc w:val="center"/>
              <w:rPr>
                <w:kern w:val="2"/>
              </w:rPr>
            </w:pPr>
            <w:r w:rsidRPr="00107DCF">
              <w:rPr>
                <w:kern w:val="2"/>
              </w:rPr>
              <w:t>Generalinė direktorė</w:t>
            </w:r>
          </w:p>
          <w:p w14:paraId="4414B0BD" w14:textId="629F005B" w:rsidR="00485647" w:rsidRDefault="00485647" w:rsidP="00485647">
            <w:pPr>
              <w:rPr>
                <w:kern w:val="2"/>
                <w:szCs w:val="24"/>
              </w:rPr>
            </w:pPr>
            <w:r w:rsidRPr="00107DCF">
              <w:rPr>
                <w:kern w:val="2"/>
              </w:rPr>
              <w:t xml:space="preserve"> prof. dr. Diana </w:t>
            </w:r>
            <w:proofErr w:type="spellStart"/>
            <w:r w:rsidRPr="00107DCF">
              <w:rPr>
                <w:kern w:val="2"/>
              </w:rPr>
              <w:t>Žaliaduonytė</w:t>
            </w:r>
            <w:proofErr w:type="spellEnd"/>
          </w:p>
        </w:tc>
      </w:tr>
      <w:tr w:rsidR="00485647" w14:paraId="452616B2" w14:textId="77777777">
        <w:tc>
          <w:tcPr>
            <w:tcW w:w="2808" w:type="dxa"/>
            <w:vMerge/>
          </w:tcPr>
          <w:p w14:paraId="1E2A5EED" w14:textId="77777777" w:rsidR="00485647" w:rsidRDefault="00485647" w:rsidP="00485647">
            <w:pPr>
              <w:rPr>
                <w:kern w:val="2"/>
                <w:szCs w:val="24"/>
              </w:rPr>
            </w:pPr>
          </w:p>
        </w:tc>
        <w:tc>
          <w:tcPr>
            <w:tcW w:w="3240" w:type="dxa"/>
          </w:tcPr>
          <w:p w14:paraId="5A88733A" w14:textId="77777777" w:rsidR="00485647" w:rsidRDefault="00485647" w:rsidP="00485647">
            <w:pPr>
              <w:rPr>
                <w:kern w:val="2"/>
                <w:szCs w:val="24"/>
              </w:rPr>
            </w:pPr>
            <w:r>
              <w:rPr>
                <w:kern w:val="2"/>
                <w:szCs w:val="24"/>
              </w:rPr>
              <w:t>1.1.10. Atstovavimo pagrindas</w:t>
            </w:r>
          </w:p>
        </w:tc>
        <w:tc>
          <w:tcPr>
            <w:tcW w:w="3510" w:type="dxa"/>
          </w:tcPr>
          <w:p w14:paraId="3FB95CB3" w14:textId="08DD9DCB" w:rsidR="00485647" w:rsidRDefault="00485647" w:rsidP="00485647">
            <w:pPr>
              <w:jc w:val="center"/>
              <w:rPr>
                <w:kern w:val="2"/>
                <w:szCs w:val="24"/>
              </w:rPr>
            </w:pPr>
            <w:r>
              <w:t xml:space="preserve">Pagal </w:t>
            </w:r>
            <w:r w:rsidRPr="0003012A">
              <w:t>įstaigos įstatus</w:t>
            </w:r>
          </w:p>
        </w:tc>
      </w:tr>
      <w:tr w:rsidR="00485647" w14:paraId="60993459" w14:textId="77777777">
        <w:tc>
          <w:tcPr>
            <w:tcW w:w="2808" w:type="dxa"/>
            <w:vMerge w:val="restart"/>
          </w:tcPr>
          <w:p w14:paraId="61417212" w14:textId="77777777" w:rsidR="00485647" w:rsidRDefault="00485647" w:rsidP="00485647">
            <w:pPr>
              <w:rPr>
                <w:b/>
                <w:bCs/>
                <w:kern w:val="2"/>
                <w:szCs w:val="24"/>
              </w:rPr>
            </w:pPr>
          </w:p>
          <w:p w14:paraId="26C1FA5A" w14:textId="77777777" w:rsidR="00485647" w:rsidRDefault="00485647" w:rsidP="00485647">
            <w:pPr>
              <w:rPr>
                <w:b/>
                <w:bCs/>
                <w:kern w:val="2"/>
                <w:szCs w:val="24"/>
              </w:rPr>
            </w:pPr>
          </w:p>
          <w:p w14:paraId="7AAE120D" w14:textId="77777777" w:rsidR="00485647" w:rsidRDefault="00485647" w:rsidP="00485647">
            <w:pPr>
              <w:rPr>
                <w:b/>
                <w:bCs/>
                <w:kern w:val="2"/>
                <w:szCs w:val="24"/>
              </w:rPr>
            </w:pPr>
          </w:p>
          <w:p w14:paraId="02F7883E" w14:textId="77777777" w:rsidR="00485647" w:rsidRDefault="00485647" w:rsidP="00485647">
            <w:pPr>
              <w:rPr>
                <w:b/>
                <w:bCs/>
                <w:kern w:val="2"/>
                <w:szCs w:val="24"/>
              </w:rPr>
            </w:pPr>
            <w:r>
              <w:rPr>
                <w:b/>
                <w:bCs/>
                <w:kern w:val="2"/>
                <w:szCs w:val="24"/>
              </w:rPr>
              <w:t>1.2. Tiekėjas</w:t>
            </w:r>
          </w:p>
          <w:p w14:paraId="6D326E64" w14:textId="6A27EBF3" w:rsidR="00485647" w:rsidRDefault="00485647" w:rsidP="00485647">
            <w:pPr>
              <w:rPr>
                <w:color w:val="4472C4"/>
                <w:kern w:val="2"/>
                <w:szCs w:val="24"/>
              </w:rPr>
            </w:pPr>
          </w:p>
          <w:p w14:paraId="42C1D131" w14:textId="77777777" w:rsidR="00485647" w:rsidRDefault="00485647" w:rsidP="00485647">
            <w:pPr>
              <w:rPr>
                <w:b/>
                <w:bCs/>
                <w:kern w:val="2"/>
                <w:szCs w:val="24"/>
              </w:rPr>
            </w:pPr>
          </w:p>
        </w:tc>
        <w:tc>
          <w:tcPr>
            <w:tcW w:w="3240" w:type="dxa"/>
          </w:tcPr>
          <w:p w14:paraId="20830DB5" w14:textId="77777777" w:rsidR="00485647" w:rsidRDefault="00485647" w:rsidP="00485647">
            <w:pPr>
              <w:rPr>
                <w:kern w:val="2"/>
                <w:szCs w:val="24"/>
              </w:rPr>
            </w:pPr>
            <w:r>
              <w:rPr>
                <w:kern w:val="2"/>
                <w:szCs w:val="24"/>
              </w:rPr>
              <w:t>1.2.1. Pavadinimas</w:t>
            </w:r>
          </w:p>
        </w:tc>
        <w:tc>
          <w:tcPr>
            <w:tcW w:w="3510" w:type="dxa"/>
          </w:tcPr>
          <w:p w14:paraId="5EB1A87A" w14:textId="6B583079" w:rsidR="00485647" w:rsidRDefault="000B78C2" w:rsidP="00485647">
            <w:pPr>
              <w:jc w:val="center"/>
              <w:rPr>
                <w:kern w:val="2"/>
                <w:szCs w:val="24"/>
              </w:rPr>
            </w:pPr>
            <w:r>
              <w:rPr>
                <w:kern w:val="2"/>
                <w:szCs w:val="24"/>
              </w:rPr>
              <w:t xml:space="preserve">A. </w:t>
            </w:r>
            <w:proofErr w:type="spellStart"/>
            <w:r>
              <w:rPr>
                <w:kern w:val="2"/>
                <w:szCs w:val="24"/>
              </w:rPr>
              <w:t>Zapalskio</w:t>
            </w:r>
            <w:proofErr w:type="spellEnd"/>
            <w:r>
              <w:rPr>
                <w:kern w:val="2"/>
                <w:szCs w:val="24"/>
              </w:rPr>
              <w:t xml:space="preserve"> IĮ „</w:t>
            </w:r>
            <w:proofErr w:type="spellStart"/>
            <w:r>
              <w:rPr>
                <w:kern w:val="2"/>
                <w:szCs w:val="24"/>
              </w:rPr>
              <w:t>Azas</w:t>
            </w:r>
            <w:proofErr w:type="spellEnd"/>
            <w:r>
              <w:rPr>
                <w:kern w:val="2"/>
                <w:szCs w:val="24"/>
              </w:rPr>
              <w:t>“</w:t>
            </w:r>
          </w:p>
        </w:tc>
      </w:tr>
      <w:tr w:rsidR="00485647" w14:paraId="546B8339" w14:textId="77777777">
        <w:tc>
          <w:tcPr>
            <w:tcW w:w="2808" w:type="dxa"/>
            <w:vMerge/>
          </w:tcPr>
          <w:p w14:paraId="707A26FA" w14:textId="77777777" w:rsidR="00485647" w:rsidRDefault="00485647" w:rsidP="00485647">
            <w:pPr>
              <w:rPr>
                <w:b/>
                <w:bCs/>
                <w:kern w:val="2"/>
                <w:szCs w:val="24"/>
              </w:rPr>
            </w:pPr>
          </w:p>
        </w:tc>
        <w:tc>
          <w:tcPr>
            <w:tcW w:w="3240" w:type="dxa"/>
          </w:tcPr>
          <w:p w14:paraId="19362D33" w14:textId="77777777" w:rsidR="00485647" w:rsidRDefault="00485647" w:rsidP="00485647">
            <w:pPr>
              <w:rPr>
                <w:kern w:val="2"/>
                <w:szCs w:val="24"/>
              </w:rPr>
            </w:pPr>
            <w:r>
              <w:rPr>
                <w:kern w:val="2"/>
                <w:szCs w:val="24"/>
              </w:rPr>
              <w:t>1.2.2. Juridinio asmens kodas</w:t>
            </w:r>
          </w:p>
        </w:tc>
        <w:tc>
          <w:tcPr>
            <w:tcW w:w="3510" w:type="dxa"/>
          </w:tcPr>
          <w:p w14:paraId="4E70B20D" w14:textId="05E5B946" w:rsidR="00485647" w:rsidRDefault="000B78C2" w:rsidP="00485647">
            <w:pPr>
              <w:jc w:val="center"/>
              <w:rPr>
                <w:kern w:val="2"/>
                <w:szCs w:val="24"/>
              </w:rPr>
            </w:pPr>
            <w:r>
              <w:rPr>
                <w:kern w:val="2"/>
                <w:szCs w:val="24"/>
              </w:rPr>
              <w:t>147838431</w:t>
            </w:r>
          </w:p>
        </w:tc>
      </w:tr>
      <w:tr w:rsidR="00485647" w14:paraId="42F2379F" w14:textId="77777777">
        <w:tc>
          <w:tcPr>
            <w:tcW w:w="2808" w:type="dxa"/>
            <w:vMerge/>
          </w:tcPr>
          <w:p w14:paraId="3B960E21" w14:textId="77777777" w:rsidR="00485647" w:rsidRDefault="00485647" w:rsidP="00485647">
            <w:pPr>
              <w:rPr>
                <w:b/>
                <w:bCs/>
                <w:kern w:val="2"/>
                <w:szCs w:val="24"/>
              </w:rPr>
            </w:pPr>
          </w:p>
        </w:tc>
        <w:tc>
          <w:tcPr>
            <w:tcW w:w="3240" w:type="dxa"/>
          </w:tcPr>
          <w:p w14:paraId="06A8DB76" w14:textId="77777777" w:rsidR="00485647" w:rsidRDefault="00485647" w:rsidP="00485647">
            <w:pPr>
              <w:rPr>
                <w:kern w:val="2"/>
                <w:szCs w:val="24"/>
              </w:rPr>
            </w:pPr>
            <w:r>
              <w:rPr>
                <w:kern w:val="2"/>
                <w:szCs w:val="24"/>
              </w:rPr>
              <w:t>1.2.3. Adresas</w:t>
            </w:r>
          </w:p>
        </w:tc>
        <w:tc>
          <w:tcPr>
            <w:tcW w:w="3510" w:type="dxa"/>
          </w:tcPr>
          <w:p w14:paraId="16F7FEAF" w14:textId="6678E860" w:rsidR="00485647" w:rsidRDefault="000B78C2" w:rsidP="00485647">
            <w:pPr>
              <w:jc w:val="center"/>
              <w:rPr>
                <w:kern w:val="2"/>
                <w:szCs w:val="24"/>
              </w:rPr>
            </w:pPr>
            <w:r>
              <w:rPr>
                <w:kern w:val="2"/>
                <w:szCs w:val="24"/>
              </w:rPr>
              <w:t>Tiekimo g. 2A, LT-35289, Panevėžys</w:t>
            </w:r>
          </w:p>
        </w:tc>
      </w:tr>
      <w:tr w:rsidR="00485647" w14:paraId="6F0D88D1" w14:textId="77777777">
        <w:tc>
          <w:tcPr>
            <w:tcW w:w="2808" w:type="dxa"/>
            <w:vMerge/>
          </w:tcPr>
          <w:p w14:paraId="614CA381" w14:textId="77777777" w:rsidR="00485647" w:rsidRDefault="00485647" w:rsidP="00485647">
            <w:pPr>
              <w:rPr>
                <w:b/>
                <w:bCs/>
                <w:kern w:val="2"/>
                <w:szCs w:val="24"/>
              </w:rPr>
            </w:pPr>
          </w:p>
        </w:tc>
        <w:tc>
          <w:tcPr>
            <w:tcW w:w="3240" w:type="dxa"/>
          </w:tcPr>
          <w:p w14:paraId="54297669" w14:textId="77777777" w:rsidR="00485647" w:rsidRDefault="00485647" w:rsidP="00485647">
            <w:pPr>
              <w:rPr>
                <w:kern w:val="2"/>
                <w:szCs w:val="24"/>
              </w:rPr>
            </w:pPr>
            <w:r>
              <w:rPr>
                <w:kern w:val="2"/>
                <w:szCs w:val="24"/>
              </w:rPr>
              <w:t>1.2.4. PVM mokėtojo kodas</w:t>
            </w:r>
          </w:p>
        </w:tc>
        <w:tc>
          <w:tcPr>
            <w:tcW w:w="3510" w:type="dxa"/>
          </w:tcPr>
          <w:p w14:paraId="55B07F39" w14:textId="3FC22BBA" w:rsidR="00485647" w:rsidRDefault="000B78C2" w:rsidP="00485647">
            <w:pPr>
              <w:jc w:val="center"/>
              <w:rPr>
                <w:kern w:val="2"/>
                <w:szCs w:val="24"/>
              </w:rPr>
            </w:pPr>
            <w:r>
              <w:rPr>
                <w:kern w:val="2"/>
                <w:szCs w:val="24"/>
              </w:rPr>
              <w:t>LT478384314</w:t>
            </w:r>
          </w:p>
        </w:tc>
      </w:tr>
      <w:tr w:rsidR="00485647" w14:paraId="7260E307" w14:textId="77777777">
        <w:tc>
          <w:tcPr>
            <w:tcW w:w="2808" w:type="dxa"/>
            <w:vMerge/>
          </w:tcPr>
          <w:p w14:paraId="7546B554" w14:textId="77777777" w:rsidR="00485647" w:rsidRDefault="00485647" w:rsidP="00485647">
            <w:pPr>
              <w:rPr>
                <w:b/>
                <w:bCs/>
                <w:kern w:val="2"/>
                <w:szCs w:val="24"/>
              </w:rPr>
            </w:pPr>
          </w:p>
        </w:tc>
        <w:tc>
          <w:tcPr>
            <w:tcW w:w="3240" w:type="dxa"/>
          </w:tcPr>
          <w:p w14:paraId="34A75E03" w14:textId="77777777" w:rsidR="00485647" w:rsidRDefault="00485647" w:rsidP="00485647">
            <w:pPr>
              <w:rPr>
                <w:kern w:val="2"/>
                <w:szCs w:val="24"/>
              </w:rPr>
            </w:pPr>
            <w:r>
              <w:rPr>
                <w:kern w:val="2"/>
                <w:szCs w:val="24"/>
              </w:rPr>
              <w:t>1.2.5. Atsiskaitomoji sąskaita</w:t>
            </w:r>
          </w:p>
        </w:tc>
        <w:tc>
          <w:tcPr>
            <w:tcW w:w="3510" w:type="dxa"/>
          </w:tcPr>
          <w:p w14:paraId="13CE74BB" w14:textId="45E1D0BA" w:rsidR="00485647" w:rsidRDefault="000B78C2" w:rsidP="00485647">
            <w:pPr>
              <w:jc w:val="center"/>
              <w:rPr>
                <w:kern w:val="2"/>
                <w:szCs w:val="24"/>
              </w:rPr>
            </w:pPr>
            <w:r>
              <w:rPr>
                <w:kern w:val="2"/>
                <w:szCs w:val="24"/>
              </w:rPr>
              <w:t>LT647300010002368420</w:t>
            </w:r>
          </w:p>
        </w:tc>
      </w:tr>
      <w:tr w:rsidR="00485647" w14:paraId="1383D2FD" w14:textId="77777777">
        <w:tc>
          <w:tcPr>
            <w:tcW w:w="2808" w:type="dxa"/>
            <w:vMerge/>
          </w:tcPr>
          <w:p w14:paraId="09F26D1F" w14:textId="77777777" w:rsidR="00485647" w:rsidRDefault="00485647" w:rsidP="00485647">
            <w:pPr>
              <w:rPr>
                <w:b/>
                <w:bCs/>
                <w:kern w:val="2"/>
                <w:szCs w:val="24"/>
              </w:rPr>
            </w:pPr>
          </w:p>
        </w:tc>
        <w:tc>
          <w:tcPr>
            <w:tcW w:w="3240" w:type="dxa"/>
          </w:tcPr>
          <w:p w14:paraId="3450EF31" w14:textId="77777777" w:rsidR="00485647" w:rsidRDefault="00485647" w:rsidP="00485647">
            <w:pPr>
              <w:rPr>
                <w:kern w:val="2"/>
                <w:szCs w:val="24"/>
              </w:rPr>
            </w:pPr>
            <w:r>
              <w:rPr>
                <w:kern w:val="2"/>
                <w:szCs w:val="24"/>
              </w:rPr>
              <w:t>1.2.6. Bankas, banko kodas</w:t>
            </w:r>
          </w:p>
        </w:tc>
        <w:tc>
          <w:tcPr>
            <w:tcW w:w="3510" w:type="dxa"/>
          </w:tcPr>
          <w:p w14:paraId="1FF4F5BB" w14:textId="6ADB2818" w:rsidR="00485647" w:rsidRDefault="000B78C2" w:rsidP="00485647">
            <w:pPr>
              <w:jc w:val="center"/>
              <w:rPr>
                <w:kern w:val="2"/>
                <w:szCs w:val="24"/>
              </w:rPr>
            </w:pPr>
            <w:r>
              <w:rPr>
                <w:kern w:val="2"/>
                <w:szCs w:val="24"/>
              </w:rPr>
              <w:t>AB Swedbank,  73000</w:t>
            </w:r>
          </w:p>
        </w:tc>
      </w:tr>
      <w:tr w:rsidR="00485647" w14:paraId="6693AE73" w14:textId="77777777">
        <w:tc>
          <w:tcPr>
            <w:tcW w:w="2808" w:type="dxa"/>
            <w:vMerge/>
          </w:tcPr>
          <w:p w14:paraId="4341F566" w14:textId="77777777" w:rsidR="00485647" w:rsidRDefault="00485647" w:rsidP="00485647">
            <w:pPr>
              <w:rPr>
                <w:b/>
                <w:bCs/>
                <w:kern w:val="2"/>
                <w:szCs w:val="24"/>
              </w:rPr>
            </w:pPr>
          </w:p>
        </w:tc>
        <w:tc>
          <w:tcPr>
            <w:tcW w:w="3240" w:type="dxa"/>
          </w:tcPr>
          <w:p w14:paraId="54701A74" w14:textId="77777777" w:rsidR="00485647" w:rsidRDefault="00485647" w:rsidP="00485647">
            <w:pPr>
              <w:rPr>
                <w:kern w:val="2"/>
                <w:szCs w:val="24"/>
              </w:rPr>
            </w:pPr>
            <w:r>
              <w:rPr>
                <w:kern w:val="2"/>
                <w:szCs w:val="24"/>
              </w:rPr>
              <w:t>1.2.7. Telefonas</w:t>
            </w:r>
          </w:p>
        </w:tc>
        <w:tc>
          <w:tcPr>
            <w:tcW w:w="3510" w:type="dxa"/>
          </w:tcPr>
          <w:p w14:paraId="6BB3AA28" w14:textId="27565B72" w:rsidR="00485647" w:rsidRDefault="000B78C2" w:rsidP="00485647">
            <w:pPr>
              <w:jc w:val="center"/>
              <w:rPr>
                <w:kern w:val="2"/>
                <w:szCs w:val="24"/>
              </w:rPr>
            </w:pPr>
            <w:r>
              <w:rPr>
                <w:kern w:val="2"/>
                <w:szCs w:val="24"/>
              </w:rPr>
              <w:t>+370 45 570231</w:t>
            </w:r>
          </w:p>
        </w:tc>
      </w:tr>
      <w:tr w:rsidR="00485647" w14:paraId="18FF565A" w14:textId="77777777">
        <w:tc>
          <w:tcPr>
            <w:tcW w:w="2808" w:type="dxa"/>
            <w:vMerge/>
          </w:tcPr>
          <w:p w14:paraId="4A985D99" w14:textId="77777777" w:rsidR="00485647" w:rsidRDefault="00485647" w:rsidP="00485647">
            <w:pPr>
              <w:rPr>
                <w:b/>
                <w:bCs/>
                <w:kern w:val="2"/>
                <w:szCs w:val="24"/>
              </w:rPr>
            </w:pPr>
          </w:p>
        </w:tc>
        <w:tc>
          <w:tcPr>
            <w:tcW w:w="3240" w:type="dxa"/>
          </w:tcPr>
          <w:p w14:paraId="524B9F08" w14:textId="77777777" w:rsidR="00485647" w:rsidRDefault="00485647" w:rsidP="00485647">
            <w:pPr>
              <w:rPr>
                <w:kern w:val="2"/>
                <w:szCs w:val="24"/>
              </w:rPr>
            </w:pPr>
            <w:r>
              <w:rPr>
                <w:kern w:val="2"/>
                <w:szCs w:val="24"/>
              </w:rPr>
              <w:t>1.2.8. El. paštas</w:t>
            </w:r>
          </w:p>
        </w:tc>
        <w:tc>
          <w:tcPr>
            <w:tcW w:w="3510" w:type="dxa"/>
          </w:tcPr>
          <w:p w14:paraId="3A20D7B0" w14:textId="39FE72EE" w:rsidR="00485647" w:rsidRDefault="000B78C2" w:rsidP="00485647">
            <w:pPr>
              <w:jc w:val="center"/>
              <w:rPr>
                <w:kern w:val="2"/>
                <w:szCs w:val="24"/>
              </w:rPr>
            </w:pPr>
            <w:r>
              <w:rPr>
                <w:kern w:val="2"/>
                <w:szCs w:val="24"/>
              </w:rPr>
              <w:t>info@azas.lt</w:t>
            </w:r>
          </w:p>
        </w:tc>
      </w:tr>
      <w:tr w:rsidR="00485647" w14:paraId="737640E9" w14:textId="77777777">
        <w:tc>
          <w:tcPr>
            <w:tcW w:w="2808" w:type="dxa"/>
            <w:vMerge/>
          </w:tcPr>
          <w:p w14:paraId="16A08540" w14:textId="77777777" w:rsidR="00485647" w:rsidRDefault="00485647" w:rsidP="00485647">
            <w:pPr>
              <w:rPr>
                <w:b/>
                <w:bCs/>
                <w:kern w:val="2"/>
                <w:szCs w:val="24"/>
              </w:rPr>
            </w:pPr>
          </w:p>
        </w:tc>
        <w:tc>
          <w:tcPr>
            <w:tcW w:w="3240" w:type="dxa"/>
          </w:tcPr>
          <w:p w14:paraId="2724B7D3" w14:textId="77777777" w:rsidR="00485647" w:rsidRDefault="00485647" w:rsidP="00485647">
            <w:pPr>
              <w:rPr>
                <w:kern w:val="2"/>
                <w:szCs w:val="24"/>
              </w:rPr>
            </w:pPr>
            <w:r>
              <w:rPr>
                <w:kern w:val="2"/>
                <w:szCs w:val="24"/>
              </w:rPr>
              <w:t>1.2.9. Šalies atstovas</w:t>
            </w:r>
          </w:p>
        </w:tc>
        <w:tc>
          <w:tcPr>
            <w:tcW w:w="3510" w:type="dxa"/>
          </w:tcPr>
          <w:p w14:paraId="46ACEFBF" w14:textId="1E8B1324" w:rsidR="00485647" w:rsidRDefault="000B78C2" w:rsidP="00485647">
            <w:pPr>
              <w:jc w:val="center"/>
              <w:rPr>
                <w:kern w:val="2"/>
                <w:szCs w:val="24"/>
              </w:rPr>
            </w:pPr>
            <w:r>
              <w:rPr>
                <w:kern w:val="2"/>
                <w:szCs w:val="24"/>
              </w:rPr>
              <w:t>Juozas Devižis</w:t>
            </w:r>
          </w:p>
        </w:tc>
      </w:tr>
      <w:tr w:rsidR="00485647" w14:paraId="163B4139" w14:textId="77777777">
        <w:tc>
          <w:tcPr>
            <w:tcW w:w="2808" w:type="dxa"/>
            <w:vMerge/>
          </w:tcPr>
          <w:p w14:paraId="1AA51246" w14:textId="77777777" w:rsidR="00485647" w:rsidRDefault="00485647" w:rsidP="00485647">
            <w:pPr>
              <w:rPr>
                <w:b/>
                <w:bCs/>
                <w:kern w:val="2"/>
                <w:szCs w:val="24"/>
              </w:rPr>
            </w:pPr>
          </w:p>
        </w:tc>
        <w:tc>
          <w:tcPr>
            <w:tcW w:w="3240" w:type="dxa"/>
          </w:tcPr>
          <w:p w14:paraId="49BAC2FF" w14:textId="77777777" w:rsidR="00485647" w:rsidRDefault="00485647" w:rsidP="00485647">
            <w:pPr>
              <w:rPr>
                <w:kern w:val="2"/>
                <w:szCs w:val="24"/>
              </w:rPr>
            </w:pPr>
            <w:r>
              <w:rPr>
                <w:kern w:val="2"/>
                <w:szCs w:val="24"/>
              </w:rPr>
              <w:t>1.2.10. Atstovavimo pagrindas</w:t>
            </w:r>
          </w:p>
        </w:tc>
        <w:tc>
          <w:tcPr>
            <w:tcW w:w="3510" w:type="dxa"/>
          </w:tcPr>
          <w:p w14:paraId="1CD799FD" w14:textId="43DDD08D" w:rsidR="00485647" w:rsidRDefault="000B78C2" w:rsidP="00485647">
            <w:pPr>
              <w:jc w:val="center"/>
              <w:rPr>
                <w:kern w:val="2"/>
                <w:szCs w:val="24"/>
              </w:rPr>
            </w:pPr>
            <w:r>
              <w:rPr>
                <w:kern w:val="2"/>
                <w:szCs w:val="24"/>
              </w:rPr>
              <w:t>Direktorius, pagal įmonės nuostatus</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Bruneckienė,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03E718D8" w:rsidR="00B34D16" w:rsidRDefault="000B78C2">
            <w:pPr>
              <w:rPr>
                <w:color w:val="4472C4"/>
                <w:kern w:val="2"/>
                <w:szCs w:val="24"/>
              </w:rPr>
            </w:pPr>
            <w:r w:rsidRPr="0025047F">
              <w:rPr>
                <w:kern w:val="2"/>
                <w:szCs w:val="24"/>
              </w:rPr>
              <w:t xml:space="preserve">Vadybininkas Albertas Valikonis, tel. +370 45 570231, el.p. </w:t>
            </w:r>
            <w:proofErr w:type="spellStart"/>
            <w:r w:rsidRPr="0025047F">
              <w:rPr>
                <w:kern w:val="2"/>
                <w:szCs w:val="24"/>
              </w:rPr>
              <w:t>info@azas.lt</w:t>
            </w:r>
            <w:proofErr w:type="spellEnd"/>
            <w:r w:rsidRPr="0025047F">
              <w:rPr>
                <w:kern w:val="2"/>
                <w:szCs w:val="24"/>
              </w:rPr>
              <w:t>.</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051A24CB" w:rsidR="005A5832" w:rsidRDefault="001D2346">
            <w:pPr>
              <w:rPr>
                <w:kern w:val="2"/>
                <w:szCs w:val="24"/>
              </w:rPr>
            </w:pPr>
            <w:r>
              <w:rPr>
                <w:kern w:val="2"/>
                <w:szCs w:val="24"/>
              </w:rPr>
              <w:t>1776101</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7D0CC16C" w:rsidR="00795FCB" w:rsidRPr="00126ACA" w:rsidRDefault="00795FCB" w:rsidP="00795FCB">
            <w:pPr>
              <w:rPr>
                <w:kern w:val="2"/>
                <w:szCs w:val="24"/>
              </w:rPr>
            </w:pPr>
            <w:r w:rsidRPr="00126ACA">
              <w:rPr>
                <w:kern w:val="2"/>
                <w:szCs w:val="24"/>
              </w:rPr>
              <w:t xml:space="preserve">Pradinės Sutarties vertė yra </w:t>
            </w:r>
            <w:r w:rsidR="009C3B3D">
              <w:rPr>
                <w:kern w:val="2"/>
                <w:szCs w:val="24"/>
              </w:rPr>
              <w:t>2420,50</w:t>
            </w:r>
            <w:r w:rsidRPr="00126ACA">
              <w:rPr>
                <w:kern w:val="2"/>
                <w:szCs w:val="24"/>
              </w:rPr>
              <w:t xml:space="preserve"> Eur, (</w:t>
            </w:r>
            <w:r w:rsidR="009C3B3D">
              <w:rPr>
                <w:kern w:val="2"/>
                <w:szCs w:val="24"/>
              </w:rPr>
              <w:t>du tūkstančiai keturi</w:t>
            </w:r>
            <w:r w:rsidR="008E1F31">
              <w:rPr>
                <w:kern w:val="2"/>
                <w:szCs w:val="24"/>
              </w:rPr>
              <w:t xml:space="preserve"> </w:t>
            </w:r>
            <w:r w:rsidR="00E11D7E">
              <w:rPr>
                <w:kern w:val="2"/>
                <w:szCs w:val="24"/>
              </w:rPr>
              <w:t>šimta</w:t>
            </w:r>
            <w:r w:rsidR="008E1F31">
              <w:rPr>
                <w:kern w:val="2"/>
                <w:szCs w:val="24"/>
              </w:rPr>
              <w:t>i</w:t>
            </w:r>
            <w:r w:rsidR="00126ACA" w:rsidRPr="00126ACA">
              <w:rPr>
                <w:kern w:val="2"/>
                <w:szCs w:val="24"/>
              </w:rPr>
              <w:t xml:space="preserve">  </w:t>
            </w:r>
            <w:r w:rsidR="009C3B3D">
              <w:rPr>
                <w:kern w:val="2"/>
                <w:szCs w:val="24"/>
              </w:rPr>
              <w:t>dvidešimt</w:t>
            </w:r>
            <w:r w:rsidR="00DC060A">
              <w:rPr>
                <w:kern w:val="2"/>
                <w:szCs w:val="24"/>
              </w:rPr>
              <w:t xml:space="preserve"> </w:t>
            </w:r>
            <w:r w:rsidR="00126ACA" w:rsidRPr="00126ACA">
              <w:rPr>
                <w:kern w:val="2"/>
                <w:szCs w:val="24"/>
              </w:rPr>
              <w:t>eur</w:t>
            </w:r>
            <w:r w:rsidR="008E1F31">
              <w:rPr>
                <w:kern w:val="2"/>
                <w:szCs w:val="24"/>
              </w:rPr>
              <w:t>ų</w:t>
            </w:r>
            <w:r w:rsidR="00126ACA" w:rsidRPr="00126ACA">
              <w:rPr>
                <w:kern w:val="2"/>
                <w:szCs w:val="24"/>
              </w:rPr>
              <w:t xml:space="preserve"> </w:t>
            </w:r>
            <w:r w:rsidR="009C3B3D">
              <w:rPr>
                <w:kern w:val="2"/>
                <w:szCs w:val="24"/>
              </w:rPr>
              <w:t>5</w:t>
            </w:r>
            <w:r w:rsidR="00126ACA" w:rsidRPr="00126ACA">
              <w:rPr>
                <w:kern w:val="2"/>
                <w:szCs w:val="24"/>
              </w:rPr>
              <w:t>0 centų</w:t>
            </w:r>
            <w:r w:rsidRPr="00126ACA">
              <w:rPr>
                <w:kern w:val="2"/>
                <w:szCs w:val="24"/>
              </w:rPr>
              <w:t xml:space="preserve">) be PVM. </w:t>
            </w:r>
          </w:p>
          <w:p w14:paraId="6F946B42" w14:textId="1A6B27F6" w:rsidR="00795FCB" w:rsidRPr="00126ACA" w:rsidRDefault="00795FCB" w:rsidP="00795FCB">
            <w:pPr>
              <w:rPr>
                <w:kern w:val="2"/>
                <w:szCs w:val="24"/>
              </w:rPr>
            </w:pPr>
            <w:r w:rsidRPr="00126ACA">
              <w:rPr>
                <w:kern w:val="2"/>
                <w:szCs w:val="24"/>
              </w:rPr>
              <w:t xml:space="preserve">PVM sudaro </w:t>
            </w:r>
            <w:r w:rsidR="009C3B3D">
              <w:rPr>
                <w:kern w:val="2"/>
                <w:szCs w:val="24"/>
              </w:rPr>
              <w:t>121,03</w:t>
            </w:r>
            <w:r w:rsidRPr="00126ACA">
              <w:rPr>
                <w:kern w:val="2"/>
                <w:szCs w:val="24"/>
              </w:rPr>
              <w:t xml:space="preserve"> Eur, (</w:t>
            </w:r>
            <w:r w:rsidR="009C3B3D">
              <w:rPr>
                <w:kern w:val="2"/>
                <w:szCs w:val="24"/>
              </w:rPr>
              <w:t>šimtas dvidešimt vienas</w:t>
            </w:r>
            <w:r w:rsidR="00126ACA" w:rsidRPr="00126ACA">
              <w:rPr>
                <w:kern w:val="2"/>
                <w:szCs w:val="24"/>
              </w:rPr>
              <w:t xml:space="preserve"> eur</w:t>
            </w:r>
            <w:r w:rsidR="00DC060A">
              <w:rPr>
                <w:kern w:val="2"/>
                <w:szCs w:val="24"/>
              </w:rPr>
              <w:t>a</w:t>
            </w:r>
            <w:r w:rsidR="009C3B3D">
              <w:rPr>
                <w:kern w:val="2"/>
                <w:szCs w:val="24"/>
              </w:rPr>
              <w:t>s</w:t>
            </w:r>
            <w:r w:rsidR="00DC060A">
              <w:rPr>
                <w:kern w:val="2"/>
                <w:szCs w:val="24"/>
              </w:rPr>
              <w:t xml:space="preserve"> </w:t>
            </w:r>
            <w:r w:rsidR="009C3B3D">
              <w:rPr>
                <w:kern w:val="2"/>
                <w:szCs w:val="24"/>
              </w:rPr>
              <w:t>3</w:t>
            </w:r>
            <w:r w:rsidR="00126ACA" w:rsidRPr="00126ACA">
              <w:rPr>
                <w:kern w:val="2"/>
                <w:szCs w:val="24"/>
              </w:rPr>
              <w:t xml:space="preserve"> cent</w:t>
            </w:r>
            <w:r w:rsidR="009C3B3D">
              <w:rPr>
                <w:kern w:val="2"/>
                <w:szCs w:val="24"/>
              </w:rPr>
              <w:t>ai</w:t>
            </w:r>
            <w:r w:rsidRPr="00126ACA">
              <w:rPr>
                <w:kern w:val="2"/>
                <w:szCs w:val="24"/>
              </w:rPr>
              <w:t>).</w:t>
            </w:r>
          </w:p>
          <w:p w14:paraId="2BE3C37B" w14:textId="00B8A77A" w:rsidR="00795FCB" w:rsidRPr="00126ACA" w:rsidRDefault="00795FCB" w:rsidP="00795FCB">
            <w:pPr>
              <w:rPr>
                <w:kern w:val="2"/>
                <w:szCs w:val="24"/>
              </w:rPr>
            </w:pPr>
            <w:r w:rsidRPr="00126ACA">
              <w:rPr>
                <w:kern w:val="2"/>
                <w:szCs w:val="24"/>
              </w:rPr>
              <w:t xml:space="preserve">Sutarties kaina yra </w:t>
            </w:r>
            <w:r w:rsidR="009C3B3D">
              <w:rPr>
                <w:kern w:val="2"/>
                <w:szCs w:val="24"/>
              </w:rPr>
              <w:t>2541,53</w:t>
            </w:r>
            <w:r w:rsidRPr="00126ACA">
              <w:rPr>
                <w:kern w:val="2"/>
                <w:szCs w:val="24"/>
              </w:rPr>
              <w:t xml:space="preserve"> Eur, (</w:t>
            </w:r>
            <w:r w:rsidR="009C3B3D">
              <w:rPr>
                <w:kern w:val="2"/>
                <w:szCs w:val="24"/>
              </w:rPr>
              <w:t>du tūkstančiai penki</w:t>
            </w:r>
            <w:r w:rsidR="00E11D7E">
              <w:rPr>
                <w:kern w:val="2"/>
                <w:szCs w:val="24"/>
              </w:rPr>
              <w:t xml:space="preserve"> šimtai </w:t>
            </w:r>
            <w:r w:rsidR="009C3B3D">
              <w:rPr>
                <w:kern w:val="2"/>
                <w:szCs w:val="24"/>
              </w:rPr>
              <w:t>keturiasdešimt vienas</w:t>
            </w:r>
            <w:r w:rsidR="00E11D7E">
              <w:rPr>
                <w:kern w:val="2"/>
                <w:szCs w:val="24"/>
              </w:rPr>
              <w:t xml:space="preserve"> </w:t>
            </w:r>
            <w:r w:rsidR="00E11D7E" w:rsidRPr="00126ACA">
              <w:rPr>
                <w:kern w:val="2"/>
                <w:szCs w:val="24"/>
              </w:rPr>
              <w:t>eur</w:t>
            </w:r>
            <w:r w:rsidR="00DC060A">
              <w:rPr>
                <w:kern w:val="2"/>
                <w:szCs w:val="24"/>
              </w:rPr>
              <w:t>a</w:t>
            </w:r>
            <w:r w:rsidR="009C3B3D">
              <w:rPr>
                <w:kern w:val="2"/>
                <w:szCs w:val="24"/>
              </w:rPr>
              <w:t>s</w:t>
            </w:r>
            <w:r w:rsidR="00E11D7E" w:rsidRPr="00126ACA">
              <w:rPr>
                <w:kern w:val="2"/>
                <w:szCs w:val="24"/>
              </w:rPr>
              <w:t xml:space="preserve"> </w:t>
            </w:r>
            <w:r w:rsidR="009C3B3D">
              <w:rPr>
                <w:kern w:val="2"/>
                <w:szCs w:val="24"/>
              </w:rPr>
              <w:t>53</w:t>
            </w:r>
            <w:r w:rsidR="00E11D7E" w:rsidRPr="00126ACA">
              <w:rPr>
                <w:kern w:val="2"/>
                <w:szCs w:val="24"/>
              </w:rPr>
              <w:t xml:space="preserve"> cent</w:t>
            </w:r>
            <w:r w:rsidR="009C3B3D">
              <w:rPr>
                <w:kern w:val="2"/>
                <w:szCs w:val="24"/>
              </w:rPr>
              <w:t>ai</w:t>
            </w:r>
            <w:r w:rsidRPr="00126ACA">
              <w:rPr>
                <w:kern w:val="2"/>
                <w:szCs w:val="24"/>
              </w:rPr>
              <w:t>) Eur su PVM.</w:t>
            </w:r>
          </w:p>
          <w:p w14:paraId="5BCF0CF0" w14:textId="77777777" w:rsidR="00795FCB" w:rsidRPr="00126ACA"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0B78C2">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0B78C2"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w:t>
            </w:r>
            <w:r w:rsidRPr="00164D60">
              <w:rPr>
                <w:kern w:val="2"/>
                <w:szCs w:val="24"/>
                <w:shd w:val="clear" w:color="auto" w:fill="FFFFFF"/>
              </w:rPr>
              <w:lastRenderedPageBreak/>
              <w:t xml:space="preserve">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4DF6985A"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 xml:space="preserve">atsiskaityti už tinkamai Tiekėjo  perduotas kokybiškas Prekes per Sutartyje nurodytą terminą, Tiekėjas nuo kitos nei nustatytas </w:t>
            </w:r>
            <w:r w:rsidRPr="00FC5397">
              <w:rPr>
                <w:kern w:val="2"/>
                <w:szCs w:val="24"/>
              </w:rPr>
              <w:lastRenderedPageBreak/>
              <w:t>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0B78C2">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lastRenderedPageBreak/>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0B78C2" w:rsidRDefault="00795FCB" w:rsidP="00795FCB">
            <w:pPr>
              <w:rPr>
                <w:b/>
                <w:bCs/>
                <w:kern w:val="2"/>
                <w:szCs w:val="24"/>
              </w:rPr>
            </w:pPr>
            <w:r w:rsidRPr="000B78C2">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B78C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lastRenderedPageBreak/>
              <w:t xml:space="preserve">Jeigu Prekės supakuojamos į antrinę pakuotę, ji turi būti perdirbamoji pakuotė pagal Lietuvos Respublikos mokesčio už aplinkos teršimą įstatymo nuostatas. Tiekėjas patiekdamas Prekes Pirkėjui, pateikia </w:t>
            </w:r>
            <w:r>
              <w:rPr>
                <w:kern w:val="2"/>
                <w:shd w:val="clear" w:color="auto" w:fill="FFFFFF"/>
              </w:rPr>
              <w:lastRenderedPageBreak/>
              <w:t>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lastRenderedPageBreak/>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711F2" w14:paraId="15208A1F" w14:textId="77777777" w:rsidTr="00917B78">
        <w:trPr>
          <w:trHeight w:val="70"/>
        </w:trPr>
        <w:tc>
          <w:tcPr>
            <w:tcW w:w="2532" w:type="dxa"/>
          </w:tcPr>
          <w:p w14:paraId="0EE428D5" w14:textId="140192BA" w:rsidR="00D711F2" w:rsidRPr="00EE4096" w:rsidRDefault="00D711F2" w:rsidP="00917B78">
            <w:pPr>
              <w:rPr>
                <w:kern w:val="2"/>
                <w:szCs w:val="24"/>
              </w:rPr>
            </w:pPr>
          </w:p>
        </w:tc>
        <w:tc>
          <w:tcPr>
            <w:tcW w:w="7003" w:type="dxa"/>
            <w:gridSpan w:val="3"/>
          </w:tcPr>
          <w:p w14:paraId="61FF2AF9" w14:textId="1B669DCC" w:rsidR="00D711F2" w:rsidRDefault="00D711F2" w:rsidP="00917B78">
            <w:pPr>
              <w:rPr>
                <w:szCs w:val="24"/>
              </w:rPr>
            </w:pP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77F92375" w14:textId="77777777" w:rsidR="00485647" w:rsidRPr="00107DCF" w:rsidRDefault="00485647" w:rsidP="00485647">
            <w:pPr>
              <w:jc w:val="center"/>
              <w:rPr>
                <w:kern w:val="2"/>
              </w:rPr>
            </w:pPr>
            <w:r w:rsidRPr="00107DCF">
              <w:rPr>
                <w:kern w:val="2"/>
              </w:rPr>
              <w:t>Generalinė direktorė</w:t>
            </w:r>
          </w:p>
          <w:p w14:paraId="476BEAE4" w14:textId="2BD23A03" w:rsidR="002623B6" w:rsidRDefault="00485647" w:rsidP="00485647">
            <w:pPr>
              <w:jc w:val="center"/>
              <w:rPr>
                <w:color w:val="4472C4"/>
                <w:kern w:val="2"/>
                <w:szCs w:val="24"/>
              </w:rPr>
            </w:pPr>
            <w:r w:rsidRPr="00107DCF">
              <w:rPr>
                <w:kern w:val="2"/>
              </w:rPr>
              <w:t xml:space="preserve"> prof. dr. Diana </w:t>
            </w:r>
            <w:proofErr w:type="spellStart"/>
            <w:r w:rsidRPr="00107DCF">
              <w:rPr>
                <w:kern w:val="2"/>
              </w:rPr>
              <w:t>Žaliaduonytė</w:t>
            </w:r>
            <w:proofErr w:type="spellEnd"/>
          </w:p>
        </w:tc>
        <w:tc>
          <w:tcPr>
            <w:tcW w:w="4747" w:type="dxa"/>
          </w:tcPr>
          <w:p w14:paraId="121F083E" w14:textId="01005F14" w:rsidR="002623B6" w:rsidRPr="0025047F" w:rsidRDefault="0025047F" w:rsidP="002623B6">
            <w:pPr>
              <w:jc w:val="center"/>
              <w:rPr>
                <w:b/>
                <w:bCs/>
                <w:kern w:val="2"/>
                <w:szCs w:val="24"/>
              </w:rPr>
            </w:pPr>
            <w:r w:rsidRPr="0025047F">
              <w:rPr>
                <w:kern w:val="2"/>
                <w:szCs w:val="24"/>
              </w:rPr>
              <w:t>Direktorius Juozas Devižis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Pr="0025047F" w:rsidRDefault="002623B6" w:rsidP="002623B6">
            <w:pPr>
              <w:jc w:val="center"/>
              <w:rPr>
                <w:b/>
                <w:bCs/>
                <w:kern w:val="2"/>
                <w:szCs w:val="24"/>
              </w:rPr>
            </w:pPr>
          </w:p>
          <w:p w14:paraId="4A53ADD1" w14:textId="77777777" w:rsidR="002623B6" w:rsidRPr="0025047F" w:rsidRDefault="002623B6" w:rsidP="002623B6">
            <w:pPr>
              <w:jc w:val="center"/>
              <w:rPr>
                <w:b/>
                <w:bCs/>
                <w:kern w:val="2"/>
                <w:szCs w:val="24"/>
              </w:rPr>
            </w:pPr>
            <w:r w:rsidRPr="0025047F">
              <w:rPr>
                <w:b/>
                <w:bCs/>
                <w:kern w:val="2"/>
                <w:szCs w:val="24"/>
              </w:rPr>
              <w:t>(parašas)</w:t>
            </w:r>
          </w:p>
        </w:tc>
      </w:tr>
    </w:tbl>
    <w:p w14:paraId="53778507" w14:textId="77777777" w:rsidR="00EE4096" w:rsidRDefault="00EE4096" w:rsidP="00D142FF">
      <w:pPr>
        <w:tabs>
          <w:tab w:val="left" w:pos="3690"/>
        </w:tabs>
        <w:rPr>
          <w:szCs w:val="24"/>
        </w:rPr>
      </w:pPr>
    </w:p>
    <w:p w14:paraId="59554D98" w14:textId="77777777" w:rsidR="00126ACA" w:rsidRDefault="00126ACA" w:rsidP="00D142FF">
      <w:pPr>
        <w:tabs>
          <w:tab w:val="left" w:pos="3690"/>
        </w:tabs>
        <w:rPr>
          <w:szCs w:val="24"/>
        </w:rPr>
      </w:pPr>
    </w:p>
    <w:p w14:paraId="55A1561D" w14:textId="77777777" w:rsidR="00126ACA" w:rsidRDefault="00126ACA" w:rsidP="00D142FF">
      <w:pPr>
        <w:tabs>
          <w:tab w:val="left" w:pos="3690"/>
        </w:tabs>
        <w:rPr>
          <w:szCs w:val="24"/>
        </w:rPr>
      </w:pPr>
    </w:p>
    <w:p w14:paraId="036BFC76" w14:textId="77777777" w:rsidR="00126ACA" w:rsidRDefault="00126ACA" w:rsidP="00D142FF">
      <w:pPr>
        <w:tabs>
          <w:tab w:val="left" w:pos="3690"/>
        </w:tabs>
        <w:rPr>
          <w:szCs w:val="24"/>
        </w:rPr>
      </w:pPr>
    </w:p>
    <w:p w14:paraId="62B88C55" w14:textId="77777777" w:rsidR="00126ACA" w:rsidRDefault="00126ACA" w:rsidP="00D142FF">
      <w:pPr>
        <w:tabs>
          <w:tab w:val="left" w:pos="3690"/>
        </w:tabs>
        <w:rPr>
          <w:szCs w:val="24"/>
        </w:rPr>
      </w:pPr>
    </w:p>
    <w:p w14:paraId="76FC82E0" w14:textId="77777777" w:rsidR="00126ACA" w:rsidRDefault="00126ACA" w:rsidP="00D142FF">
      <w:pPr>
        <w:tabs>
          <w:tab w:val="left" w:pos="3690"/>
        </w:tabs>
        <w:rPr>
          <w:szCs w:val="24"/>
        </w:rPr>
      </w:pPr>
    </w:p>
    <w:p w14:paraId="36E76B85" w14:textId="77777777" w:rsidR="00126ACA" w:rsidRDefault="00126ACA" w:rsidP="00D142FF">
      <w:pPr>
        <w:tabs>
          <w:tab w:val="left" w:pos="3690"/>
        </w:tabs>
        <w:rPr>
          <w:szCs w:val="24"/>
        </w:rPr>
      </w:pPr>
    </w:p>
    <w:p w14:paraId="1BCB38D2" w14:textId="77777777" w:rsidR="00126ACA" w:rsidRDefault="00126ACA" w:rsidP="00D142FF">
      <w:pPr>
        <w:tabs>
          <w:tab w:val="left" w:pos="3690"/>
        </w:tabs>
        <w:rPr>
          <w:szCs w:val="24"/>
        </w:rPr>
      </w:pPr>
    </w:p>
    <w:p w14:paraId="2EE000F3" w14:textId="77777777" w:rsidR="00126ACA" w:rsidRDefault="00126ACA" w:rsidP="00D142FF">
      <w:pPr>
        <w:tabs>
          <w:tab w:val="left" w:pos="3690"/>
        </w:tabs>
        <w:rPr>
          <w:szCs w:val="24"/>
        </w:rPr>
      </w:pPr>
    </w:p>
    <w:p w14:paraId="4846E250" w14:textId="77777777" w:rsidR="00126ACA" w:rsidRDefault="00126ACA" w:rsidP="00D142FF">
      <w:pPr>
        <w:tabs>
          <w:tab w:val="left" w:pos="3690"/>
        </w:tabs>
        <w:rPr>
          <w:szCs w:val="24"/>
        </w:rPr>
        <w:sectPr w:rsidR="00126ACA"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69602BA6" w14:textId="77777777" w:rsidR="00126ACA" w:rsidRDefault="00126ACA" w:rsidP="00126ACA">
      <w:pPr>
        <w:pStyle w:val="prastasis1"/>
        <w:spacing w:after="0" w:line="240" w:lineRule="auto"/>
        <w:jc w:val="right"/>
        <w:rPr>
          <w:rFonts w:ascii="Times New Roman" w:eastAsia="Times New Roman" w:hAnsi="Times New Roman"/>
          <w:color w:val="000000"/>
          <w:sz w:val="24"/>
          <w:szCs w:val="24"/>
          <w:lang w:eastAsia="lt-LT"/>
        </w:rPr>
      </w:pPr>
      <w:r>
        <w:rPr>
          <w:b/>
          <w:bCs/>
          <w:color w:val="000000"/>
          <w:szCs w:val="24"/>
        </w:rPr>
        <w:lastRenderedPageBreak/>
        <w:t xml:space="preserve">                                                                      </w:t>
      </w:r>
      <w:r>
        <w:rPr>
          <w:rFonts w:ascii="Times New Roman" w:eastAsia="Times New Roman" w:hAnsi="Times New Roman"/>
          <w:color w:val="000000"/>
          <w:sz w:val="24"/>
          <w:szCs w:val="24"/>
          <w:lang w:eastAsia="lt-LT"/>
        </w:rPr>
        <w:t xml:space="preserve">Pirkimo – pardavimo Sutarties </w:t>
      </w:r>
      <w:r w:rsidRPr="003B12C7">
        <w:rPr>
          <w:rFonts w:ascii="Times New Roman" w:eastAsia="Times New Roman" w:hAnsi="Times New Roman"/>
          <w:color w:val="000000"/>
          <w:sz w:val="24"/>
          <w:szCs w:val="24"/>
          <w:lang w:eastAsia="lt-LT"/>
        </w:rPr>
        <w:t xml:space="preserve">1 priedas </w:t>
      </w:r>
    </w:p>
    <w:p w14:paraId="297776E4" w14:textId="77777777" w:rsidR="00126ACA" w:rsidRDefault="00126ACA" w:rsidP="00126ACA">
      <w:pPr>
        <w:tabs>
          <w:tab w:val="left" w:pos="-142"/>
        </w:tabs>
        <w:ind w:left="3119" w:hanging="1276"/>
        <w:rPr>
          <w:b/>
          <w:bCs/>
          <w:color w:val="000000"/>
        </w:rPr>
      </w:pPr>
    </w:p>
    <w:p w14:paraId="6718DEC5" w14:textId="77777777" w:rsidR="00126ACA" w:rsidRDefault="00126ACA" w:rsidP="00126ACA">
      <w:pPr>
        <w:tabs>
          <w:tab w:val="left" w:pos="-142"/>
        </w:tabs>
        <w:ind w:left="3119" w:hanging="1276"/>
        <w:rPr>
          <w:b/>
          <w:bCs/>
          <w:color w:val="000000"/>
        </w:rPr>
      </w:pPr>
      <w:r>
        <w:rPr>
          <w:b/>
          <w:bCs/>
          <w:color w:val="000000"/>
        </w:rPr>
        <w:t>VIENKARTINIŲ MEDICININIŲ PRIEMONIŲ PIRKIMO</w:t>
      </w:r>
      <w:r w:rsidRPr="003B12C7">
        <w:rPr>
          <w:b/>
          <w:bCs/>
          <w:color w:val="000000"/>
        </w:rPr>
        <w:t xml:space="preserve"> TECHNINĖ SPECIFIKACIJA,</w:t>
      </w:r>
      <w:r>
        <w:rPr>
          <w:b/>
          <w:bCs/>
          <w:color w:val="000000"/>
        </w:rPr>
        <w:t xml:space="preserve">          </w:t>
      </w:r>
    </w:p>
    <w:p w14:paraId="40271285" w14:textId="77777777" w:rsidR="00126ACA" w:rsidRDefault="00126ACA" w:rsidP="00126ACA">
      <w:pPr>
        <w:tabs>
          <w:tab w:val="left" w:pos="-142"/>
        </w:tabs>
        <w:ind w:left="6804" w:hanging="2410"/>
        <w:rPr>
          <w:b/>
          <w:bCs/>
          <w:color w:val="000000"/>
        </w:rPr>
      </w:pPr>
      <w:r w:rsidRPr="003B12C7">
        <w:rPr>
          <w:b/>
          <w:bCs/>
          <w:color w:val="000000"/>
        </w:rPr>
        <w:t xml:space="preserve"> MAKSIMALUS PREKIŲ KIEKIS, ĮKAINIAI</w:t>
      </w:r>
    </w:p>
    <w:p w14:paraId="17FBA6CA" w14:textId="77777777" w:rsidR="009C635A" w:rsidRDefault="009C635A" w:rsidP="00126ACA">
      <w:pPr>
        <w:tabs>
          <w:tab w:val="left" w:pos="-142"/>
        </w:tabs>
        <w:ind w:left="6804" w:hanging="2410"/>
        <w:rPr>
          <w:b/>
          <w:bCs/>
          <w:color w:val="000000"/>
        </w:rPr>
      </w:pPr>
    </w:p>
    <w:tbl>
      <w:tblPr>
        <w:tblW w:w="14459" w:type="dxa"/>
        <w:tblInd w:w="-856" w:type="dxa"/>
        <w:tblLook w:val="04A0" w:firstRow="1" w:lastRow="0" w:firstColumn="1" w:lastColumn="0" w:noHBand="0" w:noVBand="1"/>
      </w:tblPr>
      <w:tblGrid>
        <w:gridCol w:w="993"/>
        <w:gridCol w:w="2935"/>
        <w:gridCol w:w="850"/>
        <w:gridCol w:w="993"/>
        <w:gridCol w:w="865"/>
        <w:gridCol w:w="931"/>
        <w:gridCol w:w="1081"/>
        <w:gridCol w:w="2693"/>
        <w:gridCol w:w="3118"/>
      </w:tblGrid>
      <w:tr w:rsidR="009C3B3D" w:rsidRPr="009C3B3D" w14:paraId="1C3DC119" w14:textId="77777777" w:rsidTr="009C3B3D">
        <w:trPr>
          <w:trHeight w:val="1104"/>
        </w:trPr>
        <w:tc>
          <w:tcPr>
            <w:tcW w:w="993"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323E36A3"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Pirkimo dalies Nr.</w:t>
            </w:r>
          </w:p>
        </w:tc>
        <w:tc>
          <w:tcPr>
            <w:tcW w:w="2935" w:type="dxa"/>
            <w:tcBorders>
              <w:top w:val="single" w:sz="4" w:space="0" w:color="000000"/>
              <w:left w:val="nil"/>
              <w:bottom w:val="single" w:sz="4" w:space="0" w:color="000000"/>
              <w:right w:val="single" w:sz="4" w:space="0" w:color="000000"/>
            </w:tcBorders>
            <w:shd w:val="clear" w:color="BFBFBF" w:fill="FFFFFF"/>
            <w:vAlign w:val="center"/>
            <w:hideMark/>
          </w:tcPr>
          <w:p w14:paraId="17C2D818"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Pavadinimas</w:t>
            </w:r>
          </w:p>
        </w:tc>
        <w:tc>
          <w:tcPr>
            <w:tcW w:w="850" w:type="dxa"/>
            <w:tcBorders>
              <w:top w:val="single" w:sz="4" w:space="0" w:color="000000"/>
              <w:left w:val="nil"/>
              <w:bottom w:val="single" w:sz="4" w:space="0" w:color="000000"/>
              <w:right w:val="single" w:sz="4" w:space="0" w:color="000000"/>
            </w:tcBorders>
            <w:shd w:val="clear" w:color="BFBFBF" w:fill="FFFFFF"/>
            <w:vAlign w:val="center"/>
            <w:hideMark/>
          </w:tcPr>
          <w:p w14:paraId="28E8D222"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Kiekis</w:t>
            </w:r>
          </w:p>
        </w:tc>
        <w:tc>
          <w:tcPr>
            <w:tcW w:w="993" w:type="dxa"/>
            <w:tcBorders>
              <w:top w:val="single" w:sz="4" w:space="0" w:color="000000"/>
              <w:left w:val="nil"/>
              <w:bottom w:val="single" w:sz="4" w:space="0" w:color="000000"/>
              <w:right w:val="single" w:sz="4" w:space="0" w:color="000000"/>
            </w:tcBorders>
            <w:shd w:val="clear" w:color="BFBFBF" w:fill="FFFFFF"/>
            <w:vAlign w:val="center"/>
            <w:hideMark/>
          </w:tcPr>
          <w:p w14:paraId="06D22BC9"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Mato vienetas</w:t>
            </w:r>
          </w:p>
        </w:tc>
        <w:tc>
          <w:tcPr>
            <w:tcW w:w="865" w:type="dxa"/>
            <w:tcBorders>
              <w:top w:val="single" w:sz="4" w:space="0" w:color="000000"/>
              <w:left w:val="nil"/>
              <w:bottom w:val="single" w:sz="4" w:space="0" w:color="000000"/>
              <w:right w:val="single" w:sz="4" w:space="0" w:color="000000"/>
            </w:tcBorders>
            <w:shd w:val="clear" w:color="BFBFBF" w:fill="FFFFFF"/>
            <w:vAlign w:val="center"/>
            <w:hideMark/>
          </w:tcPr>
          <w:p w14:paraId="47E671CB"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Įkainis be PVM, Eur</w:t>
            </w:r>
          </w:p>
        </w:tc>
        <w:tc>
          <w:tcPr>
            <w:tcW w:w="931" w:type="dxa"/>
            <w:tcBorders>
              <w:top w:val="single" w:sz="4" w:space="0" w:color="000000"/>
              <w:left w:val="nil"/>
              <w:bottom w:val="single" w:sz="4" w:space="0" w:color="000000"/>
              <w:right w:val="single" w:sz="4" w:space="0" w:color="000000"/>
            </w:tcBorders>
            <w:shd w:val="clear" w:color="BFBFBF" w:fill="FFFFFF"/>
            <w:vAlign w:val="center"/>
            <w:hideMark/>
          </w:tcPr>
          <w:p w14:paraId="6EA8664A"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Suma be PVM, Eur</w:t>
            </w:r>
          </w:p>
        </w:tc>
        <w:tc>
          <w:tcPr>
            <w:tcW w:w="1081" w:type="dxa"/>
            <w:tcBorders>
              <w:top w:val="single" w:sz="4" w:space="0" w:color="000000"/>
              <w:left w:val="nil"/>
              <w:bottom w:val="single" w:sz="4" w:space="0" w:color="000000"/>
              <w:right w:val="single" w:sz="4" w:space="0" w:color="000000"/>
            </w:tcBorders>
            <w:shd w:val="clear" w:color="BFBFBF" w:fill="FFFFFF"/>
            <w:vAlign w:val="center"/>
            <w:hideMark/>
          </w:tcPr>
          <w:p w14:paraId="4D691427"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Suma su PVM, Eur</w:t>
            </w:r>
          </w:p>
        </w:tc>
        <w:tc>
          <w:tcPr>
            <w:tcW w:w="2693" w:type="dxa"/>
            <w:tcBorders>
              <w:top w:val="single" w:sz="4" w:space="0" w:color="000000"/>
              <w:left w:val="nil"/>
              <w:bottom w:val="single" w:sz="4" w:space="0" w:color="000000"/>
              <w:right w:val="single" w:sz="4" w:space="0" w:color="000000"/>
            </w:tcBorders>
            <w:shd w:val="clear" w:color="BFBFBF" w:fill="FFFFFF"/>
            <w:vAlign w:val="center"/>
            <w:hideMark/>
          </w:tcPr>
          <w:p w14:paraId="5336EBF7"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Siūlomos prekės pavadinimas, gamintojas, kodas</w:t>
            </w:r>
          </w:p>
        </w:tc>
        <w:tc>
          <w:tcPr>
            <w:tcW w:w="3118" w:type="dxa"/>
            <w:tcBorders>
              <w:top w:val="single" w:sz="4" w:space="0" w:color="000000"/>
              <w:left w:val="nil"/>
              <w:bottom w:val="single" w:sz="4" w:space="0" w:color="000000"/>
              <w:right w:val="single" w:sz="4" w:space="0" w:color="000000"/>
            </w:tcBorders>
            <w:shd w:val="clear" w:color="BFBFBF" w:fill="FFFFFF"/>
            <w:vAlign w:val="center"/>
            <w:hideMark/>
          </w:tcPr>
          <w:p w14:paraId="7D074DBA"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 xml:space="preserve">Tiekėjo siūlomi </w:t>
            </w:r>
            <w:proofErr w:type="spellStart"/>
            <w:r w:rsidRPr="009C3B3D">
              <w:rPr>
                <w:b/>
                <w:bCs/>
                <w:color w:val="000000"/>
                <w:sz w:val="22"/>
                <w:szCs w:val="22"/>
                <w:lang w:eastAsia="lt-LT"/>
              </w:rPr>
              <w:t>parametra</w:t>
            </w:r>
            <w:proofErr w:type="spellEnd"/>
          </w:p>
        </w:tc>
      </w:tr>
      <w:tr w:rsidR="009C3B3D" w:rsidRPr="009C3B3D" w14:paraId="09FCBFBC" w14:textId="77777777" w:rsidTr="009C3B3D">
        <w:trPr>
          <w:trHeight w:val="276"/>
        </w:trPr>
        <w:tc>
          <w:tcPr>
            <w:tcW w:w="993" w:type="dxa"/>
            <w:tcBorders>
              <w:top w:val="nil"/>
              <w:left w:val="single" w:sz="4" w:space="0" w:color="000000"/>
              <w:bottom w:val="single" w:sz="4" w:space="0" w:color="000000"/>
              <w:right w:val="single" w:sz="4" w:space="0" w:color="000000"/>
            </w:tcBorders>
            <w:shd w:val="clear" w:color="BFBFBF" w:fill="FFFFFF"/>
            <w:vAlign w:val="center"/>
            <w:hideMark/>
          </w:tcPr>
          <w:p w14:paraId="08259E8C"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25</w:t>
            </w:r>
          </w:p>
        </w:tc>
        <w:tc>
          <w:tcPr>
            <w:tcW w:w="2935" w:type="dxa"/>
            <w:tcBorders>
              <w:top w:val="nil"/>
              <w:left w:val="nil"/>
              <w:bottom w:val="single" w:sz="4" w:space="0" w:color="000000"/>
              <w:right w:val="single" w:sz="4" w:space="0" w:color="000000"/>
            </w:tcBorders>
            <w:shd w:val="clear" w:color="BFBFBF" w:fill="FFFFFF"/>
            <w:vAlign w:val="center"/>
            <w:hideMark/>
          </w:tcPr>
          <w:p w14:paraId="264018C2"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Antklodė</w:t>
            </w:r>
          </w:p>
        </w:tc>
        <w:tc>
          <w:tcPr>
            <w:tcW w:w="850" w:type="dxa"/>
            <w:tcBorders>
              <w:top w:val="nil"/>
              <w:left w:val="nil"/>
              <w:bottom w:val="single" w:sz="4" w:space="0" w:color="000000"/>
              <w:right w:val="single" w:sz="4" w:space="0" w:color="000000"/>
            </w:tcBorders>
            <w:shd w:val="clear" w:color="BFBFBF" w:fill="FFFFFF"/>
            <w:vAlign w:val="center"/>
            <w:hideMark/>
          </w:tcPr>
          <w:p w14:paraId="0402914A"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vAlign w:val="center"/>
            <w:hideMark/>
          </w:tcPr>
          <w:p w14:paraId="718C69F2"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32C94D3F"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vAlign w:val="center"/>
            <w:hideMark/>
          </w:tcPr>
          <w:p w14:paraId="6FA525C0"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 </w:t>
            </w:r>
          </w:p>
        </w:tc>
        <w:tc>
          <w:tcPr>
            <w:tcW w:w="1081" w:type="dxa"/>
            <w:tcBorders>
              <w:top w:val="nil"/>
              <w:left w:val="nil"/>
              <w:bottom w:val="single" w:sz="4" w:space="0" w:color="000000"/>
              <w:right w:val="single" w:sz="4" w:space="0" w:color="000000"/>
            </w:tcBorders>
            <w:shd w:val="clear" w:color="BFBFBF" w:fill="FFFFFF"/>
            <w:vAlign w:val="center"/>
            <w:hideMark/>
          </w:tcPr>
          <w:p w14:paraId="2DA63BF9"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5D5797CC"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 </w:t>
            </w:r>
          </w:p>
        </w:tc>
        <w:tc>
          <w:tcPr>
            <w:tcW w:w="3118" w:type="dxa"/>
            <w:tcBorders>
              <w:top w:val="nil"/>
              <w:left w:val="nil"/>
              <w:bottom w:val="single" w:sz="4" w:space="0" w:color="000000"/>
              <w:right w:val="single" w:sz="4" w:space="0" w:color="000000"/>
            </w:tcBorders>
            <w:shd w:val="clear" w:color="BFBFBF" w:fill="FFFFFF"/>
            <w:vAlign w:val="center"/>
            <w:hideMark/>
          </w:tcPr>
          <w:p w14:paraId="04674CDF"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 </w:t>
            </w:r>
          </w:p>
        </w:tc>
      </w:tr>
      <w:tr w:rsidR="009C3B3D" w:rsidRPr="009C3B3D" w14:paraId="6EE31053" w14:textId="77777777" w:rsidTr="009C3B3D">
        <w:trPr>
          <w:trHeight w:val="1104"/>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40545608" w14:textId="77777777" w:rsidR="009C3B3D" w:rsidRPr="009C3B3D" w:rsidRDefault="009C3B3D" w:rsidP="009C3B3D">
            <w:pPr>
              <w:rPr>
                <w:color w:val="000000"/>
                <w:sz w:val="22"/>
                <w:szCs w:val="22"/>
                <w:lang w:eastAsia="lt-LT"/>
              </w:rPr>
            </w:pPr>
            <w:r w:rsidRPr="009C3B3D">
              <w:rPr>
                <w:color w:val="000000"/>
                <w:sz w:val="22"/>
                <w:szCs w:val="22"/>
                <w:lang w:eastAsia="lt-LT"/>
              </w:rPr>
              <w:t>25.1.</w:t>
            </w:r>
          </w:p>
        </w:tc>
        <w:tc>
          <w:tcPr>
            <w:tcW w:w="2935" w:type="dxa"/>
            <w:tcBorders>
              <w:top w:val="nil"/>
              <w:left w:val="nil"/>
              <w:bottom w:val="single" w:sz="4" w:space="0" w:color="000000"/>
              <w:right w:val="single" w:sz="4" w:space="0" w:color="000000"/>
            </w:tcBorders>
            <w:shd w:val="clear" w:color="BFBFBF" w:fill="FFFFFF"/>
            <w:vAlign w:val="center"/>
            <w:hideMark/>
          </w:tcPr>
          <w:p w14:paraId="7E75365C" w14:textId="77777777" w:rsidR="009C3B3D" w:rsidRPr="009C3B3D" w:rsidRDefault="009C3B3D" w:rsidP="009C3B3D">
            <w:pPr>
              <w:rPr>
                <w:color w:val="000000"/>
                <w:sz w:val="22"/>
                <w:szCs w:val="22"/>
                <w:lang w:eastAsia="lt-LT"/>
              </w:rPr>
            </w:pPr>
            <w:r w:rsidRPr="009C3B3D">
              <w:rPr>
                <w:color w:val="000000"/>
                <w:sz w:val="22"/>
                <w:szCs w:val="22"/>
                <w:lang w:eastAsia="lt-LT"/>
              </w:rPr>
              <w:t>Antklodė</w:t>
            </w:r>
          </w:p>
        </w:tc>
        <w:tc>
          <w:tcPr>
            <w:tcW w:w="850" w:type="dxa"/>
            <w:tcBorders>
              <w:top w:val="nil"/>
              <w:left w:val="nil"/>
              <w:bottom w:val="single" w:sz="4" w:space="0" w:color="000000"/>
              <w:right w:val="single" w:sz="4" w:space="0" w:color="000000"/>
            </w:tcBorders>
            <w:shd w:val="clear" w:color="BFBFBF" w:fill="FFFFFF"/>
            <w:noWrap/>
            <w:vAlign w:val="center"/>
            <w:hideMark/>
          </w:tcPr>
          <w:p w14:paraId="71B3763C" w14:textId="77777777" w:rsidR="009C3B3D" w:rsidRPr="009C3B3D" w:rsidRDefault="009C3B3D" w:rsidP="009C3B3D">
            <w:pPr>
              <w:jc w:val="center"/>
              <w:rPr>
                <w:color w:val="000000"/>
                <w:sz w:val="22"/>
                <w:szCs w:val="22"/>
                <w:lang w:eastAsia="lt-LT"/>
              </w:rPr>
            </w:pPr>
            <w:r w:rsidRPr="009C3B3D">
              <w:rPr>
                <w:color w:val="000000"/>
                <w:sz w:val="22"/>
                <w:szCs w:val="22"/>
                <w:lang w:eastAsia="lt-LT"/>
              </w:rPr>
              <w:t>250</w:t>
            </w:r>
          </w:p>
        </w:tc>
        <w:tc>
          <w:tcPr>
            <w:tcW w:w="993" w:type="dxa"/>
            <w:tcBorders>
              <w:top w:val="nil"/>
              <w:left w:val="nil"/>
              <w:bottom w:val="single" w:sz="4" w:space="0" w:color="000000"/>
              <w:right w:val="single" w:sz="4" w:space="0" w:color="000000"/>
            </w:tcBorders>
            <w:shd w:val="clear" w:color="BFBFBF" w:fill="FFFFFF"/>
            <w:noWrap/>
            <w:vAlign w:val="center"/>
            <w:hideMark/>
          </w:tcPr>
          <w:p w14:paraId="0CCBBDBB" w14:textId="77777777" w:rsidR="009C3B3D" w:rsidRPr="009C3B3D" w:rsidRDefault="009C3B3D" w:rsidP="009C3B3D">
            <w:pPr>
              <w:jc w:val="center"/>
              <w:rPr>
                <w:color w:val="000000"/>
                <w:sz w:val="22"/>
                <w:szCs w:val="22"/>
                <w:lang w:eastAsia="lt-LT"/>
              </w:rPr>
            </w:pPr>
            <w:proofErr w:type="spellStart"/>
            <w:r w:rsidRPr="009C3B3D">
              <w:rPr>
                <w:color w:val="000000"/>
                <w:sz w:val="22"/>
                <w:szCs w:val="22"/>
                <w:lang w:eastAsia="lt-LT"/>
              </w:rPr>
              <w:t>vnt</w:t>
            </w:r>
            <w:proofErr w:type="spellEnd"/>
          </w:p>
        </w:tc>
        <w:tc>
          <w:tcPr>
            <w:tcW w:w="865" w:type="dxa"/>
            <w:tcBorders>
              <w:top w:val="nil"/>
              <w:left w:val="nil"/>
              <w:bottom w:val="single" w:sz="4" w:space="0" w:color="000000"/>
              <w:right w:val="single" w:sz="4" w:space="0" w:color="000000"/>
            </w:tcBorders>
            <w:shd w:val="clear" w:color="FFFFFF" w:fill="FFFFFF"/>
            <w:vAlign w:val="center"/>
            <w:hideMark/>
          </w:tcPr>
          <w:p w14:paraId="7F3A71FE" w14:textId="77777777" w:rsidR="009C3B3D" w:rsidRPr="009C3B3D" w:rsidRDefault="009C3B3D" w:rsidP="009C3B3D">
            <w:pPr>
              <w:jc w:val="center"/>
              <w:rPr>
                <w:color w:val="000000"/>
                <w:sz w:val="22"/>
                <w:szCs w:val="22"/>
                <w:lang w:eastAsia="lt-LT"/>
              </w:rPr>
            </w:pPr>
            <w:r w:rsidRPr="009C3B3D">
              <w:rPr>
                <w:color w:val="000000"/>
                <w:sz w:val="22"/>
                <w:szCs w:val="22"/>
                <w:lang w:eastAsia="lt-LT"/>
              </w:rPr>
              <w:t>0,56</w:t>
            </w:r>
          </w:p>
        </w:tc>
        <w:tc>
          <w:tcPr>
            <w:tcW w:w="931" w:type="dxa"/>
            <w:tcBorders>
              <w:top w:val="nil"/>
              <w:left w:val="nil"/>
              <w:bottom w:val="single" w:sz="4" w:space="0" w:color="000000"/>
              <w:right w:val="single" w:sz="4" w:space="0" w:color="000000"/>
            </w:tcBorders>
            <w:shd w:val="clear" w:color="BFBFBF" w:fill="FFFFFF"/>
            <w:noWrap/>
            <w:vAlign w:val="center"/>
            <w:hideMark/>
          </w:tcPr>
          <w:p w14:paraId="00340CEC" w14:textId="77777777" w:rsidR="009C3B3D" w:rsidRPr="009C3B3D" w:rsidRDefault="009C3B3D" w:rsidP="009C3B3D">
            <w:pPr>
              <w:jc w:val="center"/>
              <w:rPr>
                <w:color w:val="000000"/>
                <w:sz w:val="22"/>
                <w:szCs w:val="22"/>
                <w:lang w:eastAsia="lt-LT"/>
              </w:rPr>
            </w:pPr>
            <w:r w:rsidRPr="009C3B3D">
              <w:rPr>
                <w:color w:val="000000"/>
                <w:sz w:val="22"/>
                <w:szCs w:val="22"/>
                <w:lang w:eastAsia="lt-LT"/>
              </w:rPr>
              <w:t>140,00</w:t>
            </w:r>
          </w:p>
        </w:tc>
        <w:tc>
          <w:tcPr>
            <w:tcW w:w="1081" w:type="dxa"/>
            <w:tcBorders>
              <w:top w:val="nil"/>
              <w:left w:val="nil"/>
              <w:bottom w:val="single" w:sz="4" w:space="0" w:color="000000"/>
              <w:right w:val="single" w:sz="4" w:space="0" w:color="000000"/>
            </w:tcBorders>
            <w:shd w:val="clear" w:color="BFBFBF" w:fill="FFFFFF"/>
            <w:noWrap/>
            <w:vAlign w:val="center"/>
            <w:hideMark/>
          </w:tcPr>
          <w:p w14:paraId="67E05FB9" w14:textId="77777777" w:rsidR="009C3B3D" w:rsidRPr="009C3B3D" w:rsidRDefault="009C3B3D" w:rsidP="009C3B3D">
            <w:pPr>
              <w:jc w:val="center"/>
              <w:rPr>
                <w:color w:val="000000"/>
                <w:sz w:val="22"/>
                <w:szCs w:val="22"/>
                <w:lang w:eastAsia="lt-LT"/>
              </w:rPr>
            </w:pPr>
            <w:r w:rsidRPr="009C3B3D">
              <w:rPr>
                <w:color w:val="000000"/>
                <w:sz w:val="22"/>
                <w:szCs w:val="22"/>
                <w:lang w:eastAsia="lt-LT"/>
              </w:rPr>
              <w:t>147,00</w:t>
            </w:r>
          </w:p>
        </w:tc>
        <w:tc>
          <w:tcPr>
            <w:tcW w:w="2693" w:type="dxa"/>
            <w:tcBorders>
              <w:top w:val="nil"/>
              <w:left w:val="nil"/>
              <w:bottom w:val="single" w:sz="4" w:space="0" w:color="000000"/>
              <w:right w:val="single" w:sz="4" w:space="0" w:color="000000"/>
            </w:tcBorders>
            <w:shd w:val="clear" w:color="FFFFFF" w:fill="FFFFFF"/>
            <w:vAlign w:val="center"/>
            <w:hideMark/>
          </w:tcPr>
          <w:p w14:paraId="25C51992" w14:textId="77777777" w:rsidR="009C3B3D" w:rsidRPr="009C3B3D" w:rsidRDefault="009C3B3D" w:rsidP="009C3B3D">
            <w:pPr>
              <w:rPr>
                <w:color w:val="000000"/>
                <w:sz w:val="22"/>
                <w:szCs w:val="22"/>
                <w:lang w:eastAsia="lt-LT"/>
              </w:rPr>
            </w:pPr>
            <w:r w:rsidRPr="009C3B3D">
              <w:rPr>
                <w:color w:val="000000"/>
                <w:sz w:val="22"/>
                <w:szCs w:val="22"/>
                <w:lang w:eastAsia="lt-LT"/>
              </w:rPr>
              <w:t xml:space="preserve">Antklodė pirmos pagalbos 160x210 cm/ </w:t>
            </w:r>
            <w:proofErr w:type="spellStart"/>
            <w:r w:rsidRPr="009C3B3D">
              <w:rPr>
                <w:color w:val="000000"/>
                <w:sz w:val="22"/>
                <w:szCs w:val="22"/>
                <w:lang w:eastAsia="lt-LT"/>
              </w:rPr>
              <w:t>Zarys</w:t>
            </w:r>
            <w:proofErr w:type="spellEnd"/>
            <w:r w:rsidRPr="009C3B3D">
              <w:rPr>
                <w:color w:val="000000"/>
                <w:sz w:val="22"/>
                <w:szCs w:val="22"/>
                <w:lang w:eastAsia="lt-LT"/>
              </w:rPr>
              <w:t xml:space="preserve"> International Group/KR160210    </w:t>
            </w:r>
          </w:p>
        </w:tc>
        <w:tc>
          <w:tcPr>
            <w:tcW w:w="3118" w:type="dxa"/>
            <w:tcBorders>
              <w:top w:val="nil"/>
              <w:left w:val="nil"/>
              <w:bottom w:val="single" w:sz="4" w:space="0" w:color="000000"/>
              <w:right w:val="single" w:sz="4" w:space="0" w:color="000000"/>
            </w:tcBorders>
            <w:shd w:val="clear" w:color="BFBFBF" w:fill="FFFFFF"/>
            <w:vAlign w:val="center"/>
            <w:hideMark/>
          </w:tcPr>
          <w:p w14:paraId="1572C458"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r>
      <w:tr w:rsidR="009C3B3D" w:rsidRPr="009C3B3D" w14:paraId="5D0ADCAE" w14:textId="77777777" w:rsidTr="009C3B3D">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17F62E60" w14:textId="77777777" w:rsidR="009C3B3D" w:rsidRPr="009C3B3D" w:rsidRDefault="009C3B3D" w:rsidP="009C3B3D">
            <w:pPr>
              <w:rPr>
                <w:color w:val="000000"/>
                <w:sz w:val="22"/>
                <w:szCs w:val="22"/>
                <w:lang w:eastAsia="lt-LT"/>
              </w:rPr>
            </w:pPr>
            <w:r w:rsidRPr="009C3B3D">
              <w:rPr>
                <w:color w:val="000000"/>
                <w:sz w:val="22"/>
                <w:szCs w:val="22"/>
                <w:lang w:eastAsia="lt-LT"/>
              </w:rPr>
              <w:t>25.1.1.</w:t>
            </w:r>
          </w:p>
        </w:tc>
        <w:tc>
          <w:tcPr>
            <w:tcW w:w="2935" w:type="dxa"/>
            <w:tcBorders>
              <w:top w:val="nil"/>
              <w:left w:val="nil"/>
              <w:bottom w:val="single" w:sz="4" w:space="0" w:color="000000"/>
              <w:right w:val="single" w:sz="4" w:space="0" w:color="000000"/>
            </w:tcBorders>
            <w:shd w:val="clear" w:color="BFBFBF" w:fill="FFFFFF"/>
            <w:vAlign w:val="center"/>
            <w:hideMark/>
          </w:tcPr>
          <w:p w14:paraId="5A5DD3D8" w14:textId="77777777" w:rsidR="009C3B3D" w:rsidRPr="009C3B3D" w:rsidRDefault="009C3B3D" w:rsidP="009C3B3D">
            <w:pPr>
              <w:rPr>
                <w:color w:val="000000"/>
                <w:sz w:val="22"/>
                <w:szCs w:val="22"/>
                <w:lang w:eastAsia="lt-LT"/>
              </w:rPr>
            </w:pPr>
            <w:r w:rsidRPr="009C3B3D">
              <w:rPr>
                <w:color w:val="000000"/>
                <w:sz w:val="22"/>
                <w:szCs w:val="22"/>
                <w:lang w:eastAsia="lt-LT"/>
              </w:rPr>
              <w:t>Skirta paguldyti ar apkloti nukentėjusį</w:t>
            </w:r>
          </w:p>
        </w:tc>
        <w:tc>
          <w:tcPr>
            <w:tcW w:w="850" w:type="dxa"/>
            <w:tcBorders>
              <w:top w:val="nil"/>
              <w:left w:val="nil"/>
              <w:bottom w:val="single" w:sz="4" w:space="0" w:color="000000"/>
              <w:right w:val="single" w:sz="4" w:space="0" w:color="000000"/>
            </w:tcBorders>
            <w:shd w:val="clear" w:color="BFBFBF" w:fill="FFFFFF"/>
            <w:noWrap/>
            <w:vAlign w:val="center"/>
            <w:hideMark/>
          </w:tcPr>
          <w:p w14:paraId="5C94DD6F"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55FFCE9A"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51A5DDA2"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center"/>
            <w:hideMark/>
          </w:tcPr>
          <w:p w14:paraId="63347B12"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1081" w:type="dxa"/>
            <w:tcBorders>
              <w:top w:val="nil"/>
              <w:left w:val="nil"/>
              <w:bottom w:val="single" w:sz="4" w:space="0" w:color="000000"/>
              <w:right w:val="single" w:sz="4" w:space="0" w:color="000000"/>
            </w:tcBorders>
            <w:shd w:val="clear" w:color="BFBFBF" w:fill="FFFFFF"/>
            <w:noWrap/>
            <w:vAlign w:val="center"/>
            <w:hideMark/>
          </w:tcPr>
          <w:p w14:paraId="6F625EF7"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2BE22C7B"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3118" w:type="dxa"/>
            <w:tcBorders>
              <w:top w:val="nil"/>
              <w:left w:val="nil"/>
              <w:bottom w:val="single" w:sz="4" w:space="0" w:color="000000"/>
              <w:right w:val="single" w:sz="4" w:space="0" w:color="000000"/>
            </w:tcBorders>
            <w:shd w:val="clear" w:color="000000" w:fill="FFFFFF"/>
            <w:vAlign w:val="center"/>
            <w:hideMark/>
          </w:tcPr>
          <w:p w14:paraId="1ED1432D" w14:textId="77777777" w:rsidR="009C3B3D" w:rsidRPr="009C3B3D" w:rsidRDefault="009C3B3D" w:rsidP="009C3B3D">
            <w:pPr>
              <w:rPr>
                <w:color w:val="000000"/>
                <w:sz w:val="22"/>
                <w:szCs w:val="22"/>
                <w:lang w:eastAsia="lt-LT"/>
              </w:rPr>
            </w:pPr>
            <w:r w:rsidRPr="009C3B3D">
              <w:rPr>
                <w:color w:val="000000"/>
                <w:sz w:val="22"/>
                <w:szCs w:val="22"/>
                <w:lang w:eastAsia="lt-LT"/>
              </w:rPr>
              <w:t>Skirta paguldyti ar apkloti nukentėjusį</w:t>
            </w:r>
          </w:p>
        </w:tc>
      </w:tr>
      <w:tr w:rsidR="009C3B3D" w:rsidRPr="009C3B3D" w14:paraId="6780255D" w14:textId="77777777" w:rsidTr="009C3B3D">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4C0D60F" w14:textId="77777777" w:rsidR="009C3B3D" w:rsidRPr="009C3B3D" w:rsidRDefault="009C3B3D" w:rsidP="009C3B3D">
            <w:pPr>
              <w:rPr>
                <w:color w:val="000000"/>
                <w:sz w:val="22"/>
                <w:szCs w:val="22"/>
                <w:lang w:eastAsia="lt-LT"/>
              </w:rPr>
            </w:pPr>
            <w:r w:rsidRPr="009C3B3D">
              <w:rPr>
                <w:color w:val="000000"/>
                <w:sz w:val="22"/>
                <w:szCs w:val="22"/>
                <w:lang w:eastAsia="lt-LT"/>
              </w:rPr>
              <w:t>25.1.2.</w:t>
            </w:r>
          </w:p>
        </w:tc>
        <w:tc>
          <w:tcPr>
            <w:tcW w:w="2935" w:type="dxa"/>
            <w:tcBorders>
              <w:top w:val="nil"/>
              <w:left w:val="nil"/>
              <w:bottom w:val="single" w:sz="4" w:space="0" w:color="000000"/>
              <w:right w:val="single" w:sz="4" w:space="0" w:color="000000"/>
            </w:tcBorders>
            <w:shd w:val="clear" w:color="BFBFBF" w:fill="FFFFFF"/>
            <w:vAlign w:val="center"/>
            <w:hideMark/>
          </w:tcPr>
          <w:p w14:paraId="74E09E91" w14:textId="77777777" w:rsidR="009C3B3D" w:rsidRPr="009C3B3D" w:rsidRDefault="009C3B3D" w:rsidP="009C3B3D">
            <w:pPr>
              <w:rPr>
                <w:color w:val="000000"/>
                <w:sz w:val="22"/>
                <w:szCs w:val="22"/>
                <w:lang w:eastAsia="lt-LT"/>
              </w:rPr>
            </w:pPr>
            <w:r w:rsidRPr="009C3B3D">
              <w:rPr>
                <w:color w:val="000000"/>
                <w:sz w:val="22"/>
                <w:szCs w:val="22"/>
                <w:lang w:eastAsia="lt-LT"/>
              </w:rPr>
              <w:t>Ne mažesnė kaip 130cm x 200 cm</w:t>
            </w:r>
          </w:p>
        </w:tc>
        <w:tc>
          <w:tcPr>
            <w:tcW w:w="850" w:type="dxa"/>
            <w:tcBorders>
              <w:top w:val="nil"/>
              <w:left w:val="nil"/>
              <w:bottom w:val="single" w:sz="4" w:space="0" w:color="000000"/>
              <w:right w:val="single" w:sz="4" w:space="0" w:color="000000"/>
            </w:tcBorders>
            <w:shd w:val="clear" w:color="BFBFBF" w:fill="FFFFFF"/>
            <w:noWrap/>
            <w:vAlign w:val="center"/>
            <w:hideMark/>
          </w:tcPr>
          <w:p w14:paraId="68300574"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154E18D2"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701AF66B"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center"/>
            <w:hideMark/>
          </w:tcPr>
          <w:p w14:paraId="556C67AC"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1081" w:type="dxa"/>
            <w:tcBorders>
              <w:top w:val="nil"/>
              <w:left w:val="nil"/>
              <w:bottom w:val="single" w:sz="4" w:space="0" w:color="000000"/>
              <w:right w:val="single" w:sz="4" w:space="0" w:color="000000"/>
            </w:tcBorders>
            <w:shd w:val="clear" w:color="BFBFBF" w:fill="FFFFFF"/>
            <w:noWrap/>
            <w:vAlign w:val="center"/>
            <w:hideMark/>
          </w:tcPr>
          <w:p w14:paraId="3AD2149D"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286DB0CA"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3118" w:type="dxa"/>
            <w:tcBorders>
              <w:top w:val="nil"/>
              <w:left w:val="nil"/>
              <w:bottom w:val="single" w:sz="4" w:space="0" w:color="000000"/>
              <w:right w:val="single" w:sz="4" w:space="0" w:color="000000"/>
            </w:tcBorders>
            <w:shd w:val="clear" w:color="000000" w:fill="FFFFFF"/>
            <w:vAlign w:val="center"/>
            <w:hideMark/>
          </w:tcPr>
          <w:p w14:paraId="1324027D" w14:textId="77777777" w:rsidR="009C3B3D" w:rsidRPr="009C3B3D" w:rsidRDefault="009C3B3D" w:rsidP="009C3B3D">
            <w:pPr>
              <w:rPr>
                <w:color w:val="000000"/>
                <w:sz w:val="22"/>
                <w:szCs w:val="22"/>
                <w:lang w:eastAsia="lt-LT"/>
              </w:rPr>
            </w:pPr>
            <w:r w:rsidRPr="009C3B3D">
              <w:rPr>
                <w:color w:val="000000"/>
                <w:sz w:val="22"/>
                <w:szCs w:val="22"/>
                <w:lang w:eastAsia="lt-LT"/>
              </w:rPr>
              <w:t>Ne mažesnė kaip 160cm x 210 cm</w:t>
            </w:r>
          </w:p>
        </w:tc>
      </w:tr>
      <w:tr w:rsidR="009C3B3D" w:rsidRPr="009C3B3D" w14:paraId="453D3BF3" w14:textId="77777777" w:rsidTr="009C3B3D">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A264437" w14:textId="77777777" w:rsidR="009C3B3D" w:rsidRPr="009C3B3D" w:rsidRDefault="009C3B3D" w:rsidP="009C3B3D">
            <w:pPr>
              <w:rPr>
                <w:color w:val="000000"/>
                <w:sz w:val="22"/>
                <w:szCs w:val="22"/>
                <w:lang w:eastAsia="lt-LT"/>
              </w:rPr>
            </w:pPr>
            <w:r w:rsidRPr="009C3B3D">
              <w:rPr>
                <w:color w:val="000000"/>
                <w:sz w:val="22"/>
                <w:szCs w:val="22"/>
                <w:lang w:eastAsia="lt-LT"/>
              </w:rPr>
              <w:t>25.1.3.</w:t>
            </w:r>
          </w:p>
        </w:tc>
        <w:tc>
          <w:tcPr>
            <w:tcW w:w="2935" w:type="dxa"/>
            <w:tcBorders>
              <w:top w:val="nil"/>
              <w:left w:val="nil"/>
              <w:bottom w:val="single" w:sz="4" w:space="0" w:color="000000"/>
              <w:right w:val="single" w:sz="4" w:space="0" w:color="000000"/>
            </w:tcBorders>
            <w:shd w:val="clear" w:color="BFBFBF" w:fill="FFFFFF"/>
            <w:vAlign w:val="center"/>
            <w:hideMark/>
          </w:tcPr>
          <w:p w14:paraId="6913CD3E" w14:textId="77777777" w:rsidR="009C3B3D" w:rsidRPr="009C3B3D" w:rsidRDefault="009C3B3D" w:rsidP="009C3B3D">
            <w:pPr>
              <w:rPr>
                <w:color w:val="000000"/>
                <w:sz w:val="22"/>
                <w:szCs w:val="22"/>
                <w:lang w:eastAsia="lt-LT"/>
              </w:rPr>
            </w:pPr>
            <w:r w:rsidRPr="009C3B3D">
              <w:rPr>
                <w:color w:val="000000"/>
                <w:sz w:val="22"/>
                <w:szCs w:val="22"/>
                <w:lang w:eastAsia="lt-LT"/>
              </w:rPr>
              <w:t xml:space="preserve">Auksinės-sidabrinės spalvos </w:t>
            </w:r>
          </w:p>
        </w:tc>
        <w:tc>
          <w:tcPr>
            <w:tcW w:w="850" w:type="dxa"/>
            <w:tcBorders>
              <w:top w:val="nil"/>
              <w:left w:val="nil"/>
              <w:bottom w:val="single" w:sz="4" w:space="0" w:color="000000"/>
              <w:right w:val="single" w:sz="4" w:space="0" w:color="000000"/>
            </w:tcBorders>
            <w:shd w:val="clear" w:color="BFBFBF" w:fill="FFFFFF"/>
            <w:noWrap/>
            <w:vAlign w:val="center"/>
            <w:hideMark/>
          </w:tcPr>
          <w:p w14:paraId="37B5A681"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4EC17AAE"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6F8C3A8D"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center"/>
            <w:hideMark/>
          </w:tcPr>
          <w:p w14:paraId="71AF2F27"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1081" w:type="dxa"/>
            <w:tcBorders>
              <w:top w:val="nil"/>
              <w:left w:val="nil"/>
              <w:bottom w:val="single" w:sz="4" w:space="0" w:color="000000"/>
              <w:right w:val="single" w:sz="4" w:space="0" w:color="000000"/>
            </w:tcBorders>
            <w:shd w:val="clear" w:color="BFBFBF" w:fill="FFFFFF"/>
            <w:noWrap/>
            <w:vAlign w:val="center"/>
            <w:hideMark/>
          </w:tcPr>
          <w:p w14:paraId="68B0D5CA"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63069281"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3118" w:type="dxa"/>
            <w:tcBorders>
              <w:top w:val="nil"/>
              <w:left w:val="nil"/>
              <w:bottom w:val="single" w:sz="4" w:space="0" w:color="000000"/>
              <w:right w:val="single" w:sz="4" w:space="0" w:color="000000"/>
            </w:tcBorders>
            <w:shd w:val="clear" w:color="000000" w:fill="FFFFFF"/>
            <w:vAlign w:val="center"/>
            <w:hideMark/>
          </w:tcPr>
          <w:p w14:paraId="0E2F3CD4" w14:textId="77777777" w:rsidR="009C3B3D" w:rsidRPr="009C3B3D" w:rsidRDefault="009C3B3D" w:rsidP="009C3B3D">
            <w:pPr>
              <w:rPr>
                <w:color w:val="000000"/>
                <w:sz w:val="22"/>
                <w:szCs w:val="22"/>
                <w:lang w:eastAsia="lt-LT"/>
              </w:rPr>
            </w:pPr>
            <w:r w:rsidRPr="009C3B3D">
              <w:rPr>
                <w:color w:val="000000"/>
                <w:sz w:val="22"/>
                <w:szCs w:val="22"/>
                <w:lang w:eastAsia="lt-LT"/>
              </w:rPr>
              <w:t xml:space="preserve">Auksinės-sidabrinės spalvos </w:t>
            </w:r>
          </w:p>
        </w:tc>
      </w:tr>
      <w:tr w:rsidR="009C3B3D" w:rsidRPr="009C3B3D" w14:paraId="01C17418" w14:textId="77777777" w:rsidTr="009C3B3D">
        <w:trPr>
          <w:trHeight w:val="51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5931B630" w14:textId="77777777" w:rsidR="009C3B3D" w:rsidRPr="009C3B3D" w:rsidRDefault="009C3B3D" w:rsidP="009C3B3D">
            <w:pPr>
              <w:rPr>
                <w:color w:val="000000"/>
                <w:sz w:val="22"/>
                <w:szCs w:val="22"/>
                <w:lang w:eastAsia="lt-LT"/>
              </w:rPr>
            </w:pPr>
            <w:r w:rsidRPr="009C3B3D">
              <w:rPr>
                <w:color w:val="000000"/>
                <w:sz w:val="22"/>
                <w:szCs w:val="22"/>
                <w:lang w:eastAsia="lt-LT"/>
              </w:rPr>
              <w:t>25.1.4.</w:t>
            </w:r>
          </w:p>
        </w:tc>
        <w:tc>
          <w:tcPr>
            <w:tcW w:w="2935" w:type="dxa"/>
            <w:tcBorders>
              <w:top w:val="nil"/>
              <w:left w:val="nil"/>
              <w:bottom w:val="single" w:sz="4" w:space="0" w:color="000000"/>
              <w:right w:val="single" w:sz="4" w:space="0" w:color="000000"/>
            </w:tcBorders>
            <w:shd w:val="clear" w:color="BFBFBF" w:fill="FFFFFF"/>
            <w:vAlign w:val="center"/>
            <w:hideMark/>
          </w:tcPr>
          <w:p w14:paraId="63273244" w14:textId="77777777" w:rsidR="009C3B3D" w:rsidRPr="009C3B3D" w:rsidRDefault="009C3B3D" w:rsidP="009C3B3D">
            <w:pPr>
              <w:rPr>
                <w:color w:val="000000"/>
                <w:sz w:val="22"/>
                <w:szCs w:val="22"/>
                <w:lang w:eastAsia="lt-LT"/>
              </w:rPr>
            </w:pPr>
            <w:r w:rsidRPr="009C3B3D">
              <w:rPr>
                <w:color w:val="000000"/>
                <w:sz w:val="22"/>
                <w:szCs w:val="22"/>
                <w:lang w:eastAsia="lt-LT"/>
              </w:rPr>
              <w:t>Antklodė yra apsauginė priemonė nuo karščio ir šalčio įvykus nelaimei</w:t>
            </w:r>
          </w:p>
        </w:tc>
        <w:tc>
          <w:tcPr>
            <w:tcW w:w="850" w:type="dxa"/>
            <w:tcBorders>
              <w:top w:val="nil"/>
              <w:left w:val="nil"/>
              <w:bottom w:val="single" w:sz="4" w:space="0" w:color="000000"/>
              <w:right w:val="single" w:sz="4" w:space="0" w:color="000000"/>
            </w:tcBorders>
            <w:shd w:val="clear" w:color="BFBFBF" w:fill="FFFFFF"/>
            <w:noWrap/>
            <w:vAlign w:val="center"/>
            <w:hideMark/>
          </w:tcPr>
          <w:p w14:paraId="71C04AF1"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7908037F"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437B1A65"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center"/>
            <w:hideMark/>
          </w:tcPr>
          <w:p w14:paraId="64B066E3"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1081" w:type="dxa"/>
            <w:tcBorders>
              <w:top w:val="nil"/>
              <w:left w:val="nil"/>
              <w:bottom w:val="single" w:sz="4" w:space="0" w:color="000000"/>
              <w:right w:val="single" w:sz="4" w:space="0" w:color="000000"/>
            </w:tcBorders>
            <w:shd w:val="clear" w:color="BFBFBF" w:fill="FFFFFF"/>
            <w:noWrap/>
            <w:vAlign w:val="center"/>
            <w:hideMark/>
          </w:tcPr>
          <w:p w14:paraId="5E67F645"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555F8CCE"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3118" w:type="dxa"/>
            <w:tcBorders>
              <w:top w:val="nil"/>
              <w:left w:val="nil"/>
              <w:bottom w:val="single" w:sz="4" w:space="0" w:color="000000"/>
              <w:right w:val="single" w:sz="4" w:space="0" w:color="000000"/>
            </w:tcBorders>
            <w:shd w:val="clear" w:color="000000" w:fill="FFFFFF"/>
            <w:vAlign w:val="center"/>
            <w:hideMark/>
          </w:tcPr>
          <w:p w14:paraId="4DA9AF93" w14:textId="77777777" w:rsidR="009C3B3D" w:rsidRPr="009C3B3D" w:rsidRDefault="009C3B3D" w:rsidP="009C3B3D">
            <w:pPr>
              <w:rPr>
                <w:color w:val="000000"/>
                <w:sz w:val="22"/>
                <w:szCs w:val="22"/>
                <w:lang w:eastAsia="lt-LT"/>
              </w:rPr>
            </w:pPr>
            <w:r w:rsidRPr="009C3B3D">
              <w:rPr>
                <w:color w:val="000000"/>
                <w:sz w:val="22"/>
                <w:szCs w:val="22"/>
                <w:lang w:eastAsia="lt-LT"/>
              </w:rPr>
              <w:t>Antklodė yra apsauginė priemonė nuo karščio ir šalčio įvykus nelaimei</w:t>
            </w:r>
          </w:p>
        </w:tc>
      </w:tr>
      <w:tr w:rsidR="009C3B3D" w:rsidRPr="009C3B3D" w14:paraId="4921200D" w14:textId="77777777" w:rsidTr="009C3B3D">
        <w:trPr>
          <w:trHeight w:val="51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58F8073"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69</w:t>
            </w:r>
          </w:p>
        </w:tc>
        <w:tc>
          <w:tcPr>
            <w:tcW w:w="2935" w:type="dxa"/>
            <w:tcBorders>
              <w:top w:val="nil"/>
              <w:left w:val="nil"/>
              <w:bottom w:val="single" w:sz="4" w:space="0" w:color="000000"/>
              <w:right w:val="single" w:sz="4" w:space="0" w:color="000000"/>
            </w:tcBorders>
            <w:shd w:val="clear" w:color="BFBFBF" w:fill="FFFFFF"/>
            <w:vAlign w:val="center"/>
            <w:hideMark/>
          </w:tcPr>
          <w:p w14:paraId="1D3FC3C7"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Prezervatyvai</w:t>
            </w:r>
          </w:p>
        </w:tc>
        <w:tc>
          <w:tcPr>
            <w:tcW w:w="850" w:type="dxa"/>
            <w:tcBorders>
              <w:top w:val="nil"/>
              <w:left w:val="nil"/>
              <w:bottom w:val="single" w:sz="4" w:space="0" w:color="000000"/>
              <w:right w:val="single" w:sz="4" w:space="0" w:color="000000"/>
            </w:tcBorders>
            <w:shd w:val="clear" w:color="BFBFBF" w:fill="FFFFFF"/>
            <w:noWrap/>
            <w:vAlign w:val="center"/>
            <w:hideMark/>
          </w:tcPr>
          <w:p w14:paraId="32466769"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51F9F0E0"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7C9A9105"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center"/>
            <w:hideMark/>
          </w:tcPr>
          <w:p w14:paraId="50BA703D"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1081" w:type="dxa"/>
            <w:tcBorders>
              <w:top w:val="nil"/>
              <w:left w:val="nil"/>
              <w:bottom w:val="single" w:sz="4" w:space="0" w:color="000000"/>
              <w:right w:val="single" w:sz="4" w:space="0" w:color="000000"/>
            </w:tcBorders>
            <w:shd w:val="clear" w:color="BFBFBF" w:fill="FFFFFF"/>
            <w:noWrap/>
            <w:vAlign w:val="center"/>
            <w:hideMark/>
          </w:tcPr>
          <w:p w14:paraId="1B70C514"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50455FD7"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3118" w:type="dxa"/>
            <w:tcBorders>
              <w:top w:val="nil"/>
              <w:left w:val="nil"/>
              <w:bottom w:val="single" w:sz="4" w:space="0" w:color="000000"/>
              <w:right w:val="single" w:sz="4" w:space="0" w:color="000000"/>
            </w:tcBorders>
            <w:shd w:val="clear" w:color="000000" w:fill="FFFFFF"/>
            <w:vAlign w:val="center"/>
            <w:hideMark/>
          </w:tcPr>
          <w:p w14:paraId="107A9134"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r>
      <w:tr w:rsidR="009C3B3D" w:rsidRPr="009C3B3D" w14:paraId="29EECE8A" w14:textId="77777777" w:rsidTr="009C3B3D">
        <w:trPr>
          <w:trHeight w:val="82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16D77A5A" w14:textId="77777777" w:rsidR="009C3B3D" w:rsidRPr="009C3B3D" w:rsidRDefault="009C3B3D" w:rsidP="009C3B3D">
            <w:pPr>
              <w:rPr>
                <w:color w:val="000000"/>
                <w:sz w:val="22"/>
                <w:szCs w:val="22"/>
                <w:lang w:eastAsia="lt-LT"/>
              </w:rPr>
            </w:pPr>
            <w:r w:rsidRPr="009C3B3D">
              <w:rPr>
                <w:color w:val="000000"/>
                <w:sz w:val="22"/>
                <w:szCs w:val="22"/>
                <w:lang w:eastAsia="lt-LT"/>
              </w:rPr>
              <w:t>69.1.</w:t>
            </w:r>
          </w:p>
        </w:tc>
        <w:tc>
          <w:tcPr>
            <w:tcW w:w="2935" w:type="dxa"/>
            <w:tcBorders>
              <w:top w:val="nil"/>
              <w:left w:val="nil"/>
              <w:bottom w:val="single" w:sz="4" w:space="0" w:color="000000"/>
              <w:right w:val="single" w:sz="4" w:space="0" w:color="000000"/>
            </w:tcBorders>
            <w:shd w:val="clear" w:color="BFBFBF" w:fill="FFFFFF"/>
            <w:vAlign w:val="center"/>
            <w:hideMark/>
          </w:tcPr>
          <w:p w14:paraId="637D8A30" w14:textId="77777777" w:rsidR="009C3B3D" w:rsidRPr="009C3B3D" w:rsidRDefault="009C3B3D" w:rsidP="009C3B3D">
            <w:pPr>
              <w:rPr>
                <w:color w:val="000000"/>
                <w:sz w:val="22"/>
                <w:szCs w:val="22"/>
                <w:lang w:eastAsia="lt-LT"/>
              </w:rPr>
            </w:pPr>
            <w:r w:rsidRPr="009C3B3D">
              <w:rPr>
                <w:color w:val="000000"/>
                <w:sz w:val="22"/>
                <w:szCs w:val="22"/>
                <w:lang w:eastAsia="lt-LT"/>
              </w:rPr>
              <w:t>Prezervatyvai</w:t>
            </w:r>
          </w:p>
        </w:tc>
        <w:tc>
          <w:tcPr>
            <w:tcW w:w="850" w:type="dxa"/>
            <w:tcBorders>
              <w:top w:val="nil"/>
              <w:left w:val="nil"/>
              <w:bottom w:val="single" w:sz="4" w:space="0" w:color="000000"/>
              <w:right w:val="single" w:sz="4" w:space="0" w:color="000000"/>
            </w:tcBorders>
            <w:shd w:val="clear" w:color="BFBFBF" w:fill="FFFFFF"/>
            <w:noWrap/>
            <w:vAlign w:val="center"/>
            <w:hideMark/>
          </w:tcPr>
          <w:p w14:paraId="622B35D1" w14:textId="77777777" w:rsidR="009C3B3D" w:rsidRPr="009C3B3D" w:rsidRDefault="009C3B3D" w:rsidP="009C3B3D">
            <w:pPr>
              <w:jc w:val="center"/>
              <w:rPr>
                <w:color w:val="000000"/>
                <w:sz w:val="22"/>
                <w:szCs w:val="22"/>
                <w:lang w:eastAsia="lt-LT"/>
              </w:rPr>
            </w:pPr>
            <w:r w:rsidRPr="009C3B3D">
              <w:rPr>
                <w:color w:val="000000"/>
                <w:sz w:val="22"/>
                <w:szCs w:val="22"/>
                <w:lang w:eastAsia="lt-LT"/>
              </w:rPr>
              <w:t>25000</w:t>
            </w:r>
          </w:p>
        </w:tc>
        <w:tc>
          <w:tcPr>
            <w:tcW w:w="993" w:type="dxa"/>
            <w:tcBorders>
              <w:top w:val="nil"/>
              <w:left w:val="nil"/>
              <w:bottom w:val="single" w:sz="4" w:space="0" w:color="000000"/>
              <w:right w:val="single" w:sz="4" w:space="0" w:color="000000"/>
            </w:tcBorders>
            <w:shd w:val="clear" w:color="BFBFBF" w:fill="FFFFFF"/>
            <w:noWrap/>
            <w:vAlign w:val="center"/>
            <w:hideMark/>
          </w:tcPr>
          <w:p w14:paraId="2EBC7FB9" w14:textId="77777777" w:rsidR="009C3B3D" w:rsidRPr="009C3B3D" w:rsidRDefault="009C3B3D" w:rsidP="009C3B3D">
            <w:pPr>
              <w:jc w:val="center"/>
              <w:rPr>
                <w:color w:val="000000"/>
                <w:sz w:val="22"/>
                <w:szCs w:val="22"/>
                <w:lang w:eastAsia="lt-LT"/>
              </w:rPr>
            </w:pPr>
            <w:proofErr w:type="spellStart"/>
            <w:r w:rsidRPr="009C3B3D">
              <w:rPr>
                <w:color w:val="000000"/>
                <w:sz w:val="22"/>
                <w:szCs w:val="22"/>
                <w:lang w:eastAsia="lt-LT"/>
              </w:rPr>
              <w:t>vnt</w:t>
            </w:r>
            <w:proofErr w:type="spellEnd"/>
          </w:p>
        </w:tc>
        <w:tc>
          <w:tcPr>
            <w:tcW w:w="865" w:type="dxa"/>
            <w:tcBorders>
              <w:top w:val="nil"/>
              <w:left w:val="nil"/>
              <w:bottom w:val="single" w:sz="4" w:space="0" w:color="000000"/>
              <w:right w:val="single" w:sz="4" w:space="0" w:color="000000"/>
            </w:tcBorders>
            <w:shd w:val="clear" w:color="FFFFFF" w:fill="FFFFFF"/>
            <w:vAlign w:val="center"/>
            <w:hideMark/>
          </w:tcPr>
          <w:p w14:paraId="107CAC29" w14:textId="77777777" w:rsidR="009C3B3D" w:rsidRPr="009C3B3D" w:rsidRDefault="009C3B3D" w:rsidP="009C3B3D">
            <w:pPr>
              <w:jc w:val="center"/>
              <w:rPr>
                <w:color w:val="000000"/>
                <w:sz w:val="22"/>
                <w:szCs w:val="22"/>
                <w:lang w:eastAsia="lt-LT"/>
              </w:rPr>
            </w:pPr>
            <w:r w:rsidRPr="009C3B3D">
              <w:rPr>
                <w:color w:val="000000"/>
                <w:sz w:val="22"/>
                <w:szCs w:val="22"/>
                <w:lang w:eastAsia="lt-LT"/>
              </w:rPr>
              <w:t>0,051</w:t>
            </w:r>
          </w:p>
        </w:tc>
        <w:tc>
          <w:tcPr>
            <w:tcW w:w="931" w:type="dxa"/>
            <w:tcBorders>
              <w:top w:val="nil"/>
              <w:left w:val="nil"/>
              <w:bottom w:val="single" w:sz="4" w:space="0" w:color="000000"/>
              <w:right w:val="single" w:sz="4" w:space="0" w:color="000000"/>
            </w:tcBorders>
            <w:shd w:val="clear" w:color="BFBFBF" w:fill="FFFFFF"/>
            <w:noWrap/>
            <w:vAlign w:val="center"/>
            <w:hideMark/>
          </w:tcPr>
          <w:p w14:paraId="19E54D1B" w14:textId="77777777" w:rsidR="009C3B3D" w:rsidRPr="009C3B3D" w:rsidRDefault="009C3B3D" w:rsidP="009C3B3D">
            <w:pPr>
              <w:jc w:val="center"/>
              <w:rPr>
                <w:color w:val="000000"/>
                <w:sz w:val="22"/>
                <w:szCs w:val="22"/>
                <w:lang w:eastAsia="lt-LT"/>
              </w:rPr>
            </w:pPr>
            <w:r w:rsidRPr="009C3B3D">
              <w:rPr>
                <w:color w:val="000000"/>
                <w:sz w:val="22"/>
                <w:szCs w:val="22"/>
                <w:lang w:eastAsia="lt-LT"/>
              </w:rPr>
              <w:t>1285,00</w:t>
            </w:r>
          </w:p>
        </w:tc>
        <w:tc>
          <w:tcPr>
            <w:tcW w:w="1081" w:type="dxa"/>
            <w:tcBorders>
              <w:top w:val="nil"/>
              <w:left w:val="nil"/>
              <w:bottom w:val="single" w:sz="4" w:space="0" w:color="000000"/>
              <w:right w:val="single" w:sz="4" w:space="0" w:color="000000"/>
            </w:tcBorders>
            <w:shd w:val="clear" w:color="BFBFBF" w:fill="FFFFFF"/>
            <w:noWrap/>
            <w:vAlign w:val="center"/>
            <w:hideMark/>
          </w:tcPr>
          <w:p w14:paraId="0CCBBEBB" w14:textId="77777777" w:rsidR="009C3B3D" w:rsidRPr="009C3B3D" w:rsidRDefault="009C3B3D" w:rsidP="009C3B3D">
            <w:pPr>
              <w:jc w:val="center"/>
              <w:rPr>
                <w:color w:val="000000"/>
                <w:sz w:val="22"/>
                <w:szCs w:val="22"/>
                <w:lang w:eastAsia="lt-LT"/>
              </w:rPr>
            </w:pPr>
            <w:r w:rsidRPr="009C3B3D">
              <w:rPr>
                <w:color w:val="000000"/>
                <w:sz w:val="22"/>
                <w:szCs w:val="22"/>
                <w:lang w:eastAsia="lt-LT"/>
              </w:rPr>
              <w:t>1349,25</w:t>
            </w:r>
          </w:p>
        </w:tc>
        <w:tc>
          <w:tcPr>
            <w:tcW w:w="2693" w:type="dxa"/>
            <w:tcBorders>
              <w:top w:val="nil"/>
              <w:left w:val="nil"/>
              <w:bottom w:val="single" w:sz="4" w:space="0" w:color="000000"/>
              <w:right w:val="single" w:sz="4" w:space="0" w:color="000000"/>
            </w:tcBorders>
            <w:shd w:val="clear" w:color="FFFFFF" w:fill="FFFFFF"/>
            <w:vAlign w:val="center"/>
            <w:hideMark/>
          </w:tcPr>
          <w:p w14:paraId="7F60CF11" w14:textId="77777777" w:rsidR="009C3B3D" w:rsidRPr="009C3B3D" w:rsidRDefault="009C3B3D" w:rsidP="009C3B3D">
            <w:pPr>
              <w:rPr>
                <w:color w:val="000000"/>
                <w:sz w:val="22"/>
                <w:szCs w:val="22"/>
                <w:lang w:eastAsia="lt-LT"/>
              </w:rPr>
            </w:pPr>
            <w:r w:rsidRPr="009C3B3D">
              <w:rPr>
                <w:color w:val="000000"/>
                <w:sz w:val="22"/>
                <w:szCs w:val="22"/>
                <w:lang w:eastAsia="lt-LT"/>
              </w:rPr>
              <w:t xml:space="preserve">Prezervatyvai Romed N144 /Van Oostveen Medical B.V. Romed  /CON-500R    </w:t>
            </w:r>
          </w:p>
        </w:tc>
        <w:tc>
          <w:tcPr>
            <w:tcW w:w="3118" w:type="dxa"/>
            <w:tcBorders>
              <w:top w:val="nil"/>
              <w:left w:val="nil"/>
              <w:bottom w:val="single" w:sz="4" w:space="0" w:color="000000"/>
              <w:right w:val="single" w:sz="4" w:space="0" w:color="000000"/>
            </w:tcBorders>
            <w:shd w:val="clear" w:color="BFBFBF" w:fill="FFFFFF"/>
            <w:vAlign w:val="center"/>
            <w:hideMark/>
          </w:tcPr>
          <w:p w14:paraId="3FF4B5CA"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r>
      <w:tr w:rsidR="009C3B3D" w:rsidRPr="009C3B3D" w14:paraId="0BF54FC5" w14:textId="77777777" w:rsidTr="009C3B3D">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49765AE6" w14:textId="77777777" w:rsidR="009C3B3D" w:rsidRPr="009C3B3D" w:rsidRDefault="009C3B3D" w:rsidP="009C3B3D">
            <w:pPr>
              <w:rPr>
                <w:color w:val="000000"/>
                <w:sz w:val="22"/>
                <w:szCs w:val="22"/>
                <w:lang w:eastAsia="lt-LT"/>
              </w:rPr>
            </w:pPr>
            <w:r w:rsidRPr="009C3B3D">
              <w:rPr>
                <w:color w:val="000000"/>
                <w:sz w:val="22"/>
                <w:szCs w:val="22"/>
                <w:lang w:eastAsia="lt-LT"/>
              </w:rPr>
              <w:t>69.1.1.</w:t>
            </w:r>
          </w:p>
        </w:tc>
        <w:tc>
          <w:tcPr>
            <w:tcW w:w="2935" w:type="dxa"/>
            <w:tcBorders>
              <w:top w:val="nil"/>
              <w:left w:val="nil"/>
              <w:bottom w:val="single" w:sz="4" w:space="0" w:color="000000"/>
              <w:right w:val="single" w:sz="4" w:space="0" w:color="000000"/>
            </w:tcBorders>
            <w:shd w:val="clear" w:color="BFBFBF" w:fill="FFFFFF"/>
            <w:vAlign w:val="center"/>
            <w:hideMark/>
          </w:tcPr>
          <w:p w14:paraId="5C8A106E" w14:textId="77777777" w:rsidR="009C3B3D" w:rsidRPr="009C3B3D" w:rsidRDefault="009C3B3D" w:rsidP="009C3B3D">
            <w:pPr>
              <w:rPr>
                <w:color w:val="000000"/>
                <w:sz w:val="22"/>
                <w:szCs w:val="22"/>
                <w:lang w:eastAsia="lt-LT"/>
              </w:rPr>
            </w:pPr>
            <w:r w:rsidRPr="009C3B3D">
              <w:rPr>
                <w:color w:val="000000"/>
                <w:sz w:val="22"/>
                <w:szCs w:val="22"/>
                <w:lang w:eastAsia="lt-LT"/>
              </w:rPr>
              <w:t>Ilgis 190mm (±10mm)</w:t>
            </w:r>
          </w:p>
        </w:tc>
        <w:tc>
          <w:tcPr>
            <w:tcW w:w="850" w:type="dxa"/>
            <w:tcBorders>
              <w:top w:val="nil"/>
              <w:left w:val="nil"/>
              <w:bottom w:val="single" w:sz="4" w:space="0" w:color="000000"/>
              <w:right w:val="single" w:sz="4" w:space="0" w:color="000000"/>
            </w:tcBorders>
            <w:shd w:val="clear" w:color="BFBFBF" w:fill="FFFFFF"/>
            <w:noWrap/>
            <w:vAlign w:val="center"/>
            <w:hideMark/>
          </w:tcPr>
          <w:p w14:paraId="37A534DD"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57E9C126"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3DA3B7DB"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center"/>
            <w:hideMark/>
          </w:tcPr>
          <w:p w14:paraId="4CD1195C"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1081" w:type="dxa"/>
            <w:tcBorders>
              <w:top w:val="nil"/>
              <w:left w:val="nil"/>
              <w:bottom w:val="single" w:sz="4" w:space="0" w:color="000000"/>
              <w:right w:val="single" w:sz="4" w:space="0" w:color="000000"/>
            </w:tcBorders>
            <w:shd w:val="clear" w:color="BFBFBF" w:fill="FFFFFF"/>
            <w:noWrap/>
            <w:vAlign w:val="center"/>
            <w:hideMark/>
          </w:tcPr>
          <w:p w14:paraId="0CC6BF3C"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3FA307FC"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3118" w:type="dxa"/>
            <w:tcBorders>
              <w:top w:val="nil"/>
              <w:left w:val="nil"/>
              <w:bottom w:val="single" w:sz="4" w:space="0" w:color="000000"/>
              <w:right w:val="single" w:sz="4" w:space="0" w:color="000000"/>
            </w:tcBorders>
            <w:shd w:val="clear" w:color="000000" w:fill="FFFFFF"/>
            <w:vAlign w:val="center"/>
            <w:hideMark/>
          </w:tcPr>
          <w:p w14:paraId="6C76284F" w14:textId="77777777" w:rsidR="009C3B3D" w:rsidRPr="009C3B3D" w:rsidRDefault="009C3B3D" w:rsidP="009C3B3D">
            <w:pPr>
              <w:rPr>
                <w:color w:val="000000"/>
                <w:sz w:val="22"/>
                <w:szCs w:val="22"/>
                <w:lang w:eastAsia="lt-LT"/>
              </w:rPr>
            </w:pPr>
            <w:r w:rsidRPr="009C3B3D">
              <w:rPr>
                <w:color w:val="000000"/>
                <w:sz w:val="22"/>
                <w:szCs w:val="22"/>
                <w:lang w:eastAsia="lt-LT"/>
              </w:rPr>
              <w:t>Ilgis 180mm</w:t>
            </w:r>
          </w:p>
        </w:tc>
      </w:tr>
      <w:tr w:rsidR="009C3B3D" w:rsidRPr="009C3B3D" w14:paraId="5CDC0DD1" w14:textId="77777777" w:rsidTr="0025047F">
        <w:trPr>
          <w:trHeight w:val="552"/>
        </w:trPr>
        <w:tc>
          <w:tcPr>
            <w:tcW w:w="993" w:type="dxa"/>
            <w:tcBorders>
              <w:top w:val="nil"/>
              <w:left w:val="single" w:sz="4" w:space="0" w:color="000000"/>
              <w:bottom w:val="single" w:sz="4" w:space="0" w:color="auto"/>
              <w:right w:val="single" w:sz="4" w:space="0" w:color="000000"/>
            </w:tcBorders>
            <w:shd w:val="clear" w:color="BFBFBF" w:fill="FFFFFF"/>
            <w:noWrap/>
            <w:vAlign w:val="center"/>
            <w:hideMark/>
          </w:tcPr>
          <w:p w14:paraId="5D01EFCA" w14:textId="77777777" w:rsidR="009C3B3D" w:rsidRPr="009C3B3D" w:rsidRDefault="009C3B3D" w:rsidP="009C3B3D">
            <w:pPr>
              <w:rPr>
                <w:color w:val="000000"/>
                <w:sz w:val="22"/>
                <w:szCs w:val="22"/>
                <w:lang w:eastAsia="lt-LT"/>
              </w:rPr>
            </w:pPr>
            <w:r w:rsidRPr="009C3B3D">
              <w:rPr>
                <w:color w:val="000000"/>
                <w:sz w:val="22"/>
                <w:szCs w:val="22"/>
                <w:lang w:eastAsia="lt-LT"/>
              </w:rPr>
              <w:t>69.1.2.</w:t>
            </w:r>
          </w:p>
        </w:tc>
        <w:tc>
          <w:tcPr>
            <w:tcW w:w="2935" w:type="dxa"/>
            <w:tcBorders>
              <w:top w:val="nil"/>
              <w:left w:val="nil"/>
              <w:bottom w:val="single" w:sz="4" w:space="0" w:color="auto"/>
              <w:right w:val="single" w:sz="4" w:space="0" w:color="000000"/>
            </w:tcBorders>
            <w:shd w:val="clear" w:color="BFBFBF" w:fill="FFFFFF"/>
            <w:vAlign w:val="center"/>
            <w:hideMark/>
          </w:tcPr>
          <w:p w14:paraId="2E58ED34" w14:textId="77777777" w:rsidR="009C3B3D" w:rsidRPr="009C3B3D" w:rsidRDefault="009C3B3D" w:rsidP="009C3B3D">
            <w:pPr>
              <w:rPr>
                <w:color w:val="000000"/>
                <w:sz w:val="22"/>
                <w:szCs w:val="22"/>
                <w:lang w:eastAsia="lt-LT"/>
              </w:rPr>
            </w:pPr>
            <w:r w:rsidRPr="009C3B3D">
              <w:rPr>
                <w:color w:val="000000"/>
                <w:sz w:val="22"/>
                <w:szCs w:val="22"/>
                <w:lang w:eastAsia="lt-LT"/>
              </w:rPr>
              <w:t>Supakuoti ne daugiau kaip po 1 vnt.</w:t>
            </w:r>
          </w:p>
        </w:tc>
        <w:tc>
          <w:tcPr>
            <w:tcW w:w="850" w:type="dxa"/>
            <w:tcBorders>
              <w:top w:val="nil"/>
              <w:left w:val="nil"/>
              <w:bottom w:val="single" w:sz="4" w:space="0" w:color="auto"/>
              <w:right w:val="single" w:sz="4" w:space="0" w:color="000000"/>
            </w:tcBorders>
            <w:shd w:val="clear" w:color="BFBFBF" w:fill="FFFFFF"/>
            <w:noWrap/>
            <w:vAlign w:val="center"/>
            <w:hideMark/>
          </w:tcPr>
          <w:p w14:paraId="2490AF0C"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93" w:type="dxa"/>
            <w:tcBorders>
              <w:top w:val="nil"/>
              <w:left w:val="nil"/>
              <w:bottom w:val="single" w:sz="4" w:space="0" w:color="auto"/>
              <w:right w:val="single" w:sz="4" w:space="0" w:color="000000"/>
            </w:tcBorders>
            <w:shd w:val="clear" w:color="BFBFBF" w:fill="FFFFFF"/>
            <w:noWrap/>
            <w:vAlign w:val="center"/>
            <w:hideMark/>
          </w:tcPr>
          <w:p w14:paraId="5D9819F4"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865" w:type="dxa"/>
            <w:tcBorders>
              <w:top w:val="nil"/>
              <w:left w:val="nil"/>
              <w:bottom w:val="single" w:sz="4" w:space="0" w:color="auto"/>
              <w:right w:val="single" w:sz="4" w:space="0" w:color="000000"/>
            </w:tcBorders>
            <w:shd w:val="clear" w:color="BFBFBF" w:fill="FFFFFF"/>
            <w:vAlign w:val="center"/>
            <w:hideMark/>
          </w:tcPr>
          <w:p w14:paraId="2F288121"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31" w:type="dxa"/>
            <w:tcBorders>
              <w:top w:val="nil"/>
              <w:left w:val="nil"/>
              <w:bottom w:val="single" w:sz="4" w:space="0" w:color="auto"/>
              <w:right w:val="single" w:sz="4" w:space="0" w:color="000000"/>
            </w:tcBorders>
            <w:shd w:val="clear" w:color="BFBFBF" w:fill="FFFFFF"/>
            <w:noWrap/>
            <w:vAlign w:val="center"/>
            <w:hideMark/>
          </w:tcPr>
          <w:p w14:paraId="3FEEA083"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1081" w:type="dxa"/>
            <w:tcBorders>
              <w:top w:val="nil"/>
              <w:left w:val="nil"/>
              <w:bottom w:val="single" w:sz="4" w:space="0" w:color="auto"/>
              <w:right w:val="single" w:sz="4" w:space="0" w:color="000000"/>
            </w:tcBorders>
            <w:shd w:val="clear" w:color="BFBFBF" w:fill="FFFFFF"/>
            <w:noWrap/>
            <w:vAlign w:val="center"/>
            <w:hideMark/>
          </w:tcPr>
          <w:p w14:paraId="40908D0B"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2693" w:type="dxa"/>
            <w:tcBorders>
              <w:top w:val="nil"/>
              <w:left w:val="nil"/>
              <w:bottom w:val="single" w:sz="4" w:space="0" w:color="auto"/>
              <w:right w:val="single" w:sz="4" w:space="0" w:color="000000"/>
            </w:tcBorders>
            <w:shd w:val="clear" w:color="BFBFBF" w:fill="FFFFFF"/>
            <w:vAlign w:val="center"/>
            <w:hideMark/>
          </w:tcPr>
          <w:p w14:paraId="047FB578"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3118" w:type="dxa"/>
            <w:tcBorders>
              <w:top w:val="nil"/>
              <w:left w:val="nil"/>
              <w:bottom w:val="single" w:sz="4" w:space="0" w:color="auto"/>
              <w:right w:val="single" w:sz="4" w:space="0" w:color="000000"/>
            </w:tcBorders>
            <w:shd w:val="clear" w:color="000000" w:fill="FFFFFF"/>
            <w:vAlign w:val="center"/>
            <w:hideMark/>
          </w:tcPr>
          <w:p w14:paraId="3261613C" w14:textId="77777777" w:rsidR="009C3B3D" w:rsidRPr="009C3B3D" w:rsidRDefault="009C3B3D" w:rsidP="009C3B3D">
            <w:pPr>
              <w:rPr>
                <w:color w:val="000000"/>
                <w:sz w:val="22"/>
                <w:szCs w:val="22"/>
                <w:lang w:eastAsia="lt-LT"/>
              </w:rPr>
            </w:pPr>
            <w:r w:rsidRPr="009C3B3D">
              <w:rPr>
                <w:color w:val="000000"/>
                <w:sz w:val="22"/>
                <w:szCs w:val="22"/>
                <w:lang w:eastAsia="lt-LT"/>
              </w:rPr>
              <w:t>Supakuoti po 1 vnt.</w:t>
            </w:r>
          </w:p>
        </w:tc>
      </w:tr>
      <w:tr w:rsidR="009C3B3D" w:rsidRPr="009C3B3D" w14:paraId="01477A9B" w14:textId="77777777" w:rsidTr="0025047F">
        <w:trPr>
          <w:trHeight w:val="552"/>
        </w:trPr>
        <w:tc>
          <w:tcPr>
            <w:tcW w:w="993"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010AEEA9"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98</w:t>
            </w:r>
          </w:p>
        </w:tc>
        <w:tc>
          <w:tcPr>
            <w:tcW w:w="2935"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1B7273CE" w14:textId="77777777" w:rsidR="009C3B3D" w:rsidRPr="009C3B3D" w:rsidRDefault="009C3B3D" w:rsidP="009C3B3D">
            <w:pPr>
              <w:rPr>
                <w:b/>
                <w:bCs/>
                <w:color w:val="000000"/>
                <w:sz w:val="22"/>
                <w:szCs w:val="22"/>
                <w:lang w:eastAsia="lt-LT"/>
              </w:rPr>
            </w:pPr>
            <w:r w:rsidRPr="009C3B3D">
              <w:rPr>
                <w:b/>
                <w:bCs/>
                <w:color w:val="000000"/>
                <w:sz w:val="22"/>
                <w:szCs w:val="22"/>
                <w:lang w:eastAsia="lt-LT"/>
              </w:rPr>
              <w:t>Kamšteliai lašinėms ir kateteriams</w:t>
            </w:r>
          </w:p>
        </w:tc>
        <w:tc>
          <w:tcPr>
            <w:tcW w:w="850"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10D17856"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4F0239B2"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865"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236C3792"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31"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099CAC5E"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1081"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5A8D3AD5"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2693"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7716EF6B"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BC73E"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r>
      <w:tr w:rsidR="009C3B3D" w:rsidRPr="009C3B3D" w14:paraId="2A0CB734" w14:textId="77777777" w:rsidTr="0025047F">
        <w:trPr>
          <w:trHeight w:val="828"/>
        </w:trPr>
        <w:tc>
          <w:tcPr>
            <w:tcW w:w="993"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2E37410F" w14:textId="77777777" w:rsidR="009C3B3D" w:rsidRPr="009C3B3D" w:rsidRDefault="009C3B3D" w:rsidP="009C3B3D">
            <w:pPr>
              <w:rPr>
                <w:color w:val="000000"/>
                <w:sz w:val="22"/>
                <w:szCs w:val="22"/>
                <w:lang w:eastAsia="lt-LT"/>
              </w:rPr>
            </w:pPr>
            <w:r w:rsidRPr="009C3B3D">
              <w:rPr>
                <w:color w:val="000000"/>
                <w:sz w:val="22"/>
                <w:szCs w:val="22"/>
                <w:lang w:eastAsia="lt-LT"/>
              </w:rPr>
              <w:lastRenderedPageBreak/>
              <w:t>98.1.</w:t>
            </w:r>
          </w:p>
        </w:tc>
        <w:tc>
          <w:tcPr>
            <w:tcW w:w="2935"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18C7B17F" w14:textId="77777777" w:rsidR="009C3B3D" w:rsidRPr="009C3B3D" w:rsidRDefault="009C3B3D" w:rsidP="009C3B3D">
            <w:pPr>
              <w:rPr>
                <w:color w:val="000000"/>
                <w:sz w:val="22"/>
                <w:szCs w:val="22"/>
                <w:lang w:eastAsia="lt-LT"/>
              </w:rPr>
            </w:pPr>
            <w:r w:rsidRPr="009C3B3D">
              <w:rPr>
                <w:color w:val="000000"/>
                <w:sz w:val="22"/>
                <w:szCs w:val="22"/>
                <w:lang w:eastAsia="lt-LT"/>
              </w:rPr>
              <w:t>Kamšteliai lašinėms ir kateteriams</w:t>
            </w:r>
          </w:p>
        </w:tc>
        <w:tc>
          <w:tcPr>
            <w:tcW w:w="850"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3FF11A55" w14:textId="77777777" w:rsidR="009C3B3D" w:rsidRPr="009C3B3D" w:rsidRDefault="009C3B3D" w:rsidP="009C3B3D">
            <w:pPr>
              <w:jc w:val="center"/>
              <w:rPr>
                <w:color w:val="000000"/>
                <w:sz w:val="22"/>
                <w:szCs w:val="22"/>
                <w:lang w:eastAsia="lt-LT"/>
              </w:rPr>
            </w:pPr>
            <w:r w:rsidRPr="009C3B3D">
              <w:rPr>
                <w:color w:val="000000"/>
                <w:sz w:val="22"/>
                <w:szCs w:val="22"/>
                <w:lang w:eastAsia="lt-LT"/>
              </w:rPr>
              <w:t>55000</w:t>
            </w:r>
          </w:p>
        </w:tc>
        <w:tc>
          <w:tcPr>
            <w:tcW w:w="993"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1F8C1220" w14:textId="77777777" w:rsidR="009C3B3D" w:rsidRPr="009C3B3D" w:rsidRDefault="009C3B3D" w:rsidP="009C3B3D">
            <w:pPr>
              <w:jc w:val="center"/>
              <w:rPr>
                <w:color w:val="000000"/>
                <w:sz w:val="22"/>
                <w:szCs w:val="22"/>
                <w:lang w:eastAsia="lt-LT"/>
              </w:rPr>
            </w:pPr>
            <w:proofErr w:type="spellStart"/>
            <w:r w:rsidRPr="009C3B3D">
              <w:rPr>
                <w:color w:val="000000"/>
                <w:sz w:val="22"/>
                <w:szCs w:val="22"/>
                <w:lang w:eastAsia="lt-LT"/>
              </w:rPr>
              <w:t>vnt</w:t>
            </w:r>
            <w:proofErr w:type="spellEnd"/>
          </w:p>
        </w:tc>
        <w:tc>
          <w:tcPr>
            <w:tcW w:w="8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BA00C52" w14:textId="77777777" w:rsidR="009C3B3D" w:rsidRPr="009C3B3D" w:rsidRDefault="009C3B3D" w:rsidP="009C3B3D">
            <w:pPr>
              <w:jc w:val="center"/>
              <w:rPr>
                <w:color w:val="000000"/>
                <w:sz w:val="22"/>
                <w:szCs w:val="22"/>
                <w:lang w:eastAsia="lt-LT"/>
              </w:rPr>
            </w:pPr>
            <w:r w:rsidRPr="009C3B3D">
              <w:rPr>
                <w:color w:val="000000"/>
                <w:sz w:val="22"/>
                <w:szCs w:val="22"/>
                <w:lang w:eastAsia="lt-LT"/>
              </w:rPr>
              <w:t>0,018</w:t>
            </w:r>
          </w:p>
        </w:tc>
        <w:tc>
          <w:tcPr>
            <w:tcW w:w="931"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2605968F" w14:textId="77777777" w:rsidR="009C3B3D" w:rsidRPr="009C3B3D" w:rsidRDefault="009C3B3D" w:rsidP="009C3B3D">
            <w:pPr>
              <w:jc w:val="center"/>
              <w:rPr>
                <w:color w:val="000000"/>
                <w:sz w:val="22"/>
                <w:szCs w:val="22"/>
                <w:lang w:eastAsia="lt-LT"/>
              </w:rPr>
            </w:pPr>
            <w:r w:rsidRPr="009C3B3D">
              <w:rPr>
                <w:color w:val="000000"/>
                <w:sz w:val="22"/>
                <w:szCs w:val="22"/>
                <w:lang w:eastAsia="lt-LT"/>
              </w:rPr>
              <w:t>995,50</w:t>
            </w:r>
          </w:p>
        </w:tc>
        <w:tc>
          <w:tcPr>
            <w:tcW w:w="1081"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3F6DAD96" w14:textId="77777777" w:rsidR="009C3B3D" w:rsidRPr="009C3B3D" w:rsidRDefault="009C3B3D" w:rsidP="009C3B3D">
            <w:pPr>
              <w:jc w:val="center"/>
              <w:rPr>
                <w:color w:val="000000"/>
                <w:sz w:val="22"/>
                <w:szCs w:val="22"/>
                <w:lang w:eastAsia="lt-LT"/>
              </w:rPr>
            </w:pPr>
            <w:r w:rsidRPr="009C3B3D">
              <w:rPr>
                <w:color w:val="000000"/>
                <w:sz w:val="22"/>
                <w:szCs w:val="22"/>
                <w:lang w:eastAsia="lt-LT"/>
              </w:rPr>
              <w:t>1045,28</w:t>
            </w:r>
          </w:p>
        </w:tc>
        <w:tc>
          <w:tcPr>
            <w:tcW w:w="269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DA931D3" w14:textId="77777777" w:rsidR="009C3B3D" w:rsidRPr="009C3B3D" w:rsidRDefault="009C3B3D" w:rsidP="009C3B3D">
            <w:pPr>
              <w:rPr>
                <w:color w:val="000000"/>
                <w:sz w:val="22"/>
                <w:szCs w:val="22"/>
                <w:lang w:eastAsia="lt-LT"/>
              </w:rPr>
            </w:pPr>
            <w:proofErr w:type="spellStart"/>
            <w:r w:rsidRPr="009C3B3D">
              <w:rPr>
                <w:color w:val="000000"/>
                <w:sz w:val="22"/>
                <w:szCs w:val="22"/>
                <w:lang w:eastAsia="lt-LT"/>
              </w:rPr>
              <w:t>Kamštukas</w:t>
            </w:r>
            <w:proofErr w:type="spellEnd"/>
            <w:r w:rsidRPr="009C3B3D">
              <w:rPr>
                <w:color w:val="000000"/>
                <w:sz w:val="22"/>
                <w:szCs w:val="22"/>
                <w:lang w:eastAsia="lt-LT"/>
              </w:rPr>
              <w:t xml:space="preserve"> intraveniniam kateteriui N250  /</w:t>
            </w:r>
            <w:proofErr w:type="spellStart"/>
            <w:r w:rsidRPr="009C3B3D">
              <w:rPr>
                <w:color w:val="000000"/>
                <w:sz w:val="22"/>
                <w:szCs w:val="22"/>
                <w:lang w:eastAsia="lt-LT"/>
              </w:rPr>
              <w:t>Disposafe</w:t>
            </w:r>
            <w:proofErr w:type="spellEnd"/>
            <w:r w:rsidRPr="009C3B3D">
              <w:rPr>
                <w:color w:val="000000"/>
                <w:sz w:val="22"/>
                <w:szCs w:val="22"/>
                <w:lang w:eastAsia="lt-LT"/>
              </w:rPr>
              <w:t xml:space="preserve"> </w:t>
            </w:r>
            <w:proofErr w:type="spellStart"/>
            <w:r w:rsidRPr="009C3B3D">
              <w:rPr>
                <w:color w:val="000000"/>
                <w:sz w:val="22"/>
                <w:szCs w:val="22"/>
                <w:lang w:eastAsia="lt-LT"/>
              </w:rPr>
              <w:t>Health</w:t>
            </w:r>
            <w:proofErr w:type="spellEnd"/>
            <w:r w:rsidRPr="009C3B3D">
              <w:rPr>
                <w:color w:val="000000"/>
                <w:sz w:val="22"/>
                <w:szCs w:val="22"/>
                <w:lang w:eastAsia="lt-LT"/>
              </w:rPr>
              <w:t xml:space="preserve"> </w:t>
            </w:r>
            <w:proofErr w:type="spellStart"/>
            <w:r w:rsidRPr="009C3B3D">
              <w:rPr>
                <w:color w:val="000000"/>
                <w:sz w:val="22"/>
                <w:szCs w:val="22"/>
                <w:lang w:eastAsia="lt-LT"/>
              </w:rPr>
              <w:t>and</w:t>
            </w:r>
            <w:proofErr w:type="spellEnd"/>
            <w:r w:rsidRPr="009C3B3D">
              <w:rPr>
                <w:color w:val="000000"/>
                <w:sz w:val="22"/>
                <w:szCs w:val="22"/>
                <w:lang w:eastAsia="lt-LT"/>
              </w:rPr>
              <w:t xml:space="preserve"> </w:t>
            </w:r>
            <w:proofErr w:type="spellStart"/>
            <w:r w:rsidRPr="009C3B3D">
              <w:rPr>
                <w:color w:val="000000"/>
                <w:sz w:val="22"/>
                <w:szCs w:val="22"/>
                <w:lang w:eastAsia="lt-LT"/>
              </w:rPr>
              <w:t>Life</w:t>
            </w:r>
            <w:proofErr w:type="spellEnd"/>
            <w:r w:rsidRPr="009C3B3D">
              <w:rPr>
                <w:color w:val="000000"/>
                <w:sz w:val="22"/>
                <w:szCs w:val="22"/>
                <w:lang w:eastAsia="lt-LT"/>
              </w:rPr>
              <w:t xml:space="preserve"> Care/</w:t>
            </w:r>
          </w:p>
        </w:tc>
        <w:tc>
          <w:tcPr>
            <w:tcW w:w="3118"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0EE95FCB"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r>
      <w:tr w:rsidR="009C3B3D" w:rsidRPr="009C3B3D" w14:paraId="0E1B9937" w14:textId="77777777" w:rsidTr="0025047F">
        <w:trPr>
          <w:trHeight w:val="552"/>
        </w:trPr>
        <w:tc>
          <w:tcPr>
            <w:tcW w:w="993"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44DD122B" w14:textId="77777777" w:rsidR="009C3B3D" w:rsidRPr="009C3B3D" w:rsidRDefault="009C3B3D" w:rsidP="009C3B3D">
            <w:pPr>
              <w:rPr>
                <w:color w:val="000000"/>
                <w:sz w:val="22"/>
                <w:szCs w:val="22"/>
                <w:lang w:eastAsia="lt-LT"/>
              </w:rPr>
            </w:pPr>
            <w:r w:rsidRPr="009C3B3D">
              <w:rPr>
                <w:color w:val="000000"/>
                <w:sz w:val="22"/>
                <w:szCs w:val="22"/>
                <w:lang w:eastAsia="lt-LT"/>
              </w:rPr>
              <w:t>98.1.1.</w:t>
            </w:r>
          </w:p>
        </w:tc>
        <w:tc>
          <w:tcPr>
            <w:tcW w:w="2935"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700ED203" w14:textId="77777777" w:rsidR="009C3B3D" w:rsidRPr="009C3B3D" w:rsidRDefault="009C3B3D" w:rsidP="009C3B3D">
            <w:pPr>
              <w:rPr>
                <w:color w:val="000000"/>
                <w:sz w:val="22"/>
                <w:szCs w:val="22"/>
                <w:lang w:eastAsia="lt-LT"/>
              </w:rPr>
            </w:pPr>
            <w:r w:rsidRPr="009C3B3D">
              <w:rPr>
                <w:color w:val="000000"/>
                <w:sz w:val="22"/>
                <w:szCs w:val="22"/>
                <w:lang w:eastAsia="lt-LT"/>
              </w:rPr>
              <w:t>Kamšteliai lašinėms ir kateteriams, sterilūs</w:t>
            </w:r>
          </w:p>
        </w:tc>
        <w:tc>
          <w:tcPr>
            <w:tcW w:w="850"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039BA77E"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05753D8E"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865"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7DC72D93"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931"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5D2C5B0F"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1081"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09AE35A1"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2693"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7B4C1988" w14:textId="77777777" w:rsidR="009C3B3D" w:rsidRPr="009C3B3D" w:rsidRDefault="009C3B3D" w:rsidP="009C3B3D">
            <w:pPr>
              <w:rPr>
                <w:color w:val="000000"/>
                <w:sz w:val="22"/>
                <w:szCs w:val="22"/>
                <w:lang w:eastAsia="lt-LT"/>
              </w:rPr>
            </w:pPr>
            <w:r w:rsidRPr="009C3B3D">
              <w:rPr>
                <w:color w:val="000000"/>
                <w:sz w:val="22"/>
                <w:szCs w:val="22"/>
                <w:lang w:eastAsia="lt-LT"/>
              </w:rPr>
              <w:t> </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7C7184" w14:textId="77777777" w:rsidR="009C3B3D" w:rsidRPr="009C3B3D" w:rsidRDefault="009C3B3D" w:rsidP="009C3B3D">
            <w:pPr>
              <w:rPr>
                <w:color w:val="000000"/>
                <w:sz w:val="22"/>
                <w:szCs w:val="22"/>
                <w:lang w:eastAsia="lt-LT"/>
              </w:rPr>
            </w:pPr>
            <w:r w:rsidRPr="009C3B3D">
              <w:rPr>
                <w:color w:val="000000"/>
                <w:sz w:val="22"/>
                <w:szCs w:val="22"/>
                <w:lang w:eastAsia="lt-LT"/>
              </w:rPr>
              <w:t>Kamšteliai lašinėms ir kateteriams, sterilūs</w:t>
            </w:r>
          </w:p>
        </w:tc>
      </w:tr>
    </w:tbl>
    <w:p w14:paraId="77F23B75" w14:textId="6264E79C" w:rsidR="00126ACA" w:rsidRDefault="00126ACA" w:rsidP="00126ACA">
      <w:pPr>
        <w:tabs>
          <w:tab w:val="left" w:pos="3690"/>
        </w:tabs>
        <w:rPr>
          <w:szCs w:val="24"/>
        </w:rPr>
      </w:pPr>
    </w:p>
    <w:sectPr w:rsidR="00126ACA" w:rsidSect="00126ACA">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D7281" w14:textId="77777777" w:rsidR="003B4F08" w:rsidRDefault="003B4F08">
      <w:pPr>
        <w:rPr>
          <w:kern w:val="2"/>
          <w:sz w:val="22"/>
          <w:szCs w:val="22"/>
          <w:lang w:val="en-US"/>
        </w:rPr>
      </w:pPr>
      <w:r>
        <w:rPr>
          <w:kern w:val="2"/>
          <w:sz w:val="22"/>
          <w:szCs w:val="22"/>
          <w:lang w:val="en-US"/>
        </w:rPr>
        <w:separator/>
      </w:r>
    </w:p>
  </w:endnote>
  <w:endnote w:type="continuationSeparator" w:id="0">
    <w:p w14:paraId="1370BE9D" w14:textId="77777777" w:rsidR="003B4F08" w:rsidRDefault="003B4F08">
      <w:pPr>
        <w:rPr>
          <w:kern w:val="2"/>
          <w:sz w:val="22"/>
          <w:szCs w:val="22"/>
          <w:lang w:val="en-US"/>
        </w:rPr>
      </w:pPr>
      <w:r>
        <w:rPr>
          <w:kern w:val="2"/>
          <w:sz w:val="22"/>
          <w:szCs w:val="22"/>
          <w:lang w:val="en-US"/>
        </w:rPr>
        <w:continuationSeparator/>
      </w:r>
    </w:p>
  </w:endnote>
  <w:endnote w:type="continuationNotice" w:id="1">
    <w:p w14:paraId="18F01BEE" w14:textId="77777777" w:rsidR="003B4F08" w:rsidRDefault="003B4F0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E4B2" w14:textId="77777777" w:rsidR="003B4F08" w:rsidRDefault="003B4F08">
      <w:pPr>
        <w:rPr>
          <w:kern w:val="2"/>
          <w:sz w:val="22"/>
          <w:szCs w:val="22"/>
          <w:lang w:val="en-US"/>
        </w:rPr>
      </w:pPr>
      <w:r>
        <w:rPr>
          <w:kern w:val="2"/>
          <w:sz w:val="22"/>
          <w:szCs w:val="22"/>
          <w:lang w:val="en-US"/>
        </w:rPr>
        <w:separator/>
      </w:r>
    </w:p>
  </w:footnote>
  <w:footnote w:type="continuationSeparator" w:id="0">
    <w:p w14:paraId="63339838" w14:textId="77777777" w:rsidR="003B4F08" w:rsidRDefault="003B4F08">
      <w:pPr>
        <w:rPr>
          <w:kern w:val="2"/>
          <w:sz w:val="22"/>
          <w:szCs w:val="22"/>
          <w:lang w:val="en-US"/>
        </w:rPr>
      </w:pPr>
      <w:r>
        <w:rPr>
          <w:kern w:val="2"/>
          <w:sz w:val="22"/>
          <w:szCs w:val="22"/>
          <w:lang w:val="en-US"/>
        </w:rPr>
        <w:continuationSeparator/>
      </w:r>
    </w:p>
  </w:footnote>
  <w:footnote w:type="continuationNotice" w:id="1">
    <w:p w14:paraId="7D7D0670" w14:textId="77777777" w:rsidR="003B4F08" w:rsidRDefault="003B4F0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C89"/>
    <w:rsid w:val="0004141D"/>
    <w:rsid w:val="00074B2B"/>
    <w:rsid w:val="00097162"/>
    <w:rsid w:val="000B3838"/>
    <w:rsid w:val="000B78C2"/>
    <w:rsid w:val="000C1105"/>
    <w:rsid w:val="000C44B1"/>
    <w:rsid w:val="000E2CF3"/>
    <w:rsid w:val="0010115A"/>
    <w:rsid w:val="00120B2D"/>
    <w:rsid w:val="00126ACA"/>
    <w:rsid w:val="001407C5"/>
    <w:rsid w:val="001730FA"/>
    <w:rsid w:val="0019171C"/>
    <w:rsid w:val="00196C17"/>
    <w:rsid w:val="001A386C"/>
    <w:rsid w:val="001B0A02"/>
    <w:rsid w:val="001B0A13"/>
    <w:rsid w:val="001B2E97"/>
    <w:rsid w:val="001D2346"/>
    <w:rsid w:val="0022292A"/>
    <w:rsid w:val="00233CA8"/>
    <w:rsid w:val="0025047F"/>
    <w:rsid w:val="002623B6"/>
    <w:rsid w:val="00272BA6"/>
    <w:rsid w:val="00306FF9"/>
    <w:rsid w:val="00307E68"/>
    <w:rsid w:val="0031139F"/>
    <w:rsid w:val="00365F09"/>
    <w:rsid w:val="003B4F08"/>
    <w:rsid w:val="003C19EF"/>
    <w:rsid w:val="003F2471"/>
    <w:rsid w:val="003F54CB"/>
    <w:rsid w:val="00413DB5"/>
    <w:rsid w:val="004467A3"/>
    <w:rsid w:val="004613E8"/>
    <w:rsid w:val="00475C6D"/>
    <w:rsid w:val="00485647"/>
    <w:rsid w:val="00497272"/>
    <w:rsid w:val="004A1A61"/>
    <w:rsid w:val="004E07B2"/>
    <w:rsid w:val="004F2106"/>
    <w:rsid w:val="004F3C2A"/>
    <w:rsid w:val="00520E65"/>
    <w:rsid w:val="00561995"/>
    <w:rsid w:val="00575C52"/>
    <w:rsid w:val="005A5832"/>
    <w:rsid w:val="005C5CAC"/>
    <w:rsid w:val="005F5B23"/>
    <w:rsid w:val="00616F3F"/>
    <w:rsid w:val="00643CDD"/>
    <w:rsid w:val="006872D5"/>
    <w:rsid w:val="00690752"/>
    <w:rsid w:val="0069452E"/>
    <w:rsid w:val="006F761B"/>
    <w:rsid w:val="00714C4D"/>
    <w:rsid w:val="007352D6"/>
    <w:rsid w:val="00794E48"/>
    <w:rsid w:val="00795FCB"/>
    <w:rsid w:val="007D36B3"/>
    <w:rsid w:val="007E7F28"/>
    <w:rsid w:val="00813A23"/>
    <w:rsid w:val="00856989"/>
    <w:rsid w:val="00892C3C"/>
    <w:rsid w:val="008A32FC"/>
    <w:rsid w:val="008E1F31"/>
    <w:rsid w:val="008E5F0E"/>
    <w:rsid w:val="008F38FF"/>
    <w:rsid w:val="008F7692"/>
    <w:rsid w:val="00900B29"/>
    <w:rsid w:val="00917B78"/>
    <w:rsid w:val="00936EC7"/>
    <w:rsid w:val="00953BBE"/>
    <w:rsid w:val="009B12D4"/>
    <w:rsid w:val="009C3B3D"/>
    <w:rsid w:val="009C635A"/>
    <w:rsid w:val="009C684C"/>
    <w:rsid w:val="009D7FA8"/>
    <w:rsid w:val="00A10867"/>
    <w:rsid w:val="00A224FF"/>
    <w:rsid w:val="00A26A55"/>
    <w:rsid w:val="00A43558"/>
    <w:rsid w:val="00A47722"/>
    <w:rsid w:val="00A539AC"/>
    <w:rsid w:val="00A77DFB"/>
    <w:rsid w:val="00A91DBF"/>
    <w:rsid w:val="00A93352"/>
    <w:rsid w:val="00AC2239"/>
    <w:rsid w:val="00AD19BB"/>
    <w:rsid w:val="00AD3B9B"/>
    <w:rsid w:val="00AD7EA9"/>
    <w:rsid w:val="00B02A44"/>
    <w:rsid w:val="00B04FF4"/>
    <w:rsid w:val="00B069A8"/>
    <w:rsid w:val="00B16481"/>
    <w:rsid w:val="00B256DB"/>
    <w:rsid w:val="00B315FA"/>
    <w:rsid w:val="00B34D16"/>
    <w:rsid w:val="00B45278"/>
    <w:rsid w:val="00B66FEC"/>
    <w:rsid w:val="00B82117"/>
    <w:rsid w:val="00BA69A2"/>
    <w:rsid w:val="00BB283C"/>
    <w:rsid w:val="00BB3FF2"/>
    <w:rsid w:val="00BB4FD4"/>
    <w:rsid w:val="00BB7A9F"/>
    <w:rsid w:val="00BD72D9"/>
    <w:rsid w:val="00BE180A"/>
    <w:rsid w:val="00BE7A1E"/>
    <w:rsid w:val="00BF1BBA"/>
    <w:rsid w:val="00BF28E8"/>
    <w:rsid w:val="00C138D3"/>
    <w:rsid w:val="00C161D6"/>
    <w:rsid w:val="00C20B51"/>
    <w:rsid w:val="00C373F0"/>
    <w:rsid w:val="00C603CB"/>
    <w:rsid w:val="00C650E4"/>
    <w:rsid w:val="00C66133"/>
    <w:rsid w:val="00C819A0"/>
    <w:rsid w:val="00CA3DE8"/>
    <w:rsid w:val="00CD7E3F"/>
    <w:rsid w:val="00D05F2B"/>
    <w:rsid w:val="00D142FF"/>
    <w:rsid w:val="00D26265"/>
    <w:rsid w:val="00D5291C"/>
    <w:rsid w:val="00D53790"/>
    <w:rsid w:val="00D62E7D"/>
    <w:rsid w:val="00D711F2"/>
    <w:rsid w:val="00D767CF"/>
    <w:rsid w:val="00D92D3E"/>
    <w:rsid w:val="00DB14A4"/>
    <w:rsid w:val="00DC060A"/>
    <w:rsid w:val="00DC7ECF"/>
    <w:rsid w:val="00DD6EAC"/>
    <w:rsid w:val="00DE70EE"/>
    <w:rsid w:val="00E072B6"/>
    <w:rsid w:val="00E11D7E"/>
    <w:rsid w:val="00E124AC"/>
    <w:rsid w:val="00E3279D"/>
    <w:rsid w:val="00E378B4"/>
    <w:rsid w:val="00E52923"/>
    <w:rsid w:val="00E52CEA"/>
    <w:rsid w:val="00E5501F"/>
    <w:rsid w:val="00E70286"/>
    <w:rsid w:val="00EE4096"/>
    <w:rsid w:val="00EE4795"/>
    <w:rsid w:val="00F05951"/>
    <w:rsid w:val="00F31FA8"/>
    <w:rsid w:val="00F73354"/>
    <w:rsid w:val="00F86696"/>
    <w:rsid w:val="00FB0268"/>
    <w:rsid w:val="00FD3B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12793</Words>
  <Characters>7293</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Rasa Bužinskienė</cp:lastModifiedBy>
  <cp:revision>2</cp:revision>
  <dcterms:created xsi:type="dcterms:W3CDTF">2025-08-13T12:30:00Z</dcterms:created>
  <dcterms:modified xsi:type="dcterms:W3CDTF">2025-08-13T12:30:00Z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