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760" w:type="dxa"/>
        <w:tblInd w:w="6948" w:type="dxa"/>
        <w:tblLook w:val="01E0" w:firstRow="1" w:lastRow="1" w:firstColumn="1" w:lastColumn="1" w:noHBand="0" w:noVBand="0"/>
      </w:tblPr>
      <w:tblGrid>
        <w:gridCol w:w="2760"/>
      </w:tblGrid>
      <w:tr w:rsidR="00F13998" w:rsidRPr="00C6080F" w:rsidTr="00E913FB">
        <w:tc>
          <w:tcPr>
            <w:tcW w:w="2760" w:type="dxa"/>
            <w:shd w:val="clear" w:color="auto" w:fill="auto"/>
          </w:tcPr>
          <w:p w:rsidR="00F13998" w:rsidRPr="00C619D1" w:rsidRDefault="00F13998" w:rsidP="00E913FB">
            <w:pPr>
              <w:jc w:val="left"/>
              <w:rPr>
                <w:szCs w:val="24"/>
              </w:rPr>
            </w:pPr>
            <w:r>
              <w:rPr>
                <w:szCs w:val="24"/>
              </w:rPr>
              <w:t>Apklausos</w:t>
            </w:r>
            <w:r w:rsidRPr="00C619D1">
              <w:rPr>
                <w:szCs w:val="24"/>
              </w:rPr>
              <w:t xml:space="preserve"> sąlygų</w:t>
            </w:r>
          </w:p>
        </w:tc>
      </w:tr>
      <w:tr w:rsidR="00F13998" w:rsidRPr="00C6080F" w:rsidTr="00E913FB">
        <w:tc>
          <w:tcPr>
            <w:tcW w:w="2760" w:type="dxa"/>
            <w:shd w:val="clear" w:color="auto" w:fill="auto"/>
          </w:tcPr>
          <w:p w:rsidR="00F13998" w:rsidRPr="00C619D1" w:rsidRDefault="00F13998" w:rsidP="00E913FB">
            <w:pPr>
              <w:jc w:val="left"/>
              <w:rPr>
                <w:szCs w:val="24"/>
              </w:rPr>
            </w:pPr>
            <w:r>
              <w:rPr>
                <w:szCs w:val="24"/>
              </w:rPr>
              <w:t>2</w:t>
            </w:r>
            <w:r w:rsidRPr="00C619D1">
              <w:rPr>
                <w:szCs w:val="24"/>
              </w:rPr>
              <w:t xml:space="preserve"> priedas</w:t>
            </w:r>
          </w:p>
        </w:tc>
      </w:tr>
      <w:tr w:rsidR="00F13998" w:rsidTr="00E913FB">
        <w:tc>
          <w:tcPr>
            <w:tcW w:w="2760" w:type="dxa"/>
          </w:tcPr>
          <w:p w:rsidR="00F13998" w:rsidRDefault="00F13998" w:rsidP="00E913FB">
            <w:pPr>
              <w:rPr>
                <w:color w:val="000000"/>
              </w:rPr>
            </w:pPr>
          </w:p>
        </w:tc>
      </w:tr>
    </w:tbl>
    <w:p w:rsidR="00F13998" w:rsidRPr="00C95148" w:rsidRDefault="00F13998" w:rsidP="00F13998">
      <w:pPr>
        <w:rPr>
          <w:b/>
        </w:rPr>
      </w:pPr>
      <w:r w:rsidRPr="00C95148">
        <w:rPr>
          <w:b/>
        </w:rPr>
        <w:t>TECHNINĖ SPECIFIKACIJA</w:t>
      </w:r>
    </w:p>
    <w:p w:rsidR="00F13998" w:rsidRPr="00C95148" w:rsidRDefault="00F13998" w:rsidP="00F13998">
      <w:pPr>
        <w:rPr>
          <w:b/>
        </w:rPr>
      </w:pPr>
      <w:r>
        <w:rPr>
          <w:b/>
        </w:rPr>
        <w:t xml:space="preserve">MUZIKOS INSTRUMENTŲ </w:t>
      </w:r>
      <w:r w:rsidRPr="00C95148">
        <w:rPr>
          <w:b/>
        </w:rPr>
        <w:t>PIRKIMUI</w:t>
      </w:r>
    </w:p>
    <w:p w:rsidR="00F13998" w:rsidRPr="00695C39" w:rsidRDefault="00F13998" w:rsidP="00F13998">
      <w:pPr>
        <w:jc w:val="both"/>
      </w:pPr>
    </w:p>
    <w:p w:rsidR="00F13998" w:rsidRPr="00C95148" w:rsidRDefault="00F13998" w:rsidP="00F13998">
      <w:pPr>
        <w:numPr>
          <w:ilvl w:val="0"/>
          <w:numId w:val="1"/>
        </w:numPr>
        <w:jc w:val="both"/>
        <w:rPr>
          <w:bCs/>
        </w:rPr>
      </w:pPr>
      <w:r w:rsidRPr="00C95148">
        <w:rPr>
          <w:bCs/>
        </w:rPr>
        <w:t>Bendra informacija</w:t>
      </w:r>
    </w:p>
    <w:p w:rsidR="00F13998" w:rsidRPr="00C95148" w:rsidRDefault="00F13998" w:rsidP="00F13998">
      <w:pPr>
        <w:numPr>
          <w:ilvl w:val="1"/>
          <w:numId w:val="1"/>
        </w:numPr>
        <w:tabs>
          <w:tab w:val="left" w:pos="1134"/>
        </w:tabs>
        <w:ind w:left="0" w:firstLine="567"/>
        <w:jc w:val="both"/>
      </w:pPr>
      <w:r w:rsidRPr="00C95148">
        <w:t>Kauno Juozo Naujalio muzikos gimnazija (toliau – „Perkančioji organizacija“) siekia plėtoti ir didinti Kauno Juozo Naujalio muzikos gimnazijos tarptautinį konkurencingumą gerinant mokymo kokybę. Siekiama išplėsti materialinę bazę, įsigyjant Perkančiosios organizacijos veiklai reikalingus muzikos instrumentus, taip užtikrinant aukščiausių šiuolaikinių reika</w:t>
      </w:r>
      <w:r>
        <w:t>lavimų mokymo procesui vykdymą.</w:t>
      </w:r>
    </w:p>
    <w:p w:rsidR="00F13998" w:rsidRPr="00C95148" w:rsidRDefault="00F13998" w:rsidP="00F13998">
      <w:pPr>
        <w:numPr>
          <w:ilvl w:val="1"/>
          <w:numId w:val="1"/>
        </w:numPr>
        <w:tabs>
          <w:tab w:val="left" w:pos="1134"/>
        </w:tabs>
        <w:ind w:left="0" w:firstLine="567"/>
        <w:jc w:val="both"/>
        <w:rPr>
          <w:bCs/>
        </w:rPr>
      </w:pPr>
      <w:r>
        <w:t>T</w:t>
      </w:r>
      <w:r w:rsidRPr="00C95148">
        <w:t xml:space="preserve">ikslas – </w:t>
      </w:r>
      <w:r w:rsidRPr="000F5BE4">
        <w:t>įsigyti trūkstamus muzikos instrumentus, reikalingus sustiprintam muzikos mokymui ir kokybiškam pilnaverčiam efektyviam ugdymo procesui</w:t>
      </w:r>
      <w:r>
        <w:rPr>
          <w:b/>
        </w:rPr>
        <w:t>.</w:t>
      </w:r>
    </w:p>
    <w:p w:rsidR="00F13998" w:rsidRPr="00163813" w:rsidRDefault="00F13998" w:rsidP="00F13998">
      <w:pPr>
        <w:numPr>
          <w:ilvl w:val="1"/>
          <w:numId w:val="1"/>
        </w:numPr>
        <w:tabs>
          <w:tab w:val="left" w:pos="1134"/>
        </w:tabs>
        <w:ind w:left="0" w:firstLine="567"/>
        <w:jc w:val="both"/>
        <w:rPr>
          <w:bCs/>
        </w:rPr>
      </w:pPr>
      <w:r w:rsidRPr="00C95148">
        <w:t xml:space="preserve">Uždavinys – </w:t>
      </w:r>
      <w:r w:rsidRPr="000F5BE4">
        <w:t>Modernizuoti Kauno Juozo Naujalio muzikos gimnazijos mokymosi aplinką, skirtą specializuoto meninio ugdymo krypties programoms įgyvendinti.</w:t>
      </w:r>
    </w:p>
    <w:p w:rsidR="00F13998" w:rsidRPr="003C2DB7" w:rsidRDefault="00F13998" w:rsidP="00F13998">
      <w:pPr>
        <w:numPr>
          <w:ilvl w:val="1"/>
          <w:numId w:val="1"/>
        </w:numPr>
        <w:tabs>
          <w:tab w:val="left" w:pos="1134"/>
        </w:tabs>
        <w:ind w:left="0" w:firstLine="567"/>
        <w:jc w:val="both"/>
      </w:pPr>
      <w:r>
        <w:t>F</w:t>
      </w:r>
      <w:r w:rsidRPr="003C2DB7">
        <w:t>inansavimo šaltiniai: Lietuvos Respublikos valstybės biudžeto lėšos.</w:t>
      </w:r>
    </w:p>
    <w:p w:rsidR="00F13998" w:rsidRPr="00CE74B5" w:rsidRDefault="00F13998" w:rsidP="00F13998">
      <w:pPr>
        <w:numPr>
          <w:ilvl w:val="1"/>
          <w:numId w:val="1"/>
        </w:numPr>
        <w:tabs>
          <w:tab w:val="left" w:pos="1134"/>
        </w:tabs>
        <w:ind w:left="0" w:firstLine="567"/>
        <w:jc w:val="both"/>
        <w:rPr>
          <w:bCs/>
        </w:rPr>
      </w:pPr>
      <w:r w:rsidRPr="00C95148">
        <w:t>Pirkimo objektas yra:</w:t>
      </w:r>
      <w:r>
        <w:rPr>
          <w:bCs/>
        </w:rPr>
        <w:t xml:space="preserve"> </w:t>
      </w:r>
      <w:r>
        <w:rPr>
          <w:b/>
          <w:bCs/>
        </w:rPr>
        <w:t>Muzikos instrumentai</w:t>
      </w:r>
      <w:r>
        <w:t>– 2 vnt</w:t>
      </w:r>
      <w:r w:rsidRPr="00C95148">
        <w:t>.</w:t>
      </w:r>
    </w:p>
    <w:p w:rsidR="00F13998" w:rsidRPr="00C95148" w:rsidRDefault="00F13998" w:rsidP="00F13998">
      <w:pPr>
        <w:numPr>
          <w:ilvl w:val="1"/>
          <w:numId w:val="1"/>
        </w:numPr>
        <w:tabs>
          <w:tab w:val="left" w:pos="1134"/>
        </w:tabs>
        <w:ind w:left="0" w:firstLine="567"/>
        <w:jc w:val="both"/>
        <w:rPr>
          <w:bCs/>
        </w:rPr>
      </w:pPr>
      <w:r w:rsidRPr="00C95148">
        <w:rPr>
          <w:bCs/>
        </w:rPr>
        <w:t>Perkam</w:t>
      </w:r>
      <w:r>
        <w:rPr>
          <w:bCs/>
        </w:rPr>
        <w:t>i</w:t>
      </w:r>
      <w:r w:rsidRPr="00C95148">
        <w:rPr>
          <w:bCs/>
        </w:rPr>
        <w:t xml:space="preserve"> muzikos instrumenta</w:t>
      </w:r>
      <w:r>
        <w:rPr>
          <w:bCs/>
        </w:rPr>
        <w:t>i</w:t>
      </w:r>
      <w:r w:rsidRPr="00C95148">
        <w:rPr>
          <w:bCs/>
        </w:rPr>
        <w:t xml:space="preserve"> turės būti pristatyt</w:t>
      </w:r>
      <w:r>
        <w:rPr>
          <w:bCs/>
        </w:rPr>
        <w:t>i</w:t>
      </w:r>
      <w:r w:rsidRPr="00C95148">
        <w:rPr>
          <w:bCs/>
        </w:rPr>
        <w:t xml:space="preserve"> </w:t>
      </w:r>
      <w:r>
        <w:rPr>
          <w:bCs/>
        </w:rPr>
        <w:t>Karaliaus Mindaugo pr. 30</w:t>
      </w:r>
      <w:r w:rsidRPr="00C95148">
        <w:rPr>
          <w:bCs/>
        </w:rPr>
        <w:t xml:space="preserve">, Kaunas, </w:t>
      </w:r>
      <w:r w:rsidRPr="003B2A2C">
        <w:rPr>
          <w:bCs/>
        </w:rPr>
        <w:t xml:space="preserve">per </w:t>
      </w:r>
      <w:r>
        <w:rPr>
          <w:bCs/>
        </w:rPr>
        <w:t>2</w:t>
      </w:r>
      <w:r w:rsidRPr="00C95148">
        <w:rPr>
          <w:bCs/>
        </w:rPr>
        <w:t xml:space="preserve"> mėnesius nuo pirkimo sutarties įsigaliojimo dienos.</w:t>
      </w:r>
    </w:p>
    <w:p w:rsidR="00F13998" w:rsidRPr="00C95148" w:rsidRDefault="00F13998" w:rsidP="00F13998">
      <w:pPr>
        <w:jc w:val="both"/>
        <w:rPr>
          <w:bCs/>
        </w:rPr>
      </w:pPr>
    </w:p>
    <w:p w:rsidR="00F13998" w:rsidRPr="00C95148" w:rsidRDefault="00F13998" w:rsidP="00F13998">
      <w:pPr>
        <w:numPr>
          <w:ilvl w:val="0"/>
          <w:numId w:val="1"/>
        </w:numPr>
        <w:tabs>
          <w:tab w:val="left" w:pos="426"/>
        </w:tabs>
        <w:ind w:left="0" w:firstLine="0"/>
        <w:jc w:val="both"/>
        <w:rPr>
          <w:bCs/>
        </w:rPr>
      </w:pPr>
      <w:r w:rsidRPr="00C95148">
        <w:rPr>
          <w:bCs/>
        </w:rPr>
        <w:t xml:space="preserve">Pirkimas </w:t>
      </w:r>
      <w:r>
        <w:rPr>
          <w:bCs/>
        </w:rPr>
        <w:t>–</w:t>
      </w:r>
      <w:r w:rsidRPr="00C95148">
        <w:rPr>
          <w:bCs/>
        </w:rPr>
        <w:t xml:space="preserve"> </w:t>
      </w:r>
      <w:r>
        <w:t>Muzikos instrumentai</w:t>
      </w:r>
    </w:p>
    <w:p w:rsidR="00F13998" w:rsidRPr="00C95148" w:rsidRDefault="00F13998" w:rsidP="00F13998">
      <w:pPr>
        <w:numPr>
          <w:ilvl w:val="1"/>
          <w:numId w:val="1"/>
        </w:numPr>
        <w:tabs>
          <w:tab w:val="left" w:pos="1134"/>
        </w:tabs>
        <w:ind w:left="0" w:firstLine="567"/>
        <w:jc w:val="both"/>
      </w:pPr>
      <w:r w:rsidRPr="00C95148">
        <w:t>Šioje dalyje išdėstyti minimalūs reikalavimai perkam</w:t>
      </w:r>
      <w:r>
        <w:t>ai muzikos instrumentams.</w:t>
      </w:r>
    </w:p>
    <w:p w:rsidR="00F13998" w:rsidRPr="00C95148" w:rsidRDefault="00F13998" w:rsidP="00F13998">
      <w:pPr>
        <w:numPr>
          <w:ilvl w:val="1"/>
          <w:numId w:val="1"/>
        </w:numPr>
        <w:tabs>
          <w:tab w:val="left" w:pos="1134"/>
        </w:tabs>
        <w:ind w:left="0" w:firstLine="567"/>
        <w:jc w:val="both"/>
      </w:pPr>
      <w:r w:rsidRPr="00C95148">
        <w:t>Tiekėjas savo sąskaita privalo sudaryti Perkančiosios organizacijos atstovams galimybę įvertinti siūlomo modelio instrumentą. Pasiūlymas atmetamas, jei šis reikalavimas nebus įvykdytas.</w:t>
      </w:r>
    </w:p>
    <w:p w:rsidR="00F13998" w:rsidRPr="00C95148" w:rsidRDefault="00F13998" w:rsidP="00F13998">
      <w:pPr>
        <w:numPr>
          <w:ilvl w:val="1"/>
          <w:numId w:val="1"/>
        </w:numPr>
        <w:tabs>
          <w:tab w:val="left" w:pos="1134"/>
        </w:tabs>
        <w:ind w:left="0" w:firstLine="567"/>
        <w:jc w:val="both"/>
      </w:pPr>
      <w:r w:rsidRPr="00C95148">
        <w:t>Tiekėjas privalo pateikti gamintojo sudarytą ir patvirtintą siūlomo instrumento techninę specifikaciją (aprašymą) lietuvių kalba. Tiekėjas taip pat gali pateikti papildomą informaciją (dokumentaciją) apie siūlomą instrumentą.</w:t>
      </w:r>
    </w:p>
    <w:p w:rsidR="00F13998" w:rsidRDefault="00F13998" w:rsidP="00F13998">
      <w:pPr>
        <w:numPr>
          <w:ilvl w:val="1"/>
          <w:numId w:val="1"/>
        </w:numPr>
        <w:tabs>
          <w:tab w:val="left" w:pos="1134"/>
        </w:tabs>
        <w:ind w:left="0" w:firstLine="567"/>
        <w:jc w:val="both"/>
      </w:pPr>
      <w:r w:rsidRPr="00C95148">
        <w:t xml:space="preserve">Techninės charakteristikos aprašytos žemiau pateiktoje lentelėje. </w:t>
      </w:r>
      <w:r>
        <w:t>Muzikos instrumentai</w:t>
      </w:r>
      <w:r w:rsidRPr="00C95148">
        <w:t xml:space="preserve"> turi atitikti minimalius reikalavimus arba juos viršyti.</w:t>
      </w:r>
    </w:p>
    <w:p w:rsidR="00F13998" w:rsidRPr="005610C4" w:rsidRDefault="00F13998" w:rsidP="00F13998">
      <w:pPr>
        <w:numPr>
          <w:ilvl w:val="1"/>
          <w:numId w:val="1"/>
        </w:numPr>
        <w:tabs>
          <w:tab w:val="left" w:pos="1134"/>
        </w:tabs>
        <w:ind w:left="0" w:firstLine="567"/>
        <w:jc w:val="both"/>
      </w:pPr>
      <w:r w:rsidRPr="005610C4">
        <w:rPr>
          <w:spacing w:val="2"/>
        </w:rPr>
        <w:t xml:space="preserve">Pirkimui taikomi </w:t>
      </w:r>
      <w:r w:rsidRPr="005610C4">
        <w:rPr>
          <w:shd w:val="clear" w:color="auto" w:fill="FFFFFF"/>
        </w:rPr>
        <w:t>minimalūs aplinkos apsaugos reikalavimai</w:t>
      </w:r>
      <w:r>
        <w:rPr>
          <w:shd w:val="clear" w:color="auto" w:fill="FFFFFF"/>
        </w:rPr>
        <w:t xml:space="preserve"> vadovaujantis </w:t>
      </w:r>
      <w:hyperlink r:id="rId5" w:tgtFrame="_self" w:history="1">
        <w:r w:rsidRPr="005610C4">
          <w:rPr>
            <w:rStyle w:val="Hyperlink"/>
            <w:spacing w:val="2"/>
            <w:szCs w:val="24"/>
          </w:rPr>
          <w:t>Lietuvos Respublikos aplinkos ministro 2011 m. birželio 28 d. įsakymo Nr. D1-508 „Dėl aplinkos apsaugos kriterijų taikymo, vykdant žaliuosius pirkimus, tvarkos aprašo patvirtinimo"</w:t>
        </w:r>
      </w:hyperlink>
      <w:r w:rsidRPr="005610C4">
        <w:rPr>
          <w:spacing w:val="2"/>
        </w:rPr>
        <w:t> (toliau- Tvarkos aprašas) 4.4.4 papunk</w:t>
      </w:r>
      <w:r>
        <w:rPr>
          <w:spacing w:val="2"/>
        </w:rPr>
        <w:t>čiu</w:t>
      </w:r>
      <w:r w:rsidRPr="005610C4">
        <w:rPr>
          <w:spacing w:val="2"/>
        </w:rPr>
        <w:t>:</w:t>
      </w:r>
    </w:p>
    <w:p w:rsidR="00F13998" w:rsidRPr="009A0C48" w:rsidRDefault="00F13998" w:rsidP="00F13998">
      <w:pPr>
        <w:pStyle w:val="ListParagraph"/>
        <w:numPr>
          <w:ilvl w:val="0"/>
          <w:numId w:val="2"/>
        </w:numPr>
        <w:tabs>
          <w:tab w:val="left" w:pos="1134"/>
        </w:tabs>
        <w:jc w:val="both"/>
        <w:rPr>
          <w:rStyle w:val="Emphasis"/>
          <w:i w:val="0"/>
          <w:iCs w:val="0"/>
        </w:rPr>
      </w:pPr>
      <w:r w:rsidRPr="005610C4">
        <w:rPr>
          <w:rStyle w:val="Emphasis"/>
          <w:spacing w:val="2"/>
          <w:szCs w:val="24"/>
        </w:rPr>
        <w:t>4.4.4.4. prekė</w:t>
      </w:r>
      <w:r>
        <w:rPr>
          <w:rStyle w:val="Emphasis"/>
          <w:spacing w:val="2"/>
          <w:szCs w:val="24"/>
        </w:rPr>
        <w:t>s yra tvirtos</w:t>
      </w:r>
      <w:r w:rsidRPr="005610C4">
        <w:rPr>
          <w:rStyle w:val="Emphasis"/>
          <w:spacing w:val="2"/>
          <w:szCs w:val="24"/>
        </w:rPr>
        <w:t>, ilgaamžė</w:t>
      </w:r>
      <w:r>
        <w:rPr>
          <w:rStyle w:val="Emphasis"/>
          <w:spacing w:val="2"/>
          <w:szCs w:val="24"/>
        </w:rPr>
        <w:t>s</w:t>
      </w:r>
      <w:r w:rsidRPr="005610C4">
        <w:rPr>
          <w:rStyle w:val="Emphasis"/>
          <w:spacing w:val="2"/>
          <w:szCs w:val="24"/>
        </w:rPr>
        <w:t>, funkcionali</w:t>
      </w:r>
      <w:r>
        <w:rPr>
          <w:rStyle w:val="Emphasis"/>
          <w:spacing w:val="2"/>
          <w:szCs w:val="24"/>
        </w:rPr>
        <w:t>os</w:t>
      </w:r>
      <w:r w:rsidRPr="005610C4">
        <w:rPr>
          <w:rStyle w:val="Emphasis"/>
          <w:spacing w:val="2"/>
          <w:szCs w:val="24"/>
        </w:rPr>
        <w:t>, ji ar jos</w:t>
      </w:r>
      <w:r w:rsidRPr="005610C4">
        <w:rPr>
          <w:rStyle w:val="Emphasis"/>
          <w:spacing w:val="2"/>
        </w:rPr>
        <w:t xml:space="preserve"> sudedamosios dalys tinka naudoti daug kartų ir (ar) lengvai pataisomos, ir (ar) pakeičiamos</w:t>
      </w:r>
      <w:r>
        <w:rPr>
          <w:rStyle w:val="Emphasis"/>
          <w:spacing w:val="2"/>
        </w:rPr>
        <w:t>.</w:t>
      </w:r>
    </w:p>
    <w:p w:rsidR="00F13998" w:rsidRDefault="00F13998" w:rsidP="00F13998">
      <w:pPr>
        <w:jc w:val="both"/>
        <w:rPr>
          <w:b/>
          <w:bCs/>
          <w:szCs w:val="24"/>
        </w:rPr>
      </w:pPr>
    </w:p>
    <w:p w:rsidR="00F13998" w:rsidRDefault="00F13998" w:rsidP="00F13998">
      <w:pPr>
        <w:ind w:firstLine="567"/>
        <w:rPr>
          <w:b/>
          <w:bCs/>
          <w:szCs w:val="24"/>
        </w:rPr>
      </w:pPr>
      <w:r>
        <w:rPr>
          <w:b/>
          <w:bCs/>
          <w:szCs w:val="24"/>
        </w:rPr>
        <w:t>Timpanai</w:t>
      </w:r>
    </w:p>
    <w:tbl>
      <w:tblPr>
        <w:tblW w:w="5000" w:type="pct"/>
        <w:tblLook w:val="00A0" w:firstRow="1" w:lastRow="0" w:firstColumn="1" w:lastColumn="0" w:noHBand="0" w:noVBand="0"/>
      </w:tblPr>
      <w:tblGrid>
        <w:gridCol w:w="613"/>
        <w:gridCol w:w="4699"/>
        <w:gridCol w:w="4741"/>
      </w:tblGrid>
      <w:tr w:rsidR="00F13998" w:rsidRPr="00705FDA" w:rsidTr="00E913FB">
        <w:tc>
          <w:tcPr>
            <w:tcW w:w="305" w:type="pct"/>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rsidR="00F13998" w:rsidRPr="00705FDA" w:rsidRDefault="00F13998" w:rsidP="00E913FB">
            <w:pPr>
              <w:snapToGrid w:val="0"/>
              <w:spacing w:before="60"/>
              <w:rPr>
                <w:b/>
                <w:szCs w:val="24"/>
              </w:rPr>
            </w:pPr>
            <w:r w:rsidRPr="00705FDA">
              <w:rPr>
                <w:b/>
                <w:szCs w:val="24"/>
              </w:rPr>
              <w:t>Eil. Nr.</w:t>
            </w:r>
          </w:p>
        </w:tc>
        <w:tc>
          <w:tcPr>
            <w:tcW w:w="233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F13998" w:rsidRPr="00705FDA" w:rsidRDefault="00F13998" w:rsidP="00E913FB">
            <w:pPr>
              <w:snapToGrid w:val="0"/>
              <w:spacing w:before="60"/>
              <w:rPr>
                <w:b/>
                <w:szCs w:val="24"/>
              </w:rPr>
            </w:pPr>
            <w:r w:rsidRPr="00705FDA">
              <w:rPr>
                <w:b/>
                <w:szCs w:val="24"/>
              </w:rPr>
              <w:t>Reikalaujamos techninės charakteristikos</w:t>
            </w:r>
          </w:p>
        </w:tc>
        <w:tc>
          <w:tcPr>
            <w:tcW w:w="235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13998" w:rsidRPr="00705FDA" w:rsidRDefault="00F13998" w:rsidP="00E913FB">
            <w:pPr>
              <w:snapToGrid w:val="0"/>
              <w:spacing w:before="60"/>
              <w:rPr>
                <w:b/>
                <w:szCs w:val="24"/>
              </w:rPr>
            </w:pPr>
            <w:r w:rsidRPr="00705FDA">
              <w:rPr>
                <w:b/>
                <w:szCs w:val="24"/>
              </w:rPr>
              <w:t>Siūlomos techninės charakteristikos</w:t>
            </w:r>
          </w:p>
        </w:tc>
      </w:tr>
      <w:tr w:rsidR="00F13998" w:rsidRPr="00705FDA" w:rsidTr="00E913FB">
        <w:tc>
          <w:tcPr>
            <w:tcW w:w="264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3998" w:rsidRPr="00705FDA" w:rsidRDefault="00F13998" w:rsidP="00E913FB">
            <w:pPr>
              <w:snapToGrid w:val="0"/>
              <w:spacing w:before="60"/>
              <w:rPr>
                <w:b/>
                <w:szCs w:val="24"/>
              </w:rPr>
            </w:pPr>
            <w:r w:rsidRPr="00705FDA">
              <w:rPr>
                <w:b/>
                <w:szCs w:val="24"/>
              </w:rPr>
              <w:t>Nurodykite siūlomą modelį ir gamintoją</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rsidR="00F13998" w:rsidRPr="00705FDA" w:rsidRDefault="00F13998" w:rsidP="00E913FB">
            <w:pPr>
              <w:snapToGrid w:val="0"/>
              <w:spacing w:before="60"/>
              <w:rPr>
                <w:b/>
                <w:szCs w:val="24"/>
              </w:rPr>
            </w:pPr>
          </w:p>
        </w:tc>
      </w:tr>
      <w:tr w:rsidR="00F13998" w:rsidRPr="00705FDA" w:rsidTr="00E913FB">
        <w:tc>
          <w:tcPr>
            <w:tcW w:w="264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13998" w:rsidRPr="00705FDA" w:rsidRDefault="00F13998" w:rsidP="00E913FB">
            <w:pPr>
              <w:snapToGrid w:val="0"/>
              <w:spacing w:before="60"/>
              <w:rPr>
                <w:b/>
                <w:szCs w:val="24"/>
              </w:rPr>
            </w:pPr>
            <w:r w:rsidRPr="00705FDA">
              <w:rPr>
                <w:b/>
                <w:szCs w:val="24"/>
              </w:rPr>
              <w:t>Bendrosios charakteristikos</w:t>
            </w:r>
          </w:p>
        </w:tc>
        <w:tc>
          <w:tcPr>
            <w:tcW w:w="2358" w:type="pct"/>
            <w:tcBorders>
              <w:top w:val="single" w:sz="4" w:space="0" w:color="000000"/>
              <w:left w:val="single" w:sz="4" w:space="0" w:color="000000"/>
              <w:bottom w:val="single" w:sz="4" w:space="0" w:color="000000"/>
              <w:right w:val="single" w:sz="4" w:space="0" w:color="000000"/>
            </w:tcBorders>
            <w:shd w:val="clear" w:color="auto" w:fill="FFFFFF"/>
          </w:tcPr>
          <w:p w:rsidR="00F13998" w:rsidRPr="00705FDA" w:rsidRDefault="00F13998" w:rsidP="00E913FB">
            <w:pPr>
              <w:snapToGrid w:val="0"/>
              <w:spacing w:before="60"/>
              <w:rPr>
                <w:b/>
                <w:szCs w:val="24"/>
              </w:rPr>
            </w:pPr>
          </w:p>
        </w:tc>
      </w:tr>
      <w:tr w:rsidR="00F13998" w:rsidRPr="00705FDA" w:rsidTr="00E913FB">
        <w:tc>
          <w:tcPr>
            <w:tcW w:w="305" w:type="pct"/>
            <w:tcBorders>
              <w:top w:val="single" w:sz="4" w:space="0" w:color="000000"/>
              <w:left w:val="single" w:sz="4" w:space="0" w:color="000000"/>
              <w:bottom w:val="single" w:sz="4" w:space="0" w:color="000000"/>
              <w:right w:val="nil"/>
            </w:tcBorders>
            <w:vAlign w:val="center"/>
            <w:hideMark/>
          </w:tcPr>
          <w:p w:rsidR="00F13998" w:rsidRPr="00705FDA"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1.</w:t>
            </w:r>
          </w:p>
        </w:tc>
        <w:tc>
          <w:tcPr>
            <w:tcW w:w="2337" w:type="pct"/>
            <w:tcBorders>
              <w:top w:val="single" w:sz="4" w:space="0" w:color="000000"/>
              <w:left w:val="single" w:sz="4" w:space="0" w:color="000000"/>
              <w:bottom w:val="single" w:sz="4" w:space="0" w:color="000000"/>
              <w:right w:val="single" w:sz="4" w:space="0" w:color="000000"/>
            </w:tcBorders>
          </w:tcPr>
          <w:p w:rsidR="00F13998" w:rsidRPr="00AC196F" w:rsidRDefault="00F13998" w:rsidP="00E913FB">
            <w:pPr>
              <w:contextualSpacing/>
              <w:rPr>
                <w:szCs w:val="24"/>
              </w:rPr>
            </w:pPr>
            <w:r w:rsidRPr="00AC196F">
              <w:rPr>
                <w:szCs w:val="24"/>
              </w:rPr>
              <w:t>2</w:t>
            </w:r>
            <w:r w:rsidRPr="00573FF1">
              <w:rPr>
                <w:szCs w:val="24"/>
              </w:rPr>
              <w:t xml:space="preserve"> kalto vario katilai;</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r w:rsidR="00F13998" w:rsidRPr="00705FDA" w:rsidTr="00E913FB">
        <w:tc>
          <w:tcPr>
            <w:tcW w:w="305" w:type="pct"/>
            <w:tcBorders>
              <w:top w:val="single" w:sz="4" w:space="0" w:color="000000"/>
              <w:left w:val="single" w:sz="4" w:space="0" w:color="000000"/>
              <w:bottom w:val="single" w:sz="4" w:space="0" w:color="000000"/>
              <w:right w:val="nil"/>
            </w:tcBorders>
            <w:vAlign w:val="center"/>
          </w:tcPr>
          <w:p w:rsidR="00F13998" w:rsidRPr="00705FDA"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2.</w:t>
            </w:r>
          </w:p>
        </w:tc>
        <w:tc>
          <w:tcPr>
            <w:tcW w:w="2337" w:type="pct"/>
            <w:tcBorders>
              <w:top w:val="single" w:sz="4" w:space="0" w:color="000000"/>
              <w:left w:val="single" w:sz="4" w:space="0" w:color="000000"/>
              <w:bottom w:val="single" w:sz="4" w:space="0" w:color="000000"/>
              <w:right w:val="single" w:sz="4" w:space="0" w:color="000000"/>
            </w:tcBorders>
          </w:tcPr>
          <w:p w:rsidR="00F13998" w:rsidRPr="00AC196F" w:rsidRDefault="00F13998" w:rsidP="00E913FB">
            <w:pPr>
              <w:rPr>
                <w:szCs w:val="24"/>
              </w:rPr>
            </w:pPr>
            <w:r w:rsidRPr="00573FF1">
              <w:rPr>
                <w:szCs w:val="24"/>
              </w:rPr>
              <w:t>Diametrai: 2</w:t>
            </w:r>
            <w:r>
              <w:rPr>
                <w:szCs w:val="24"/>
              </w:rPr>
              <w:t>3 ir</w:t>
            </w:r>
            <w:r w:rsidRPr="00573FF1">
              <w:rPr>
                <w:szCs w:val="24"/>
              </w:rPr>
              <w:t xml:space="preserve"> </w:t>
            </w:r>
            <w:r>
              <w:rPr>
                <w:szCs w:val="24"/>
              </w:rPr>
              <w:t>32</w:t>
            </w:r>
            <w:r w:rsidRPr="00573FF1">
              <w:rPr>
                <w:szCs w:val="24"/>
              </w:rPr>
              <w:t xml:space="preserve"> colių</w:t>
            </w:r>
            <w:r w:rsidRPr="00AC196F">
              <w:rPr>
                <w:szCs w:val="24"/>
              </w:rPr>
              <w:t>;</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r w:rsidR="00F13998" w:rsidRPr="00705FDA" w:rsidTr="00E913FB">
        <w:trPr>
          <w:trHeight w:val="70"/>
        </w:trPr>
        <w:tc>
          <w:tcPr>
            <w:tcW w:w="305" w:type="pct"/>
            <w:tcBorders>
              <w:top w:val="single" w:sz="4" w:space="0" w:color="000000"/>
              <w:left w:val="single" w:sz="4" w:space="0" w:color="000000"/>
              <w:bottom w:val="single" w:sz="4" w:space="0" w:color="000000"/>
              <w:right w:val="nil"/>
            </w:tcBorders>
            <w:vAlign w:val="center"/>
          </w:tcPr>
          <w:p w:rsidR="00F13998" w:rsidRPr="00705FDA"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3.</w:t>
            </w:r>
          </w:p>
        </w:tc>
        <w:tc>
          <w:tcPr>
            <w:tcW w:w="2337" w:type="pct"/>
            <w:tcBorders>
              <w:top w:val="single" w:sz="4" w:space="0" w:color="000000"/>
              <w:left w:val="single" w:sz="4" w:space="0" w:color="000000"/>
              <w:bottom w:val="single" w:sz="4" w:space="0" w:color="000000"/>
              <w:right w:val="single" w:sz="4" w:space="0" w:color="000000"/>
            </w:tcBorders>
          </w:tcPr>
          <w:p w:rsidR="00F13998" w:rsidRPr="00AC196F" w:rsidRDefault="00F13998" w:rsidP="00E913FB">
            <w:pPr>
              <w:contextualSpacing/>
              <w:rPr>
                <w:szCs w:val="24"/>
              </w:rPr>
            </w:pPr>
            <w:r w:rsidRPr="00573FF1">
              <w:rPr>
                <w:szCs w:val="24"/>
              </w:rPr>
              <w:t>Derinami kojiniu pedalu;</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r w:rsidR="00F13998" w:rsidRPr="00705FDA" w:rsidTr="00E913FB">
        <w:trPr>
          <w:trHeight w:val="206"/>
        </w:trPr>
        <w:tc>
          <w:tcPr>
            <w:tcW w:w="305" w:type="pct"/>
            <w:tcBorders>
              <w:top w:val="single" w:sz="4" w:space="0" w:color="000000"/>
              <w:left w:val="single" w:sz="4" w:space="0" w:color="000000"/>
              <w:bottom w:val="single" w:sz="4" w:space="0" w:color="000000"/>
              <w:right w:val="nil"/>
            </w:tcBorders>
            <w:vAlign w:val="center"/>
          </w:tcPr>
          <w:p w:rsidR="00F13998" w:rsidRPr="00705FDA"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4.</w:t>
            </w:r>
          </w:p>
        </w:tc>
        <w:tc>
          <w:tcPr>
            <w:tcW w:w="2337" w:type="pct"/>
            <w:tcBorders>
              <w:top w:val="single" w:sz="4" w:space="0" w:color="000000"/>
              <w:left w:val="single" w:sz="4" w:space="0" w:color="000000"/>
              <w:bottom w:val="single" w:sz="4" w:space="0" w:color="000000"/>
              <w:right w:val="single" w:sz="4" w:space="0" w:color="000000"/>
            </w:tcBorders>
          </w:tcPr>
          <w:p w:rsidR="00F13998" w:rsidRPr="00AC196F" w:rsidRDefault="00F13998" w:rsidP="00E913FB">
            <w:pPr>
              <w:contextualSpacing/>
              <w:rPr>
                <w:szCs w:val="24"/>
              </w:rPr>
            </w:pPr>
            <w:r w:rsidRPr="00573FF1">
              <w:rPr>
                <w:szCs w:val="24"/>
              </w:rPr>
              <w:t>Balansuoto veikimo pedalo sistema su spyruokle arba hidrauliniu cilindru;</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r w:rsidR="00F13998" w:rsidRPr="00705FDA" w:rsidTr="00E913FB">
        <w:trPr>
          <w:trHeight w:val="70"/>
        </w:trPr>
        <w:tc>
          <w:tcPr>
            <w:tcW w:w="305" w:type="pct"/>
            <w:tcBorders>
              <w:top w:val="single" w:sz="4" w:space="0" w:color="000000"/>
              <w:left w:val="single" w:sz="4" w:space="0" w:color="000000"/>
              <w:bottom w:val="single" w:sz="4" w:space="0" w:color="000000"/>
              <w:right w:val="nil"/>
            </w:tcBorders>
            <w:vAlign w:val="center"/>
          </w:tcPr>
          <w:p w:rsidR="00F13998" w:rsidRPr="00705FDA"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5.</w:t>
            </w:r>
          </w:p>
        </w:tc>
        <w:tc>
          <w:tcPr>
            <w:tcW w:w="2337" w:type="pct"/>
            <w:tcBorders>
              <w:top w:val="single" w:sz="4" w:space="0" w:color="000000"/>
              <w:left w:val="single" w:sz="4" w:space="0" w:color="000000"/>
              <w:bottom w:val="single" w:sz="4" w:space="0" w:color="000000"/>
              <w:right w:val="single" w:sz="4" w:space="0" w:color="000000"/>
            </w:tcBorders>
          </w:tcPr>
          <w:p w:rsidR="00F13998" w:rsidRPr="00AC196F" w:rsidRDefault="00F13998" w:rsidP="00E913FB">
            <w:pPr>
              <w:contextualSpacing/>
              <w:rPr>
                <w:szCs w:val="24"/>
              </w:rPr>
            </w:pPr>
            <w:r w:rsidRPr="00573FF1">
              <w:rPr>
                <w:szCs w:val="24"/>
              </w:rPr>
              <w:t>Papildomai įrengtas derinimo mechanizmas ranka;</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r w:rsidR="00F13998" w:rsidRPr="00705FDA" w:rsidTr="00E913FB">
        <w:tc>
          <w:tcPr>
            <w:tcW w:w="305" w:type="pct"/>
            <w:tcBorders>
              <w:top w:val="single" w:sz="4" w:space="0" w:color="000000"/>
              <w:left w:val="single" w:sz="4" w:space="0" w:color="000000"/>
              <w:bottom w:val="single" w:sz="4" w:space="0" w:color="000000"/>
              <w:right w:val="nil"/>
            </w:tcBorders>
            <w:vAlign w:val="center"/>
          </w:tcPr>
          <w:p w:rsidR="00F13998" w:rsidRPr="00705FDA"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6.</w:t>
            </w:r>
          </w:p>
        </w:tc>
        <w:tc>
          <w:tcPr>
            <w:tcW w:w="2337" w:type="pct"/>
            <w:tcBorders>
              <w:top w:val="single" w:sz="4" w:space="0" w:color="000000"/>
              <w:left w:val="single" w:sz="4" w:space="0" w:color="000000"/>
              <w:bottom w:val="single" w:sz="4" w:space="0" w:color="000000"/>
              <w:right w:val="single" w:sz="4" w:space="0" w:color="000000"/>
            </w:tcBorders>
          </w:tcPr>
          <w:p w:rsidR="00F13998" w:rsidRPr="00AC196F" w:rsidRDefault="00F13998" w:rsidP="00E913FB">
            <w:pPr>
              <w:contextualSpacing/>
              <w:rPr>
                <w:b/>
                <w:szCs w:val="24"/>
              </w:rPr>
            </w:pPr>
            <w:r w:rsidRPr="00573FF1">
              <w:rPr>
                <w:szCs w:val="24"/>
              </w:rPr>
              <w:t>Ratukai su stabdžiais</w:t>
            </w:r>
            <w:r>
              <w:rPr>
                <w:szCs w:val="24"/>
              </w:rPr>
              <w:t>;</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r w:rsidR="00F13998" w:rsidRPr="00705FDA" w:rsidTr="00E913FB">
        <w:tc>
          <w:tcPr>
            <w:tcW w:w="305" w:type="pct"/>
            <w:tcBorders>
              <w:top w:val="single" w:sz="4" w:space="0" w:color="000000"/>
              <w:left w:val="single" w:sz="4" w:space="0" w:color="000000"/>
              <w:bottom w:val="single" w:sz="4" w:space="0" w:color="000000"/>
              <w:right w:val="nil"/>
            </w:tcBorders>
            <w:vAlign w:val="center"/>
          </w:tcPr>
          <w:p w:rsidR="00F13998" w:rsidRDefault="00F13998" w:rsidP="00E913FB">
            <w:pPr>
              <w:pStyle w:val="MediumGrid1-Accent21"/>
              <w:suppressAutoHyphens/>
              <w:snapToGrid w:val="0"/>
              <w:spacing w:before="60"/>
              <w:ind w:left="0"/>
              <w:contextualSpacing w:val="0"/>
              <w:jc w:val="center"/>
              <w:rPr>
                <w:rFonts w:ascii="Times New Roman" w:hAnsi="Times New Roman"/>
                <w:szCs w:val="24"/>
                <w:lang w:val="lt-LT"/>
              </w:rPr>
            </w:pPr>
            <w:r>
              <w:rPr>
                <w:rFonts w:ascii="Times New Roman" w:hAnsi="Times New Roman"/>
                <w:szCs w:val="24"/>
                <w:lang w:val="lt-LT"/>
              </w:rPr>
              <w:t>7.</w:t>
            </w:r>
          </w:p>
        </w:tc>
        <w:tc>
          <w:tcPr>
            <w:tcW w:w="2337" w:type="pct"/>
            <w:tcBorders>
              <w:top w:val="single" w:sz="4" w:space="0" w:color="000000"/>
              <w:left w:val="single" w:sz="4" w:space="0" w:color="000000"/>
              <w:bottom w:val="single" w:sz="4" w:space="0" w:color="000000"/>
              <w:right w:val="single" w:sz="4" w:space="0" w:color="000000"/>
            </w:tcBorders>
          </w:tcPr>
          <w:p w:rsidR="00F13998" w:rsidRPr="00573FF1" w:rsidRDefault="00F13998" w:rsidP="00E913FB">
            <w:pPr>
              <w:contextualSpacing/>
              <w:rPr>
                <w:szCs w:val="24"/>
              </w:rPr>
            </w:pPr>
            <w:r>
              <w:rPr>
                <w:szCs w:val="24"/>
              </w:rPr>
              <w:t>Užvalkalai.</w:t>
            </w:r>
          </w:p>
        </w:tc>
        <w:tc>
          <w:tcPr>
            <w:tcW w:w="2358" w:type="pct"/>
            <w:tcBorders>
              <w:top w:val="single" w:sz="4" w:space="0" w:color="000000"/>
              <w:left w:val="single" w:sz="4" w:space="0" w:color="000000"/>
              <w:bottom w:val="single" w:sz="4" w:space="0" w:color="000000"/>
              <w:right w:val="single" w:sz="4" w:space="0" w:color="000000"/>
            </w:tcBorders>
          </w:tcPr>
          <w:p w:rsidR="00F13998" w:rsidRPr="00705FDA" w:rsidRDefault="00F13998" w:rsidP="00E913FB">
            <w:pPr>
              <w:snapToGrid w:val="0"/>
              <w:spacing w:before="60"/>
              <w:jc w:val="both"/>
              <w:rPr>
                <w:szCs w:val="24"/>
              </w:rPr>
            </w:pPr>
          </w:p>
        </w:tc>
      </w:tr>
    </w:tbl>
    <w:p w:rsidR="00F13998" w:rsidRDefault="00F13998" w:rsidP="00F13998">
      <w:pPr>
        <w:ind w:firstLine="567"/>
        <w:rPr>
          <w:szCs w:val="24"/>
        </w:rPr>
      </w:pPr>
    </w:p>
    <w:p w:rsidR="00F13998" w:rsidRDefault="00F13998" w:rsidP="00F13998">
      <w:pPr>
        <w:jc w:val="both"/>
      </w:pPr>
    </w:p>
    <w:p w:rsidR="00F13998" w:rsidRPr="00C95148" w:rsidRDefault="00F13998" w:rsidP="00F13998">
      <w:pPr>
        <w:tabs>
          <w:tab w:val="left" w:pos="284"/>
          <w:tab w:val="left" w:pos="567"/>
          <w:tab w:val="left" w:pos="1985"/>
        </w:tabs>
        <w:suppressAutoHyphens/>
        <w:ind w:firstLine="567"/>
        <w:jc w:val="both"/>
      </w:pPr>
      <w:r w:rsidRPr="009857D0">
        <w:t>Jeigu techninėje specifikacijoje būtų panaudoti konkretūs prekių pavadinimai, kilmės šalis, standartai ar pan., tiekėjai turi teisę siūlyti lygiaver</w:t>
      </w:r>
      <w:r>
        <w:t>tes</w:t>
      </w:r>
      <w:r w:rsidRPr="009857D0">
        <w:t xml:space="preserve"> ar geresnių charakteristikų prekes.</w:t>
      </w:r>
    </w:p>
    <w:p w:rsidR="004B06C9" w:rsidRDefault="004B06C9">
      <w:bookmarkStart w:id="0" w:name="_GoBack"/>
      <w:bookmarkEnd w:id="0"/>
    </w:p>
    <w:sectPr w:rsidR="004B06C9" w:rsidSect="00EA795F">
      <w:headerReference w:type="default" r:id="rId6"/>
      <w:pgSz w:w="11906" w:h="16838"/>
      <w:pgMar w:top="1134" w:right="567" w:bottom="1134" w:left="1276"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615883"/>
      <w:docPartObj>
        <w:docPartGallery w:val="Page Numbers (Top of Page)"/>
        <w:docPartUnique/>
      </w:docPartObj>
    </w:sdtPr>
    <w:sdtEndPr/>
    <w:sdtContent>
      <w:p w:rsidR="009A0C48" w:rsidRDefault="00F13998">
        <w:pPr>
          <w:pStyle w:val="Header"/>
        </w:pPr>
        <w:r>
          <w:fldChar w:fldCharType="begin"/>
        </w:r>
        <w:r>
          <w:instrText>PAGE   \* MERGEFORMAT</w:instrText>
        </w:r>
        <w:r>
          <w:fldChar w:fldCharType="separate"/>
        </w:r>
        <w:r>
          <w:rPr>
            <w:noProof/>
          </w:rPr>
          <w:t>13</w:t>
        </w:r>
        <w:r>
          <w:fldChar w:fldCharType="end"/>
        </w:r>
      </w:p>
    </w:sdtContent>
  </w:sdt>
  <w:p w:rsidR="009A0C48" w:rsidRDefault="00F13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41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F517CD"/>
    <w:multiLevelType w:val="hybridMultilevel"/>
    <w:tmpl w:val="61CA08D8"/>
    <w:lvl w:ilvl="0" w:tplc="CF08EED8">
      <w:start w:val="11"/>
      <w:numFmt w:val="bullet"/>
      <w:lvlText w:val="-"/>
      <w:lvlJc w:val="left"/>
      <w:pPr>
        <w:ind w:left="927" w:hanging="360"/>
      </w:pPr>
      <w:rPr>
        <w:rFonts w:ascii="Times New Roman" w:eastAsia="Times New Roman" w:hAnsi="Times New Roman" w:cs="Times New Roman" w:hint="default"/>
        <w:color w:val="555555"/>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98"/>
    <w:rsid w:val="00100EC9"/>
    <w:rsid w:val="004B06C9"/>
    <w:rsid w:val="00F1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98A42-0417-42C2-AF07-010106A8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998"/>
    <w:pPr>
      <w:spacing w:after="0" w:line="240" w:lineRule="auto"/>
      <w:jc w:val="center"/>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F13998"/>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
    <w:basedOn w:val="Normal"/>
    <w:link w:val="ListParagraphChar"/>
    <w:uiPriority w:val="99"/>
    <w:qFormat/>
    <w:rsid w:val="00F13998"/>
    <w:pPr>
      <w:ind w:left="720"/>
      <w:contextualSpacing/>
    </w:p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99"/>
    <w:locked/>
    <w:rsid w:val="00F13998"/>
    <w:rPr>
      <w:rFonts w:ascii="Times New Roman" w:eastAsia="Times New Roman" w:hAnsi="Times New Roman" w:cs="Times New Roman"/>
      <w:sz w:val="24"/>
      <w:szCs w:val="20"/>
      <w:lang w:val="lt-LT" w:eastAsia="lt-LT"/>
    </w:rPr>
  </w:style>
  <w:style w:type="paragraph" w:styleId="Header">
    <w:name w:val="header"/>
    <w:basedOn w:val="Normal"/>
    <w:link w:val="HeaderChar"/>
    <w:unhideWhenUsed/>
    <w:rsid w:val="00F13998"/>
    <w:pPr>
      <w:tabs>
        <w:tab w:val="center" w:pos="4819"/>
        <w:tab w:val="right" w:pos="9638"/>
      </w:tabs>
    </w:pPr>
  </w:style>
  <w:style w:type="character" w:customStyle="1" w:styleId="HeaderChar">
    <w:name w:val="Header Char"/>
    <w:basedOn w:val="DefaultParagraphFont"/>
    <w:link w:val="Header"/>
    <w:rsid w:val="00F13998"/>
    <w:rPr>
      <w:rFonts w:ascii="Times New Roman" w:eastAsia="Times New Roman" w:hAnsi="Times New Roman" w:cs="Times New Roman"/>
      <w:sz w:val="24"/>
      <w:szCs w:val="20"/>
      <w:lang w:val="lt-LT" w:eastAsia="lt-LT"/>
    </w:rPr>
  </w:style>
  <w:style w:type="paragraph" w:customStyle="1" w:styleId="MediumGrid1-Accent21">
    <w:name w:val="Medium Grid 1 - Accent 21"/>
    <w:basedOn w:val="Normal"/>
    <w:uiPriority w:val="34"/>
    <w:qFormat/>
    <w:rsid w:val="00F13998"/>
    <w:pPr>
      <w:ind w:left="720"/>
      <w:contextualSpacing/>
      <w:jc w:val="left"/>
    </w:pPr>
    <w:rPr>
      <w:rFonts w:ascii="TimesLT" w:hAnsi="TimesLT"/>
      <w:lang w:val="en-US" w:eastAsia="en-US"/>
    </w:rPr>
  </w:style>
  <w:style w:type="character" w:styleId="Emphasis">
    <w:name w:val="Emphasis"/>
    <w:basedOn w:val="DefaultParagraphFont"/>
    <w:uiPriority w:val="20"/>
    <w:qFormat/>
    <w:rsid w:val="00F13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1842</Words>
  <Characters>1050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Mokytojas</cp:lastModifiedBy>
  <cp:revision>1</cp:revision>
  <dcterms:created xsi:type="dcterms:W3CDTF">2025-11-18T12:09:00Z</dcterms:created>
  <dcterms:modified xsi:type="dcterms:W3CDTF">2025-11-18T12:10:00Z</dcterms:modified>
</cp:coreProperties>
</file>