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4F2F01C3" w:rsidR="0083351E" w:rsidRDefault="0083351E" w:rsidP="0083351E">
      <w:pPr>
        <w:tabs>
          <w:tab w:val="left" w:pos="11624"/>
        </w:tabs>
        <w:spacing w:after="0" w:line="240" w:lineRule="auto"/>
        <w:ind w:left="10490"/>
        <w:jc w:val="both"/>
        <w:rPr>
          <w:bCs/>
          <w:szCs w:val="24"/>
        </w:rPr>
      </w:pPr>
      <w:r>
        <w:rPr>
          <w:bCs/>
          <w:szCs w:val="24"/>
        </w:rPr>
        <w:t>202</w:t>
      </w:r>
      <w:r w:rsidR="005D3EF5">
        <w:rPr>
          <w:bCs/>
          <w:szCs w:val="24"/>
        </w:rPr>
        <w:t>5</w:t>
      </w:r>
      <w:r>
        <w:rPr>
          <w:bCs/>
          <w:szCs w:val="24"/>
        </w:rPr>
        <w:t>-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0F70D2EF" w14:textId="363FE2F6" w:rsidR="006328E3" w:rsidRPr="006328E3" w:rsidRDefault="006328E3" w:rsidP="006328E3">
      <w:pPr>
        <w:spacing w:after="0"/>
        <w:jc w:val="center"/>
        <w:rPr>
          <w:szCs w:val="24"/>
        </w:rPr>
      </w:pPr>
      <w:bookmarkStart w:id="0" w:name="_Hlk164075033"/>
      <w:r w:rsidRPr="006328E3">
        <w:rPr>
          <w:b/>
          <w:szCs w:val="24"/>
        </w:rPr>
        <w:t>REAGENTŲ</w:t>
      </w:r>
      <w:r w:rsidR="00C04C16">
        <w:rPr>
          <w:b/>
          <w:szCs w:val="24"/>
        </w:rPr>
        <w:t xml:space="preserve"> IR PRIEMONIŲ</w:t>
      </w:r>
      <w:r w:rsidRPr="006328E3">
        <w:rPr>
          <w:b/>
          <w:szCs w:val="24"/>
        </w:rPr>
        <w:t xml:space="preserve">, SKIRTŲ </w:t>
      </w:r>
      <w:r w:rsidR="00C04C16">
        <w:rPr>
          <w:b/>
          <w:szCs w:val="24"/>
        </w:rPr>
        <w:t>KLINIKINIŲ TYRIMŲ ATLIKIMUI</w:t>
      </w:r>
      <w:r w:rsidRPr="006328E3">
        <w:rPr>
          <w:b/>
          <w:szCs w:val="24"/>
        </w:rPr>
        <w:t>, PIRKIMAS (AK-</w:t>
      </w:r>
      <w:r w:rsidR="005D3EF5">
        <w:rPr>
          <w:b/>
          <w:szCs w:val="24"/>
        </w:rPr>
        <w:t>3</w:t>
      </w:r>
      <w:r w:rsidRPr="006328E3">
        <w:rPr>
          <w:b/>
          <w:szCs w:val="24"/>
        </w:rPr>
        <w:t>/202</w:t>
      </w:r>
      <w:r w:rsidR="005D3EF5">
        <w:rPr>
          <w:b/>
          <w:szCs w:val="24"/>
        </w:rPr>
        <w:t>5</w:t>
      </w:r>
      <w:r w:rsidRPr="006328E3">
        <w:rPr>
          <w:b/>
          <w:szCs w:val="24"/>
        </w:rPr>
        <w:t>)</w:t>
      </w:r>
    </w:p>
    <w:bookmarkEnd w:id="0"/>
    <w:p w14:paraId="0310B3B7" w14:textId="7658D9D6" w:rsidR="0083351E" w:rsidRDefault="0083351E" w:rsidP="00ED2AA2">
      <w:pPr>
        <w:jc w:val="center"/>
        <w:rPr>
          <w:szCs w:val="24"/>
        </w:rPr>
      </w:pPr>
      <w:r w:rsidRPr="005A18AE">
        <w:rPr>
          <w:b/>
          <w:szCs w:val="24"/>
        </w:rPr>
        <w:t>TECHNINĖ SPECIFIKACIJA</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134"/>
        <w:gridCol w:w="1417"/>
        <w:gridCol w:w="1134"/>
        <w:gridCol w:w="709"/>
        <w:gridCol w:w="142"/>
        <w:gridCol w:w="567"/>
        <w:gridCol w:w="283"/>
        <w:gridCol w:w="425"/>
        <w:gridCol w:w="426"/>
        <w:gridCol w:w="282"/>
        <w:gridCol w:w="426"/>
        <w:gridCol w:w="425"/>
        <w:gridCol w:w="426"/>
        <w:gridCol w:w="1134"/>
        <w:gridCol w:w="1276"/>
      </w:tblGrid>
      <w:tr w:rsidR="0083351E" w:rsidRPr="00C044BB" w14:paraId="7FF649CB" w14:textId="77777777" w:rsidTr="00A11500">
        <w:trPr>
          <w:tblHeader/>
        </w:trPr>
        <w:tc>
          <w:tcPr>
            <w:tcW w:w="851" w:type="dxa"/>
            <w:shd w:val="clear" w:color="auto" w:fill="D5DCE4" w:themeFill="text2" w:themeFillTint="33"/>
          </w:tcPr>
          <w:p w14:paraId="32CB22C3" w14:textId="77777777" w:rsidR="0083351E" w:rsidRPr="00C044BB" w:rsidRDefault="0083351E" w:rsidP="00B24189">
            <w:pPr>
              <w:spacing w:after="0" w:line="240" w:lineRule="auto"/>
              <w:ind w:left="-108" w:right="-108"/>
              <w:jc w:val="center"/>
              <w:rPr>
                <w:b/>
                <w:sz w:val="16"/>
                <w:szCs w:val="16"/>
              </w:rPr>
            </w:pPr>
            <w:r w:rsidRPr="00C044BB">
              <w:rPr>
                <w:b/>
                <w:sz w:val="16"/>
                <w:szCs w:val="16"/>
              </w:rPr>
              <w:lastRenderedPageBreak/>
              <w:t>Pirkimo objekto dalies</w:t>
            </w:r>
          </w:p>
          <w:p w14:paraId="36015DEC" w14:textId="77777777" w:rsidR="0083351E" w:rsidRPr="00C044BB" w:rsidRDefault="0083351E" w:rsidP="00B24189">
            <w:pPr>
              <w:spacing w:after="0" w:line="240" w:lineRule="auto"/>
              <w:ind w:left="-108" w:right="-108"/>
              <w:jc w:val="center"/>
              <w:rPr>
                <w:b/>
                <w:sz w:val="16"/>
                <w:szCs w:val="16"/>
              </w:rPr>
            </w:pPr>
            <w:r w:rsidRPr="00C044BB">
              <w:rPr>
                <w:b/>
                <w:sz w:val="16"/>
                <w:szCs w:val="16"/>
              </w:rPr>
              <w:t>Nr.</w:t>
            </w:r>
          </w:p>
        </w:tc>
        <w:tc>
          <w:tcPr>
            <w:tcW w:w="2410" w:type="dxa"/>
            <w:shd w:val="clear" w:color="auto" w:fill="D5DCE4" w:themeFill="text2" w:themeFillTint="33"/>
          </w:tcPr>
          <w:p w14:paraId="6D7CF15C" w14:textId="77777777" w:rsidR="0083351E" w:rsidRPr="00C044BB" w:rsidRDefault="0083351E" w:rsidP="00B24189">
            <w:pPr>
              <w:spacing w:after="0" w:line="240" w:lineRule="auto"/>
              <w:jc w:val="center"/>
              <w:rPr>
                <w:b/>
                <w:sz w:val="16"/>
                <w:szCs w:val="16"/>
              </w:rPr>
            </w:pPr>
            <w:r w:rsidRPr="00C044BB">
              <w:rPr>
                <w:b/>
                <w:sz w:val="16"/>
                <w:szCs w:val="16"/>
              </w:rPr>
              <w:t>Pirkimo objekto dalies pavadinimas</w:t>
            </w:r>
          </w:p>
        </w:tc>
        <w:tc>
          <w:tcPr>
            <w:tcW w:w="1134" w:type="dxa"/>
            <w:shd w:val="clear" w:color="auto" w:fill="D5DCE4" w:themeFill="text2" w:themeFillTint="33"/>
          </w:tcPr>
          <w:p w14:paraId="6D445353" w14:textId="77777777" w:rsidR="0083351E" w:rsidRPr="00C044BB" w:rsidRDefault="0083351E" w:rsidP="00B24189">
            <w:pPr>
              <w:spacing w:after="0" w:line="240" w:lineRule="auto"/>
              <w:ind w:left="-108" w:right="-108"/>
              <w:jc w:val="center"/>
              <w:rPr>
                <w:b/>
                <w:sz w:val="16"/>
                <w:szCs w:val="16"/>
              </w:rPr>
            </w:pPr>
            <w:r w:rsidRPr="00C044BB">
              <w:rPr>
                <w:b/>
                <w:sz w:val="16"/>
                <w:szCs w:val="16"/>
              </w:rPr>
              <w:t>BVPŽ</w:t>
            </w:r>
          </w:p>
          <w:p w14:paraId="713D8F8F" w14:textId="77777777" w:rsidR="0083351E" w:rsidRPr="00C044BB" w:rsidRDefault="0083351E" w:rsidP="00B24189">
            <w:pPr>
              <w:spacing w:after="0" w:line="240" w:lineRule="auto"/>
              <w:ind w:left="-108" w:right="-108"/>
              <w:jc w:val="center"/>
              <w:rPr>
                <w:b/>
                <w:sz w:val="16"/>
                <w:szCs w:val="16"/>
              </w:rPr>
            </w:pPr>
            <w:r w:rsidRPr="00C044BB">
              <w:rPr>
                <w:b/>
                <w:sz w:val="16"/>
                <w:szCs w:val="16"/>
              </w:rPr>
              <w:t>kodas</w:t>
            </w:r>
          </w:p>
        </w:tc>
        <w:tc>
          <w:tcPr>
            <w:tcW w:w="1417" w:type="dxa"/>
            <w:shd w:val="clear" w:color="auto" w:fill="D5DCE4" w:themeFill="text2" w:themeFillTint="33"/>
          </w:tcPr>
          <w:p w14:paraId="61B95D41" w14:textId="77777777" w:rsidR="0083351E" w:rsidRPr="00C044BB" w:rsidRDefault="0083351E" w:rsidP="00B24189">
            <w:pPr>
              <w:spacing w:after="0" w:line="240" w:lineRule="auto"/>
              <w:ind w:left="-108" w:right="-108"/>
              <w:jc w:val="center"/>
              <w:rPr>
                <w:b/>
                <w:sz w:val="16"/>
                <w:szCs w:val="16"/>
              </w:rPr>
            </w:pPr>
            <w:r w:rsidRPr="00C044BB">
              <w:rPr>
                <w:b/>
                <w:sz w:val="16"/>
                <w:szCs w:val="16"/>
              </w:rPr>
              <w:t>Specifikacija</w:t>
            </w:r>
          </w:p>
        </w:tc>
        <w:tc>
          <w:tcPr>
            <w:tcW w:w="1134" w:type="dxa"/>
            <w:shd w:val="clear" w:color="auto" w:fill="D5DCE4" w:themeFill="text2" w:themeFillTint="33"/>
          </w:tcPr>
          <w:p w14:paraId="1F3B6DA4" w14:textId="77777777" w:rsidR="0083351E" w:rsidRPr="00C044BB" w:rsidRDefault="0083351E" w:rsidP="00B24189">
            <w:pPr>
              <w:spacing w:after="0" w:line="240" w:lineRule="auto"/>
              <w:ind w:left="-114" w:right="-100"/>
              <w:jc w:val="center"/>
              <w:rPr>
                <w:b/>
                <w:sz w:val="16"/>
                <w:szCs w:val="16"/>
              </w:rPr>
            </w:pPr>
            <w:r w:rsidRPr="00C044BB">
              <w:rPr>
                <w:b/>
                <w:sz w:val="16"/>
                <w:szCs w:val="16"/>
              </w:rPr>
              <w:t>Gamintojas ir gamintojo katalogo Nr., gamintojo fasuotė</w:t>
            </w:r>
          </w:p>
        </w:tc>
        <w:tc>
          <w:tcPr>
            <w:tcW w:w="851" w:type="dxa"/>
            <w:gridSpan w:val="2"/>
            <w:shd w:val="clear" w:color="auto" w:fill="D5DCE4" w:themeFill="text2" w:themeFillTint="33"/>
          </w:tcPr>
          <w:p w14:paraId="45E9FD0D" w14:textId="77777777" w:rsidR="0083351E" w:rsidRPr="00C044BB" w:rsidRDefault="0083351E" w:rsidP="00B24189">
            <w:pPr>
              <w:spacing w:after="0" w:line="240" w:lineRule="auto"/>
              <w:ind w:left="-108" w:right="-123"/>
              <w:jc w:val="center"/>
              <w:rPr>
                <w:b/>
                <w:sz w:val="16"/>
                <w:szCs w:val="16"/>
              </w:rPr>
            </w:pPr>
            <w:r w:rsidRPr="00C044BB">
              <w:rPr>
                <w:b/>
                <w:sz w:val="16"/>
                <w:szCs w:val="16"/>
              </w:rPr>
              <w:t>Mato vienetas</w:t>
            </w:r>
          </w:p>
        </w:tc>
        <w:tc>
          <w:tcPr>
            <w:tcW w:w="850" w:type="dxa"/>
            <w:gridSpan w:val="2"/>
            <w:shd w:val="clear" w:color="auto" w:fill="D5DCE4" w:themeFill="text2" w:themeFillTint="33"/>
          </w:tcPr>
          <w:p w14:paraId="3C9DB8B6" w14:textId="77777777" w:rsidR="0083351E" w:rsidRPr="00C044BB" w:rsidRDefault="0083351E" w:rsidP="00B24189">
            <w:pPr>
              <w:spacing w:after="0" w:line="240" w:lineRule="auto"/>
              <w:ind w:left="-107" w:right="-108"/>
              <w:jc w:val="center"/>
              <w:rPr>
                <w:b/>
                <w:sz w:val="16"/>
                <w:szCs w:val="16"/>
              </w:rPr>
            </w:pPr>
            <w:r w:rsidRPr="00C044BB">
              <w:rPr>
                <w:b/>
                <w:sz w:val="16"/>
                <w:szCs w:val="16"/>
              </w:rPr>
              <w:t>Maksi-malus orienta-cinis vnt. kiekis</w:t>
            </w:r>
          </w:p>
        </w:tc>
        <w:tc>
          <w:tcPr>
            <w:tcW w:w="851" w:type="dxa"/>
            <w:gridSpan w:val="2"/>
            <w:shd w:val="clear" w:color="auto" w:fill="D5DCE4" w:themeFill="text2" w:themeFillTint="33"/>
          </w:tcPr>
          <w:p w14:paraId="09C3E18E" w14:textId="77777777" w:rsidR="0083351E" w:rsidRPr="00C044BB" w:rsidRDefault="0083351E" w:rsidP="00B24189">
            <w:pPr>
              <w:spacing w:after="0" w:line="240" w:lineRule="auto"/>
              <w:ind w:left="-109" w:right="-108"/>
              <w:jc w:val="center"/>
              <w:rPr>
                <w:b/>
                <w:sz w:val="16"/>
                <w:szCs w:val="16"/>
              </w:rPr>
            </w:pPr>
            <w:r w:rsidRPr="00C044BB">
              <w:rPr>
                <w:b/>
                <w:sz w:val="16"/>
                <w:szCs w:val="16"/>
              </w:rPr>
              <w:t>Vnt. kaina, Eur be PVM</w:t>
            </w:r>
          </w:p>
        </w:tc>
        <w:tc>
          <w:tcPr>
            <w:tcW w:w="708" w:type="dxa"/>
            <w:gridSpan w:val="2"/>
            <w:shd w:val="clear" w:color="auto" w:fill="D5DCE4" w:themeFill="text2" w:themeFillTint="33"/>
          </w:tcPr>
          <w:p w14:paraId="3AB0CA58" w14:textId="77777777" w:rsidR="0083351E" w:rsidRPr="00C044BB" w:rsidRDefault="0083351E" w:rsidP="00B24189">
            <w:pPr>
              <w:spacing w:after="0" w:line="240" w:lineRule="auto"/>
              <w:ind w:left="-111" w:right="-108" w:firstLine="3"/>
              <w:jc w:val="center"/>
              <w:rPr>
                <w:b/>
                <w:sz w:val="16"/>
                <w:szCs w:val="16"/>
              </w:rPr>
            </w:pPr>
            <w:r w:rsidRPr="00C044BB">
              <w:rPr>
                <w:b/>
                <w:sz w:val="16"/>
                <w:szCs w:val="16"/>
              </w:rPr>
              <w:t>PVM tarifas (%)</w:t>
            </w:r>
          </w:p>
        </w:tc>
        <w:tc>
          <w:tcPr>
            <w:tcW w:w="851" w:type="dxa"/>
            <w:gridSpan w:val="2"/>
            <w:shd w:val="clear" w:color="auto" w:fill="D5DCE4" w:themeFill="text2" w:themeFillTint="33"/>
          </w:tcPr>
          <w:p w14:paraId="2B4F6FEE" w14:textId="77777777" w:rsidR="0083351E" w:rsidRPr="00C044BB" w:rsidRDefault="0083351E" w:rsidP="00B24189">
            <w:pPr>
              <w:spacing w:after="0" w:line="240" w:lineRule="auto"/>
              <w:ind w:left="34"/>
              <w:jc w:val="center"/>
              <w:rPr>
                <w:b/>
                <w:sz w:val="16"/>
                <w:szCs w:val="16"/>
              </w:rPr>
            </w:pPr>
            <w:r w:rsidRPr="00C044BB">
              <w:rPr>
                <w:b/>
                <w:sz w:val="16"/>
                <w:szCs w:val="16"/>
              </w:rPr>
              <w:t>Vnt. kaina, Eur su PVM</w:t>
            </w:r>
          </w:p>
        </w:tc>
        <w:tc>
          <w:tcPr>
            <w:tcW w:w="1134" w:type="dxa"/>
            <w:shd w:val="clear" w:color="auto" w:fill="D5DCE4" w:themeFill="text2" w:themeFillTint="33"/>
          </w:tcPr>
          <w:p w14:paraId="2185CEC3" w14:textId="77777777" w:rsidR="0083351E" w:rsidRPr="00C044BB" w:rsidRDefault="0083351E" w:rsidP="00B24189">
            <w:pPr>
              <w:spacing w:after="0" w:line="240" w:lineRule="auto"/>
              <w:ind w:left="-114" w:right="-100"/>
              <w:jc w:val="center"/>
              <w:rPr>
                <w:b/>
                <w:sz w:val="16"/>
                <w:szCs w:val="16"/>
              </w:rPr>
            </w:pPr>
            <w:r w:rsidRPr="00C044BB">
              <w:rPr>
                <w:b/>
                <w:sz w:val="16"/>
                <w:szCs w:val="16"/>
              </w:rPr>
              <w:t>Suma, Eur be PVM (maks. orient. kiekiui)</w:t>
            </w:r>
          </w:p>
        </w:tc>
        <w:tc>
          <w:tcPr>
            <w:tcW w:w="1276" w:type="dxa"/>
            <w:shd w:val="clear" w:color="auto" w:fill="D5DCE4" w:themeFill="text2" w:themeFillTint="33"/>
          </w:tcPr>
          <w:p w14:paraId="2559C564" w14:textId="77777777" w:rsidR="0083351E" w:rsidRPr="00C044BB" w:rsidRDefault="0083351E" w:rsidP="00B24189">
            <w:pPr>
              <w:spacing w:after="0" w:line="240" w:lineRule="auto"/>
              <w:ind w:left="-114" w:right="-100"/>
              <w:jc w:val="center"/>
              <w:rPr>
                <w:b/>
                <w:sz w:val="16"/>
                <w:szCs w:val="16"/>
              </w:rPr>
            </w:pPr>
            <w:r w:rsidRPr="00C044BB">
              <w:rPr>
                <w:b/>
                <w:sz w:val="16"/>
                <w:szCs w:val="16"/>
              </w:rPr>
              <w:t>Suma, Eur su PVM (maks. orient. kiekiui)</w:t>
            </w:r>
          </w:p>
        </w:tc>
      </w:tr>
      <w:tr w:rsidR="00401E78" w:rsidRPr="00C044BB" w14:paraId="675C19AA" w14:textId="77777777" w:rsidTr="00596FF7">
        <w:trPr>
          <w:trHeight w:val="1889"/>
          <w:tblHeader/>
        </w:trPr>
        <w:tc>
          <w:tcPr>
            <w:tcW w:w="851" w:type="dxa"/>
            <w:vAlign w:val="center"/>
          </w:tcPr>
          <w:p w14:paraId="49C3703F" w14:textId="05E42CF3" w:rsidR="00401E78" w:rsidRPr="00C044BB" w:rsidRDefault="00401E78" w:rsidP="00401E78">
            <w:pPr>
              <w:spacing w:after="0" w:line="240" w:lineRule="auto"/>
              <w:jc w:val="center"/>
              <w:rPr>
                <w:sz w:val="16"/>
                <w:szCs w:val="16"/>
              </w:rPr>
            </w:pPr>
            <w:r w:rsidRPr="00C044BB">
              <w:rPr>
                <w:b/>
                <w:bCs/>
                <w:color w:val="000000"/>
                <w:sz w:val="16"/>
                <w:szCs w:val="16"/>
              </w:rPr>
              <w:t>5</w:t>
            </w:r>
          </w:p>
        </w:tc>
        <w:tc>
          <w:tcPr>
            <w:tcW w:w="2410" w:type="dxa"/>
            <w:vAlign w:val="center"/>
          </w:tcPr>
          <w:p w14:paraId="69B5F062" w14:textId="48D0B765" w:rsidR="00401E78" w:rsidRPr="00C044BB" w:rsidRDefault="00401E78" w:rsidP="00401E78">
            <w:pPr>
              <w:spacing w:after="0" w:line="240" w:lineRule="auto"/>
              <w:rPr>
                <w:b/>
                <w:sz w:val="16"/>
                <w:szCs w:val="16"/>
              </w:rPr>
            </w:pPr>
            <w:r w:rsidRPr="00C044BB">
              <w:rPr>
                <w:b/>
                <w:bCs/>
                <w:color w:val="000000"/>
                <w:sz w:val="16"/>
                <w:szCs w:val="16"/>
              </w:rPr>
              <w:t>Skiedimo plokštelės imunofermentinių tyrimų atlikimui BEP2000 analizatoriumi</w:t>
            </w:r>
          </w:p>
        </w:tc>
        <w:tc>
          <w:tcPr>
            <w:tcW w:w="1134" w:type="dxa"/>
            <w:vAlign w:val="center"/>
          </w:tcPr>
          <w:p w14:paraId="03D3D518" w14:textId="2D8D62D3" w:rsidR="00401E78" w:rsidRPr="00C044BB" w:rsidRDefault="00401E78" w:rsidP="00401E78">
            <w:pPr>
              <w:spacing w:after="0" w:line="240" w:lineRule="auto"/>
              <w:ind w:left="-108" w:right="-108"/>
              <w:jc w:val="center"/>
              <w:rPr>
                <w:sz w:val="16"/>
                <w:szCs w:val="16"/>
              </w:rPr>
            </w:pPr>
            <w:r w:rsidRPr="00C044BB">
              <w:rPr>
                <w:color w:val="000000"/>
                <w:sz w:val="16"/>
                <w:szCs w:val="16"/>
              </w:rPr>
              <w:t>19520000-7</w:t>
            </w:r>
          </w:p>
        </w:tc>
        <w:tc>
          <w:tcPr>
            <w:tcW w:w="1417" w:type="dxa"/>
            <w:vAlign w:val="center"/>
          </w:tcPr>
          <w:p w14:paraId="70A2A600" w14:textId="08C94438" w:rsidR="00401E78" w:rsidRPr="00C044BB" w:rsidRDefault="00401E78" w:rsidP="00401E78">
            <w:pPr>
              <w:spacing w:after="0" w:line="240" w:lineRule="auto"/>
              <w:ind w:left="-108" w:right="-108"/>
              <w:jc w:val="center"/>
              <w:rPr>
                <w:sz w:val="16"/>
                <w:szCs w:val="16"/>
              </w:rPr>
            </w:pPr>
            <w:r w:rsidRPr="00C044BB">
              <w:rPr>
                <w:color w:val="000000"/>
                <w:sz w:val="16"/>
                <w:szCs w:val="16"/>
              </w:rPr>
              <w:t>Skiedimo Skiedimo plokštelės imunofermentinių tyrimų atlikimui  BEP2000 analizatoriumi. Polipropileno, 96 šulinėlių, U formos dugnu, šulinėlio tūris 300 mkl.</w:t>
            </w:r>
          </w:p>
        </w:tc>
        <w:tc>
          <w:tcPr>
            <w:tcW w:w="1134" w:type="dxa"/>
            <w:vAlign w:val="center"/>
          </w:tcPr>
          <w:p w14:paraId="2AC73541" w14:textId="43B66F18" w:rsidR="00401E78" w:rsidRPr="00C044BB" w:rsidRDefault="00401E78" w:rsidP="00401E78">
            <w:pPr>
              <w:spacing w:after="0" w:line="240" w:lineRule="auto"/>
              <w:ind w:left="-114" w:right="-100"/>
              <w:jc w:val="center"/>
              <w:rPr>
                <w:sz w:val="16"/>
                <w:szCs w:val="16"/>
              </w:rPr>
            </w:pPr>
            <w:r w:rsidRPr="00C044BB">
              <w:rPr>
                <w:color w:val="000000"/>
                <w:sz w:val="16"/>
                <w:szCs w:val="16"/>
              </w:rPr>
              <w:t>Virion-Serion, VT100A, 1 pak.(5 vnt.)</w:t>
            </w:r>
          </w:p>
        </w:tc>
        <w:tc>
          <w:tcPr>
            <w:tcW w:w="851" w:type="dxa"/>
            <w:gridSpan w:val="2"/>
            <w:vAlign w:val="center"/>
          </w:tcPr>
          <w:p w14:paraId="3752BDC7" w14:textId="7DAAAA81" w:rsidR="00401E78" w:rsidRPr="00C044BB" w:rsidRDefault="00401E78" w:rsidP="00401E78">
            <w:pPr>
              <w:spacing w:after="0" w:line="240" w:lineRule="auto"/>
              <w:ind w:left="-108" w:right="-123"/>
              <w:jc w:val="center"/>
              <w:rPr>
                <w:sz w:val="16"/>
                <w:szCs w:val="16"/>
              </w:rPr>
            </w:pPr>
            <w:r w:rsidRPr="00C044BB">
              <w:rPr>
                <w:sz w:val="16"/>
                <w:szCs w:val="16"/>
              </w:rPr>
              <w:t>vnt.</w:t>
            </w:r>
          </w:p>
        </w:tc>
        <w:tc>
          <w:tcPr>
            <w:tcW w:w="850" w:type="dxa"/>
            <w:gridSpan w:val="2"/>
            <w:vAlign w:val="center"/>
          </w:tcPr>
          <w:p w14:paraId="7C4759D9" w14:textId="733B271B" w:rsidR="00401E78" w:rsidRPr="00C044BB" w:rsidRDefault="00B508D9" w:rsidP="00401E78">
            <w:pPr>
              <w:spacing w:after="0" w:line="240" w:lineRule="auto"/>
              <w:jc w:val="center"/>
              <w:rPr>
                <w:b/>
                <w:sz w:val="16"/>
                <w:szCs w:val="16"/>
              </w:rPr>
            </w:pPr>
            <w:r w:rsidRPr="00C044BB">
              <w:rPr>
                <w:b/>
                <w:bCs/>
                <w:sz w:val="16"/>
                <w:szCs w:val="16"/>
              </w:rPr>
              <w:t>500</w:t>
            </w:r>
          </w:p>
        </w:tc>
        <w:tc>
          <w:tcPr>
            <w:tcW w:w="851" w:type="dxa"/>
            <w:gridSpan w:val="2"/>
            <w:vAlign w:val="center"/>
          </w:tcPr>
          <w:p w14:paraId="584EE2E0" w14:textId="444F4917" w:rsidR="00401E78" w:rsidRPr="00C044BB" w:rsidRDefault="00401E78" w:rsidP="00401E78">
            <w:pPr>
              <w:spacing w:after="0" w:line="240" w:lineRule="auto"/>
              <w:jc w:val="center"/>
              <w:rPr>
                <w:sz w:val="16"/>
                <w:szCs w:val="16"/>
              </w:rPr>
            </w:pPr>
            <w:r w:rsidRPr="00C044BB">
              <w:rPr>
                <w:color w:val="000000"/>
                <w:sz w:val="16"/>
                <w:szCs w:val="16"/>
              </w:rPr>
              <w:t>1,40</w:t>
            </w:r>
          </w:p>
        </w:tc>
        <w:tc>
          <w:tcPr>
            <w:tcW w:w="708" w:type="dxa"/>
            <w:gridSpan w:val="2"/>
            <w:vAlign w:val="center"/>
          </w:tcPr>
          <w:p w14:paraId="65628DC1" w14:textId="39C0615D" w:rsidR="00401E78" w:rsidRPr="00C044BB" w:rsidRDefault="00AB2EF9" w:rsidP="00401E78">
            <w:pPr>
              <w:spacing w:after="0" w:line="240" w:lineRule="auto"/>
              <w:ind w:right="-108"/>
              <w:jc w:val="center"/>
              <w:rPr>
                <w:sz w:val="16"/>
                <w:szCs w:val="16"/>
              </w:rPr>
            </w:pPr>
            <w:r w:rsidRPr="00C044BB">
              <w:rPr>
                <w:sz w:val="16"/>
                <w:szCs w:val="16"/>
              </w:rPr>
              <w:t>21</w:t>
            </w:r>
          </w:p>
        </w:tc>
        <w:tc>
          <w:tcPr>
            <w:tcW w:w="851" w:type="dxa"/>
            <w:gridSpan w:val="2"/>
            <w:vAlign w:val="center"/>
          </w:tcPr>
          <w:p w14:paraId="10E511EA" w14:textId="7E3953A6" w:rsidR="00401E78" w:rsidRPr="00C044BB" w:rsidRDefault="00401E78" w:rsidP="00401E78">
            <w:pPr>
              <w:spacing w:after="0" w:line="240" w:lineRule="auto"/>
              <w:jc w:val="center"/>
              <w:rPr>
                <w:sz w:val="16"/>
                <w:szCs w:val="16"/>
              </w:rPr>
            </w:pPr>
            <w:r w:rsidRPr="00C044BB">
              <w:rPr>
                <w:sz w:val="16"/>
                <w:szCs w:val="16"/>
              </w:rPr>
              <w:t>1,69</w:t>
            </w:r>
          </w:p>
        </w:tc>
        <w:tc>
          <w:tcPr>
            <w:tcW w:w="1134" w:type="dxa"/>
            <w:vAlign w:val="center"/>
          </w:tcPr>
          <w:p w14:paraId="3EECE798" w14:textId="784B155E" w:rsidR="00401E78" w:rsidRPr="00C044BB" w:rsidRDefault="00401E78" w:rsidP="00401E78">
            <w:pPr>
              <w:spacing w:after="0" w:line="240" w:lineRule="auto"/>
              <w:ind w:left="-114" w:right="-100"/>
              <w:jc w:val="center"/>
              <w:rPr>
                <w:sz w:val="16"/>
                <w:szCs w:val="16"/>
              </w:rPr>
            </w:pPr>
            <w:r w:rsidRPr="00C044BB">
              <w:rPr>
                <w:sz w:val="16"/>
                <w:szCs w:val="16"/>
              </w:rPr>
              <w:t>700,00</w:t>
            </w:r>
          </w:p>
        </w:tc>
        <w:tc>
          <w:tcPr>
            <w:tcW w:w="1276" w:type="dxa"/>
            <w:vAlign w:val="center"/>
          </w:tcPr>
          <w:p w14:paraId="217D84CB" w14:textId="737F9FF8" w:rsidR="00401E78" w:rsidRPr="00C044BB" w:rsidRDefault="00401E78" w:rsidP="00401E78">
            <w:pPr>
              <w:spacing w:after="0" w:line="240" w:lineRule="auto"/>
              <w:ind w:left="-114" w:right="-100"/>
              <w:jc w:val="center"/>
              <w:rPr>
                <w:sz w:val="16"/>
                <w:szCs w:val="16"/>
              </w:rPr>
            </w:pPr>
            <w:r w:rsidRPr="00C044BB">
              <w:rPr>
                <w:sz w:val="16"/>
                <w:szCs w:val="16"/>
              </w:rPr>
              <w:t>847,00</w:t>
            </w:r>
          </w:p>
        </w:tc>
      </w:tr>
      <w:tr w:rsidR="00401E78" w:rsidRPr="00C044BB" w14:paraId="13C2FE0C" w14:textId="77777777" w:rsidTr="00726501">
        <w:trPr>
          <w:trHeight w:val="365"/>
          <w:tblHeader/>
        </w:trPr>
        <w:tc>
          <w:tcPr>
            <w:tcW w:w="851" w:type="dxa"/>
            <w:vAlign w:val="center"/>
          </w:tcPr>
          <w:p w14:paraId="53517842" w14:textId="0228F1CC" w:rsidR="00401E78" w:rsidRPr="00C044BB" w:rsidRDefault="00401E78" w:rsidP="00401E78">
            <w:pPr>
              <w:spacing w:after="0" w:line="240" w:lineRule="auto"/>
              <w:jc w:val="center"/>
              <w:rPr>
                <w:sz w:val="16"/>
                <w:szCs w:val="16"/>
              </w:rPr>
            </w:pPr>
            <w:r w:rsidRPr="00C044BB">
              <w:rPr>
                <w:b/>
                <w:bCs/>
                <w:color w:val="000000"/>
                <w:sz w:val="16"/>
                <w:szCs w:val="16"/>
              </w:rPr>
              <w:t>6</w:t>
            </w:r>
          </w:p>
        </w:tc>
        <w:tc>
          <w:tcPr>
            <w:tcW w:w="2410" w:type="dxa"/>
            <w:vAlign w:val="center"/>
          </w:tcPr>
          <w:p w14:paraId="777F4C39" w14:textId="0A188911" w:rsidR="00401E78" w:rsidRPr="00C044BB" w:rsidRDefault="00401E78" w:rsidP="00401E78">
            <w:pPr>
              <w:spacing w:after="0" w:line="240" w:lineRule="auto"/>
              <w:rPr>
                <w:b/>
                <w:sz w:val="16"/>
                <w:szCs w:val="16"/>
              </w:rPr>
            </w:pPr>
            <w:r w:rsidRPr="00C044BB">
              <w:rPr>
                <w:b/>
                <w:bCs/>
                <w:color w:val="000000"/>
                <w:sz w:val="16"/>
                <w:szCs w:val="16"/>
              </w:rPr>
              <w:t>Gilios skiedimo plokštelės imunofermentinių tyrimų atlikimui Immunomat analizatoriumi</w:t>
            </w:r>
          </w:p>
        </w:tc>
        <w:tc>
          <w:tcPr>
            <w:tcW w:w="1134" w:type="dxa"/>
            <w:vAlign w:val="center"/>
          </w:tcPr>
          <w:p w14:paraId="699C1526" w14:textId="1F5FAADC" w:rsidR="00401E78" w:rsidRPr="00C044BB" w:rsidRDefault="00401E78" w:rsidP="00401E78">
            <w:pPr>
              <w:spacing w:after="0" w:line="240" w:lineRule="auto"/>
              <w:ind w:left="-108" w:right="-108"/>
              <w:jc w:val="center"/>
              <w:rPr>
                <w:sz w:val="16"/>
                <w:szCs w:val="16"/>
              </w:rPr>
            </w:pPr>
            <w:r w:rsidRPr="00C044BB">
              <w:rPr>
                <w:color w:val="000000"/>
                <w:sz w:val="16"/>
                <w:szCs w:val="16"/>
              </w:rPr>
              <w:t>19520000-7</w:t>
            </w:r>
          </w:p>
        </w:tc>
        <w:tc>
          <w:tcPr>
            <w:tcW w:w="1417" w:type="dxa"/>
            <w:vAlign w:val="center"/>
          </w:tcPr>
          <w:p w14:paraId="23E4491E" w14:textId="0F81A613" w:rsidR="00401E78" w:rsidRPr="00C044BB" w:rsidRDefault="00401E78" w:rsidP="00401E78">
            <w:pPr>
              <w:spacing w:after="0" w:line="240" w:lineRule="auto"/>
              <w:ind w:left="-108" w:right="-108"/>
              <w:jc w:val="center"/>
              <w:rPr>
                <w:sz w:val="16"/>
                <w:szCs w:val="16"/>
              </w:rPr>
            </w:pPr>
            <w:r w:rsidRPr="00C044BB">
              <w:rPr>
                <w:color w:val="000000"/>
                <w:sz w:val="16"/>
                <w:szCs w:val="16"/>
              </w:rPr>
              <w:t>Gilios skiedimo plokštelės imunofermentinių tyrimų atlikimui  Immunomat analizatoriumi (siūlomos to paties gamintojo kaip ir analizatorius). Polipropileno, 96 šulinėlių U formos dugnu, šulinėlio tūris 1,3 ml.</w:t>
            </w:r>
          </w:p>
        </w:tc>
        <w:tc>
          <w:tcPr>
            <w:tcW w:w="1134" w:type="dxa"/>
            <w:vAlign w:val="center"/>
          </w:tcPr>
          <w:p w14:paraId="07D5D679" w14:textId="5F2BC041" w:rsidR="00401E78" w:rsidRPr="00C044BB" w:rsidRDefault="00401E78" w:rsidP="00401E78">
            <w:pPr>
              <w:spacing w:after="0" w:line="240" w:lineRule="auto"/>
              <w:ind w:left="-114" w:right="-100"/>
              <w:jc w:val="center"/>
              <w:rPr>
                <w:sz w:val="16"/>
                <w:szCs w:val="16"/>
              </w:rPr>
            </w:pPr>
            <w:r w:rsidRPr="00C044BB">
              <w:rPr>
                <w:color w:val="000000"/>
                <w:sz w:val="16"/>
                <w:szCs w:val="16"/>
              </w:rPr>
              <w:t>Viriom-Serion, VT124, 1 pak. (5 vnt.).Gamintojo dokumentacija 6p.d. IFU_CE, psl. 1; 6</w:t>
            </w:r>
          </w:p>
        </w:tc>
        <w:tc>
          <w:tcPr>
            <w:tcW w:w="851" w:type="dxa"/>
            <w:gridSpan w:val="2"/>
            <w:vAlign w:val="center"/>
          </w:tcPr>
          <w:p w14:paraId="319199E1" w14:textId="2C7B6072" w:rsidR="00401E78" w:rsidRPr="00C044BB" w:rsidRDefault="00401E78" w:rsidP="00401E78">
            <w:pPr>
              <w:spacing w:after="0" w:line="240" w:lineRule="auto"/>
              <w:ind w:left="-108" w:right="-123"/>
              <w:jc w:val="center"/>
              <w:rPr>
                <w:sz w:val="16"/>
                <w:szCs w:val="16"/>
              </w:rPr>
            </w:pPr>
            <w:r w:rsidRPr="00C044BB">
              <w:rPr>
                <w:sz w:val="16"/>
                <w:szCs w:val="16"/>
              </w:rPr>
              <w:t>vnt.</w:t>
            </w:r>
          </w:p>
        </w:tc>
        <w:tc>
          <w:tcPr>
            <w:tcW w:w="850" w:type="dxa"/>
            <w:gridSpan w:val="2"/>
            <w:vAlign w:val="center"/>
          </w:tcPr>
          <w:p w14:paraId="39C90FE0" w14:textId="2C426CE7" w:rsidR="00401E78" w:rsidRPr="00C044BB" w:rsidRDefault="00B508D9" w:rsidP="00401E78">
            <w:pPr>
              <w:spacing w:after="0" w:line="240" w:lineRule="auto"/>
              <w:jc w:val="center"/>
              <w:rPr>
                <w:b/>
                <w:sz w:val="16"/>
                <w:szCs w:val="16"/>
              </w:rPr>
            </w:pPr>
            <w:r w:rsidRPr="00C044BB">
              <w:rPr>
                <w:b/>
                <w:bCs/>
                <w:sz w:val="16"/>
                <w:szCs w:val="16"/>
              </w:rPr>
              <w:t>500</w:t>
            </w:r>
          </w:p>
        </w:tc>
        <w:tc>
          <w:tcPr>
            <w:tcW w:w="851" w:type="dxa"/>
            <w:gridSpan w:val="2"/>
            <w:vAlign w:val="center"/>
          </w:tcPr>
          <w:p w14:paraId="7172D49F" w14:textId="06CA7DD6" w:rsidR="00401E78" w:rsidRPr="00C044BB" w:rsidRDefault="00401E78" w:rsidP="00401E78">
            <w:pPr>
              <w:spacing w:after="0" w:line="240" w:lineRule="auto"/>
              <w:jc w:val="center"/>
              <w:rPr>
                <w:sz w:val="16"/>
                <w:szCs w:val="16"/>
              </w:rPr>
            </w:pPr>
            <w:r w:rsidRPr="00C044BB">
              <w:rPr>
                <w:color w:val="000000"/>
                <w:sz w:val="16"/>
                <w:szCs w:val="16"/>
              </w:rPr>
              <w:t>7,40</w:t>
            </w:r>
          </w:p>
        </w:tc>
        <w:tc>
          <w:tcPr>
            <w:tcW w:w="708" w:type="dxa"/>
            <w:gridSpan w:val="2"/>
            <w:vAlign w:val="center"/>
          </w:tcPr>
          <w:p w14:paraId="5D53C634" w14:textId="15D98DEB" w:rsidR="00401E78" w:rsidRPr="00C044BB" w:rsidRDefault="00AB2EF9" w:rsidP="00401E78">
            <w:pPr>
              <w:spacing w:after="0" w:line="240" w:lineRule="auto"/>
              <w:ind w:right="-108"/>
              <w:jc w:val="center"/>
              <w:rPr>
                <w:sz w:val="16"/>
                <w:szCs w:val="16"/>
              </w:rPr>
            </w:pPr>
            <w:r w:rsidRPr="00C044BB">
              <w:rPr>
                <w:sz w:val="16"/>
                <w:szCs w:val="16"/>
              </w:rPr>
              <w:t>21</w:t>
            </w:r>
          </w:p>
        </w:tc>
        <w:tc>
          <w:tcPr>
            <w:tcW w:w="851" w:type="dxa"/>
            <w:gridSpan w:val="2"/>
            <w:vAlign w:val="center"/>
          </w:tcPr>
          <w:p w14:paraId="71E7AF33" w14:textId="351B54AE" w:rsidR="00401E78" w:rsidRPr="00C044BB" w:rsidRDefault="00401E78" w:rsidP="00401E78">
            <w:pPr>
              <w:spacing w:after="0" w:line="240" w:lineRule="auto"/>
              <w:jc w:val="center"/>
              <w:rPr>
                <w:sz w:val="16"/>
                <w:szCs w:val="16"/>
              </w:rPr>
            </w:pPr>
            <w:r w:rsidRPr="00C044BB">
              <w:rPr>
                <w:sz w:val="16"/>
                <w:szCs w:val="16"/>
              </w:rPr>
              <w:t>8,95</w:t>
            </w:r>
          </w:p>
        </w:tc>
        <w:tc>
          <w:tcPr>
            <w:tcW w:w="1134" w:type="dxa"/>
            <w:vAlign w:val="center"/>
          </w:tcPr>
          <w:p w14:paraId="60393076" w14:textId="748C782A" w:rsidR="00401E78" w:rsidRPr="00C044BB" w:rsidRDefault="00401E78" w:rsidP="00401E78">
            <w:pPr>
              <w:spacing w:after="0" w:line="240" w:lineRule="auto"/>
              <w:ind w:left="-114" w:right="-100"/>
              <w:jc w:val="center"/>
              <w:rPr>
                <w:sz w:val="16"/>
                <w:szCs w:val="16"/>
              </w:rPr>
            </w:pPr>
            <w:r w:rsidRPr="00C044BB">
              <w:rPr>
                <w:sz w:val="16"/>
                <w:szCs w:val="16"/>
              </w:rPr>
              <w:t>3700,00</w:t>
            </w:r>
          </w:p>
        </w:tc>
        <w:tc>
          <w:tcPr>
            <w:tcW w:w="1276" w:type="dxa"/>
            <w:vAlign w:val="center"/>
          </w:tcPr>
          <w:p w14:paraId="0D04FF4E" w14:textId="4BEAE51C" w:rsidR="00401E78" w:rsidRPr="00C044BB" w:rsidRDefault="00401E78" w:rsidP="00401E78">
            <w:pPr>
              <w:spacing w:after="0" w:line="240" w:lineRule="auto"/>
              <w:ind w:left="-114" w:right="-100"/>
              <w:jc w:val="center"/>
              <w:rPr>
                <w:sz w:val="16"/>
                <w:szCs w:val="16"/>
              </w:rPr>
            </w:pPr>
            <w:r w:rsidRPr="00C044BB">
              <w:rPr>
                <w:sz w:val="16"/>
                <w:szCs w:val="16"/>
              </w:rPr>
              <w:t>4477,00</w:t>
            </w:r>
          </w:p>
        </w:tc>
      </w:tr>
      <w:tr w:rsidR="00401E78" w:rsidRPr="00C044BB" w14:paraId="1C7B08BC" w14:textId="77777777" w:rsidTr="00161E21">
        <w:trPr>
          <w:trHeight w:val="365"/>
          <w:tblHeader/>
        </w:trPr>
        <w:tc>
          <w:tcPr>
            <w:tcW w:w="851" w:type="dxa"/>
            <w:shd w:val="clear" w:color="auto" w:fill="D5DCE4" w:themeFill="text2" w:themeFillTint="33"/>
            <w:vAlign w:val="center"/>
          </w:tcPr>
          <w:p w14:paraId="3A98DA5E" w14:textId="0D6434C6" w:rsidR="00401E78" w:rsidRPr="00C044BB" w:rsidRDefault="00401E78" w:rsidP="00401E78">
            <w:pPr>
              <w:spacing w:after="0" w:line="240" w:lineRule="auto"/>
              <w:jc w:val="center"/>
              <w:rPr>
                <w:sz w:val="16"/>
                <w:szCs w:val="16"/>
              </w:rPr>
            </w:pPr>
            <w:r w:rsidRPr="00C044BB">
              <w:rPr>
                <w:b/>
                <w:bCs/>
                <w:sz w:val="16"/>
                <w:szCs w:val="16"/>
              </w:rPr>
              <w:t>18</w:t>
            </w:r>
          </w:p>
        </w:tc>
        <w:tc>
          <w:tcPr>
            <w:tcW w:w="2410" w:type="dxa"/>
            <w:shd w:val="clear" w:color="auto" w:fill="D5DCE4" w:themeFill="text2" w:themeFillTint="33"/>
            <w:vAlign w:val="center"/>
          </w:tcPr>
          <w:p w14:paraId="14FE10FB" w14:textId="58493BFD" w:rsidR="00401E78" w:rsidRPr="00C044BB" w:rsidRDefault="00401E78" w:rsidP="00401E78">
            <w:pPr>
              <w:spacing w:after="0" w:line="240" w:lineRule="auto"/>
              <w:rPr>
                <w:b/>
                <w:sz w:val="16"/>
                <w:szCs w:val="16"/>
              </w:rPr>
            </w:pPr>
            <w:r w:rsidRPr="00C044BB">
              <w:rPr>
                <w:sz w:val="16"/>
                <w:szCs w:val="16"/>
              </w:rPr>
              <w:t xml:space="preserve">Reagentai Yersinia enterocolitica diagnostikai </w:t>
            </w:r>
          </w:p>
        </w:tc>
        <w:tc>
          <w:tcPr>
            <w:tcW w:w="1134" w:type="dxa"/>
            <w:shd w:val="clear" w:color="auto" w:fill="D5DCE4" w:themeFill="text2" w:themeFillTint="33"/>
            <w:vAlign w:val="center"/>
          </w:tcPr>
          <w:p w14:paraId="71DE35F0" w14:textId="0C8F2B43" w:rsidR="00401E78" w:rsidRPr="00C044BB" w:rsidRDefault="00401E78" w:rsidP="00401E78">
            <w:pPr>
              <w:spacing w:after="0" w:line="240" w:lineRule="auto"/>
              <w:ind w:left="-108" w:right="-108"/>
              <w:jc w:val="center"/>
              <w:rPr>
                <w:sz w:val="16"/>
                <w:szCs w:val="16"/>
              </w:rPr>
            </w:pPr>
            <w:r w:rsidRPr="00C044BB">
              <w:rPr>
                <w:sz w:val="16"/>
                <w:szCs w:val="16"/>
              </w:rPr>
              <w:t> </w:t>
            </w:r>
          </w:p>
        </w:tc>
        <w:tc>
          <w:tcPr>
            <w:tcW w:w="1417" w:type="dxa"/>
            <w:shd w:val="clear" w:color="auto" w:fill="D5DCE4" w:themeFill="text2" w:themeFillTint="33"/>
            <w:vAlign w:val="center"/>
          </w:tcPr>
          <w:p w14:paraId="74C82056" w14:textId="6B7B4E5A" w:rsidR="00401E78" w:rsidRPr="00C044BB" w:rsidRDefault="00401E78" w:rsidP="00401E78">
            <w:pPr>
              <w:spacing w:after="0" w:line="240" w:lineRule="auto"/>
              <w:ind w:left="-108" w:right="-108"/>
              <w:jc w:val="center"/>
              <w:rPr>
                <w:sz w:val="16"/>
                <w:szCs w:val="16"/>
              </w:rPr>
            </w:pPr>
            <w:r w:rsidRPr="00C044BB">
              <w:rPr>
                <w:sz w:val="16"/>
                <w:szCs w:val="16"/>
              </w:rPr>
              <w:t> </w:t>
            </w:r>
          </w:p>
        </w:tc>
        <w:tc>
          <w:tcPr>
            <w:tcW w:w="1134" w:type="dxa"/>
            <w:shd w:val="clear" w:color="auto" w:fill="D5DCE4" w:themeFill="text2" w:themeFillTint="33"/>
            <w:vAlign w:val="center"/>
          </w:tcPr>
          <w:p w14:paraId="3C8D6FAA" w14:textId="7479C88E" w:rsidR="00401E78" w:rsidRPr="00C044BB" w:rsidRDefault="00401E78" w:rsidP="00401E78">
            <w:pPr>
              <w:spacing w:after="0" w:line="240" w:lineRule="auto"/>
              <w:ind w:left="-114" w:right="-100"/>
              <w:jc w:val="center"/>
              <w:rPr>
                <w:sz w:val="16"/>
                <w:szCs w:val="16"/>
              </w:rPr>
            </w:pPr>
            <w:r w:rsidRPr="00C044BB">
              <w:rPr>
                <w:sz w:val="16"/>
                <w:szCs w:val="16"/>
              </w:rPr>
              <w:t> </w:t>
            </w:r>
          </w:p>
        </w:tc>
        <w:tc>
          <w:tcPr>
            <w:tcW w:w="851" w:type="dxa"/>
            <w:gridSpan w:val="2"/>
            <w:shd w:val="clear" w:color="auto" w:fill="D5DCE4" w:themeFill="text2" w:themeFillTint="33"/>
            <w:vAlign w:val="center"/>
          </w:tcPr>
          <w:p w14:paraId="1901A04E" w14:textId="7F0FE525" w:rsidR="00401E78" w:rsidRPr="00C044BB" w:rsidRDefault="00401E78" w:rsidP="00401E78">
            <w:pPr>
              <w:spacing w:after="0" w:line="240" w:lineRule="auto"/>
              <w:ind w:left="-108" w:right="-123"/>
              <w:jc w:val="center"/>
              <w:rPr>
                <w:sz w:val="16"/>
                <w:szCs w:val="16"/>
              </w:rPr>
            </w:pPr>
            <w:r w:rsidRPr="00C044BB">
              <w:rPr>
                <w:sz w:val="16"/>
                <w:szCs w:val="16"/>
              </w:rPr>
              <w:t> </w:t>
            </w:r>
          </w:p>
        </w:tc>
        <w:tc>
          <w:tcPr>
            <w:tcW w:w="850" w:type="dxa"/>
            <w:gridSpan w:val="2"/>
            <w:shd w:val="clear" w:color="auto" w:fill="D5DCE4" w:themeFill="text2" w:themeFillTint="33"/>
            <w:vAlign w:val="center"/>
          </w:tcPr>
          <w:p w14:paraId="6E6F981D" w14:textId="1FD6BC7F" w:rsidR="00401E78" w:rsidRPr="00C044BB" w:rsidRDefault="00401E78" w:rsidP="00401E78">
            <w:pPr>
              <w:spacing w:after="0" w:line="240" w:lineRule="auto"/>
              <w:jc w:val="center"/>
              <w:rPr>
                <w:b/>
                <w:sz w:val="16"/>
                <w:szCs w:val="16"/>
              </w:rPr>
            </w:pPr>
            <w:r w:rsidRPr="00C044BB">
              <w:rPr>
                <w:sz w:val="16"/>
                <w:szCs w:val="16"/>
              </w:rPr>
              <w:t> </w:t>
            </w:r>
          </w:p>
        </w:tc>
        <w:tc>
          <w:tcPr>
            <w:tcW w:w="851" w:type="dxa"/>
            <w:gridSpan w:val="2"/>
            <w:shd w:val="clear" w:color="auto" w:fill="D5DCE4" w:themeFill="text2" w:themeFillTint="33"/>
            <w:vAlign w:val="center"/>
          </w:tcPr>
          <w:p w14:paraId="4A2B9130" w14:textId="0C0A17F3" w:rsidR="00401E78" w:rsidRPr="00C044BB" w:rsidRDefault="00401E78" w:rsidP="00401E78">
            <w:pPr>
              <w:spacing w:after="0" w:line="240" w:lineRule="auto"/>
              <w:jc w:val="center"/>
              <w:rPr>
                <w:sz w:val="16"/>
                <w:szCs w:val="16"/>
              </w:rPr>
            </w:pPr>
            <w:r w:rsidRPr="00C044BB">
              <w:rPr>
                <w:sz w:val="16"/>
                <w:szCs w:val="16"/>
              </w:rPr>
              <w:t> </w:t>
            </w:r>
          </w:p>
        </w:tc>
        <w:tc>
          <w:tcPr>
            <w:tcW w:w="708" w:type="dxa"/>
            <w:gridSpan w:val="2"/>
            <w:shd w:val="clear" w:color="auto" w:fill="D5DCE4" w:themeFill="text2" w:themeFillTint="33"/>
            <w:vAlign w:val="center"/>
          </w:tcPr>
          <w:p w14:paraId="046DB3A3" w14:textId="7A458783" w:rsidR="00401E78" w:rsidRPr="00C044BB" w:rsidRDefault="00401E78" w:rsidP="00401E78">
            <w:pPr>
              <w:spacing w:after="0" w:line="240" w:lineRule="auto"/>
              <w:ind w:right="-108"/>
              <w:jc w:val="center"/>
              <w:rPr>
                <w:sz w:val="16"/>
                <w:szCs w:val="16"/>
              </w:rPr>
            </w:pPr>
            <w:r w:rsidRPr="00C044BB">
              <w:rPr>
                <w:sz w:val="16"/>
                <w:szCs w:val="16"/>
              </w:rPr>
              <w:t> </w:t>
            </w:r>
          </w:p>
        </w:tc>
        <w:tc>
          <w:tcPr>
            <w:tcW w:w="851" w:type="dxa"/>
            <w:gridSpan w:val="2"/>
            <w:shd w:val="clear" w:color="auto" w:fill="D5DCE4" w:themeFill="text2" w:themeFillTint="33"/>
            <w:vAlign w:val="center"/>
          </w:tcPr>
          <w:p w14:paraId="7F91157B" w14:textId="586C9C4F" w:rsidR="00401E78" w:rsidRPr="00C044BB" w:rsidRDefault="00401E78" w:rsidP="00401E78">
            <w:pPr>
              <w:spacing w:after="0" w:line="240" w:lineRule="auto"/>
              <w:jc w:val="center"/>
              <w:rPr>
                <w:sz w:val="16"/>
                <w:szCs w:val="16"/>
              </w:rPr>
            </w:pPr>
            <w:r w:rsidRPr="00C044BB">
              <w:rPr>
                <w:sz w:val="16"/>
                <w:szCs w:val="16"/>
              </w:rPr>
              <w:t> </w:t>
            </w:r>
          </w:p>
        </w:tc>
        <w:tc>
          <w:tcPr>
            <w:tcW w:w="1134" w:type="dxa"/>
            <w:shd w:val="clear" w:color="auto" w:fill="D5DCE4" w:themeFill="text2" w:themeFillTint="33"/>
            <w:vAlign w:val="center"/>
          </w:tcPr>
          <w:p w14:paraId="7BF20265" w14:textId="59B555F1" w:rsidR="00401E78" w:rsidRPr="00C044BB" w:rsidRDefault="00401E78" w:rsidP="00401E78">
            <w:pPr>
              <w:spacing w:after="0" w:line="240" w:lineRule="auto"/>
              <w:ind w:left="-114" w:right="-100"/>
              <w:jc w:val="center"/>
              <w:rPr>
                <w:sz w:val="16"/>
                <w:szCs w:val="16"/>
              </w:rPr>
            </w:pPr>
            <w:r w:rsidRPr="00C044BB">
              <w:rPr>
                <w:sz w:val="16"/>
                <w:szCs w:val="16"/>
              </w:rPr>
              <w:t> </w:t>
            </w:r>
          </w:p>
        </w:tc>
        <w:tc>
          <w:tcPr>
            <w:tcW w:w="1276" w:type="dxa"/>
            <w:shd w:val="clear" w:color="auto" w:fill="D5DCE4" w:themeFill="text2" w:themeFillTint="33"/>
            <w:vAlign w:val="center"/>
          </w:tcPr>
          <w:p w14:paraId="0E52E07E" w14:textId="56263022" w:rsidR="00401E78" w:rsidRPr="00C044BB" w:rsidRDefault="00401E78" w:rsidP="00401E78">
            <w:pPr>
              <w:spacing w:after="0" w:line="240" w:lineRule="auto"/>
              <w:ind w:left="-114" w:right="-100"/>
              <w:jc w:val="center"/>
              <w:rPr>
                <w:sz w:val="16"/>
                <w:szCs w:val="16"/>
              </w:rPr>
            </w:pPr>
          </w:p>
        </w:tc>
      </w:tr>
      <w:tr w:rsidR="00401E78" w:rsidRPr="00C044BB" w14:paraId="2C6E3FFA" w14:textId="77777777" w:rsidTr="0098495F">
        <w:trPr>
          <w:trHeight w:val="365"/>
          <w:tblHeader/>
        </w:trPr>
        <w:tc>
          <w:tcPr>
            <w:tcW w:w="851" w:type="dxa"/>
            <w:vAlign w:val="center"/>
          </w:tcPr>
          <w:p w14:paraId="370AC84C" w14:textId="7F4DB0D8" w:rsidR="00401E78" w:rsidRPr="00C044BB" w:rsidRDefault="00401E78" w:rsidP="00401E78">
            <w:pPr>
              <w:spacing w:after="0" w:line="240" w:lineRule="auto"/>
              <w:jc w:val="center"/>
              <w:rPr>
                <w:sz w:val="16"/>
                <w:szCs w:val="16"/>
              </w:rPr>
            </w:pPr>
            <w:r w:rsidRPr="00C044BB">
              <w:rPr>
                <w:b/>
                <w:bCs/>
                <w:color w:val="000000"/>
                <w:sz w:val="16"/>
                <w:szCs w:val="16"/>
              </w:rPr>
              <w:lastRenderedPageBreak/>
              <w:t>18.1</w:t>
            </w:r>
          </w:p>
        </w:tc>
        <w:tc>
          <w:tcPr>
            <w:tcW w:w="2410" w:type="dxa"/>
            <w:vAlign w:val="center"/>
          </w:tcPr>
          <w:p w14:paraId="33B2E7B3" w14:textId="62864873" w:rsidR="00401E78" w:rsidRPr="00C044BB" w:rsidRDefault="00401E78" w:rsidP="00401E78">
            <w:pPr>
              <w:spacing w:after="0" w:line="240" w:lineRule="auto"/>
              <w:rPr>
                <w:b/>
                <w:sz w:val="16"/>
                <w:szCs w:val="16"/>
              </w:rPr>
            </w:pPr>
            <w:r w:rsidRPr="00C044BB">
              <w:rPr>
                <w:b/>
                <w:bCs/>
                <w:sz w:val="16"/>
                <w:szCs w:val="16"/>
              </w:rPr>
              <w:t>Yersinia enterocolitica IgG</w:t>
            </w:r>
          </w:p>
        </w:tc>
        <w:tc>
          <w:tcPr>
            <w:tcW w:w="1134" w:type="dxa"/>
            <w:vAlign w:val="center"/>
          </w:tcPr>
          <w:p w14:paraId="716F7A91" w14:textId="549658E4" w:rsidR="00401E78" w:rsidRPr="00C044BB" w:rsidRDefault="00401E78" w:rsidP="00401E78">
            <w:pPr>
              <w:spacing w:after="0" w:line="240" w:lineRule="auto"/>
              <w:ind w:left="-108" w:right="-108"/>
              <w:jc w:val="center"/>
              <w:rPr>
                <w:sz w:val="16"/>
                <w:szCs w:val="16"/>
              </w:rPr>
            </w:pPr>
            <w:r w:rsidRPr="00C044BB">
              <w:rPr>
                <w:sz w:val="16"/>
                <w:szCs w:val="16"/>
              </w:rPr>
              <w:t>33141625-7</w:t>
            </w:r>
          </w:p>
        </w:tc>
        <w:tc>
          <w:tcPr>
            <w:tcW w:w="1417" w:type="dxa"/>
            <w:vAlign w:val="center"/>
          </w:tcPr>
          <w:p w14:paraId="5CBE03E3" w14:textId="31BB183E" w:rsidR="00401E78" w:rsidRPr="00C044BB" w:rsidRDefault="00401E78" w:rsidP="00AA233D">
            <w:pPr>
              <w:spacing w:after="0" w:line="240" w:lineRule="auto"/>
              <w:ind w:left="-108" w:right="-108"/>
              <w:rPr>
                <w:sz w:val="16"/>
                <w:szCs w:val="16"/>
              </w:rPr>
            </w:pPr>
            <w:r w:rsidRPr="00C044BB">
              <w:rPr>
                <w:sz w:val="16"/>
                <w:szCs w:val="16"/>
              </w:rPr>
              <w:t xml:space="preserve">SERION ELISA classic Yersinia IgG yra reagentai, skirti Jersinijozės IgG antikūnų nustatymui IFA metodu 96 šulinėlių mikroplokštelių formatu kraujo serume. Plokštelės laužomos po 1 šulinėlį. Į rinkinius įeina visi reikalingi tirpalai, kontrolės, kalibratoriai ir kiti priedai, reikalingi tyrimui atlikti. Rinkinys turi CE ir IVD ženklinimą (pateikiamos kopijos). Pateikiamas programavimo protokolas IMMUNOMAT analizatoriui. </w:t>
            </w:r>
          </w:p>
        </w:tc>
        <w:tc>
          <w:tcPr>
            <w:tcW w:w="1134" w:type="dxa"/>
            <w:vAlign w:val="center"/>
          </w:tcPr>
          <w:p w14:paraId="00A7F502" w14:textId="06492422" w:rsidR="00401E78" w:rsidRPr="00C044BB" w:rsidRDefault="00401E78" w:rsidP="00401E78">
            <w:pPr>
              <w:spacing w:after="0" w:line="240" w:lineRule="auto"/>
              <w:ind w:left="-114" w:right="-100"/>
              <w:jc w:val="center"/>
              <w:rPr>
                <w:sz w:val="16"/>
                <w:szCs w:val="16"/>
              </w:rPr>
            </w:pPr>
            <w:r w:rsidRPr="00C044BB">
              <w:rPr>
                <w:sz w:val="16"/>
                <w:szCs w:val="16"/>
              </w:rPr>
              <w:t>Virion-Serion, ESR138G, 1 pak. (1x96 test.).Gamintojo dokumentacija 18p.d. IFU_CE, psl. 3; 4; 5</w:t>
            </w:r>
          </w:p>
        </w:tc>
        <w:tc>
          <w:tcPr>
            <w:tcW w:w="851" w:type="dxa"/>
            <w:gridSpan w:val="2"/>
            <w:vAlign w:val="center"/>
          </w:tcPr>
          <w:p w14:paraId="466F0386" w14:textId="3EFBE97E" w:rsidR="00401E78" w:rsidRPr="00C044BB" w:rsidRDefault="00401E78" w:rsidP="00401E78">
            <w:pPr>
              <w:spacing w:after="0" w:line="240" w:lineRule="auto"/>
              <w:ind w:left="-108" w:right="-123"/>
              <w:jc w:val="center"/>
              <w:rPr>
                <w:sz w:val="16"/>
                <w:szCs w:val="16"/>
              </w:rPr>
            </w:pPr>
            <w:r w:rsidRPr="00C044BB">
              <w:rPr>
                <w:sz w:val="16"/>
                <w:szCs w:val="16"/>
              </w:rPr>
              <w:t>testas</w:t>
            </w:r>
          </w:p>
        </w:tc>
        <w:tc>
          <w:tcPr>
            <w:tcW w:w="850" w:type="dxa"/>
            <w:gridSpan w:val="2"/>
            <w:vAlign w:val="center"/>
          </w:tcPr>
          <w:p w14:paraId="2BE7158E" w14:textId="21D9E957" w:rsidR="00401E78" w:rsidRPr="00C044BB" w:rsidRDefault="00161E21" w:rsidP="00401E78">
            <w:pPr>
              <w:spacing w:after="0" w:line="240" w:lineRule="auto"/>
              <w:jc w:val="center"/>
              <w:rPr>
                <w:b/>
                <w:sz w:val="16"/>
                <w:szCs w:val="16"/>
              </w:rPr>
            </w:pPr>
            <w:r w:rsidRPr="00C044BB">
              <w:rPr>
                <w:b/>
                <w:bCs/>
                <w:sz w:val="16"/>
                <w:szCs w:val="16"/>
              </w:rPr>
              <w:t>1920</w:t>
            </w:r>
          </w:p>
        </w:tc>
        <w:tc>
          <w:tcPr>
            <w:tcW w:w="851" w:type="dxa"/>
            <w:gridSpan w:val="2"/>
            <w:vAlign w:val="center"/>
          </w:tcPr>
          <w:p w14:paraId="5B32C0C6" w14:textId="727E2A38" w:rsidR="00401E78" w:rsidRPr="00C044BB" w:rsidRDefault="00401E78" w:rsidP="00401E78">
            <w:pPr>
              <w:spacing w:after="0" w:line="240" w:lineRule="auto"/>
              <w:jc w:val="center"/>
              <w:rPr>
                <w:sz w:val="16"/>
                <w:szCs w:val="16"/>
              </w:rPr>
            </w:pPr>
            <w:r w:rsidRPr="00C044BB">
              <w:rPr>
                <w:sz w:val="16"/>
                <w:szCs w:val="16"/>
              </w:rPr>
              <w:t>2,25</w:t>
            </w:r>
          </w:p>
        </w:tc>
        <w:tc>
          <w:tcPr>
            <w:tcW w:w="708" w:type="dxa"/>
            <w:gridSpan w:val="2"/>
            <w:vAlign w:val="center"/>
          </w:tcPr>
          <w:p w14:paraId="451A641D" w14:textId="461E5C5B" w:rsidR="00401E78" w:rsidRPr="00C044BB" w:rsidRDefault="00290D51" w:rsidP="00401E78">
            <w:pPr>
              <w:spacing w:after="0" w:line="240" w:lineRule="auto"/>
              <w:ind w:right="-108"/>
              <w:jc w:val="center"/>
              <w:rPr>
                <w:sz w:val="16"/>
                <w:szCs w:val="16"/>
              </w:rPr>
            </w:pPr>
            <w:r>
              <w:rPr>
                <w:sz w:val="16"/>
                <w:szCs w:val="16"/>
              </w:rPr>
              <w:t>21</w:t>
            </w:r>
          </w:p>
        </w:tc>
        <w:tc>
          <w:tcPr>
            <w:tcW w:w="851" w:type="dxa"/>
            <w:gridSpan w:val="2"/>
            <w:vAlign w:val="center"/>
          </w:tcPr>
          <w:p w14:paraId="207F93DD" w14:textId="7E90DD73" w:rsidR="00401E78" w:rsidRPr="00C044BB" w:rsidRDefault="00401E78" w:rsidP="00401E78">
            <w:pPr>
              <w:spacing w:after="0" w:line="240" w:lineRule="auto"/>
              <w:jc w:val="center"/>
              <w:rPr>
                <w:sz w:val="16"/>
                <w:szCs w:val="16"/>
              </w:rPr>
            </w:pPr>
            <w:r w:rsidRPr="00C044BB">
              <w:rPr>
                <w:sz w:val="16"/>
                <w:szCs w:val="16"/>
              </w:rPr>
              <w:t>2,72</w:t>
            </w:r>
          </w:p>
        </w:tc>
        <w:tc>
          <w:tcPr>
            <w:tcW w:w="1134" w:type="dxa"/>
            <w:vAlign w:val="center"/>
          </w:tcPr>
          <w:p w14:paraId="59584B44" w14:textId="168C7326" w:rsidR="00401E78" w:rsidRPr="00C044BB" w:rsidRDefault="00401E78" w:rsidP="00401E78">
            <w:pPr>
              <w:spacing w:after="0" w:line="240" w:lineRule="auto"/>
              <w:ind w:left="-114" w:right="-100"/>
              <w:jc w:val="center"/>
              <w:rPr>
                <w:sz w:val="16"/>
                <w:szCs w:val="16"/>
              </w:rPr>
            </w:pPr>
            <w:r w:rsidRPr="00C044BB">
              <w:rPr>
                <w:sz w:val="16"/>
                <w:szCs w:val="16"/>
              </w:rPr>
              <w:t>4320,00</w:t>
            </w:r>
          </w:p>
        </w:tc>
        <w:tc>
          <w:tcPr>
            <w:tcW w:w="1276" w:type="dxa"/>
            <w:vAlign w:val="center"/>
          </w:tcPr>
          <w:p w14:paraId="2B4C6292" w14:textId="252A41B6" w:rsidR="00401E78" w:rsidRPr="00C044BB" w:rsidRDefault="00401E78" w:rsidP="00401E78">
            <w:pPr>
              <w:spacing w:after="0" w:line="240" w:lineRule="auto"/>
              <w:ind w:left="-114" w:right="-100"/>
              <w:jc w:val="center"/>
              <w:rPr>
                <w:sz w:val="16"/>
                <w:szCs w:val="16"/>
              </w:rPr>
            </w:pPr>
            <w:r w:rsidRPr="00C044BB">
              <w:rPr>
                <w:color w:val="000000"/>
                <w:sz w:val="16"/>
                <w:szCs w:val="16"/>
              </w:rPr>
              <w:t>5227,20</w:t>
            </w:r>
          </w:p>
        </w:tc>
      </w:tr>
      <w:tr w:rsidR="00401E78" w:rsidRPr="00C044BB" w14:paraId="61BCDDB0" w14:textId="77777777" w:rsidTr="00726501">
        <w:trPr>
          <w:trHeight w:val="365"/>
          <w:tblHeader/>
        </w:trPr>
        <w:tc>
          <w:tcPr>
            <w:tcW w:w="851" w:type="dxa"/>
            <w:vAlign w:val="center"/>
          </w:tcPr>
          <w:p w14:paraId="1C99117F" w14:textId="6127B2D7" w:rsidR="00401E78" w:rsidRPr="00C044BB" w:rsidRDefault="00401E78" w:rsidP="00401E78">
            <w:pPr>
              <w:spacing w:after="0" w:line="240" w:lineRule="auto"/>
              <w:jc w:val="center"/>
              <w:rPr>
                <w:sz w:val="16"/>
                <w:szCs w:val="16"/>
              </w:rPr>
            </w:pPr>
            <w:r w:rsidRPr="00C044BB">
              <w:rPr>
                <w:b/>
                <w:bCs/>
                <w:color w:val="000000"/>
                <w:sz w:val="16"/>
                <w:szCs w:val="16"/>
              </w:rPr>
              <w:t>18.2</w:t>
            </w:r>
          </w:p>
        </w:tc>
        <w:tc>
          <w:tcPr>
            <w:tcW w:w="2410" w:type="dxa"/>
            <w:vAlign w:val="center"/>
          </w:tcPr>
          <w:p w14:paraId="3740E70A" w14:textId="4B04C622" w:rsidR="00401E78" w:rsidRPr="00C044BB" w:rsidRDefault="00401E78" w:rsidP="00401E78">
            <w:pPr>
              <w:spacing w:after="0" w:line="240" w:lineRule="auto"/>
              <w:rPr>
                <w:b/>
                <w:sz w:val="16"/>
                <w:szCs w:val="16"/>
              </w:rPr>
            </w:pPr>
            <w:r w:rsidRPr="00C044BB">
              <w:rPr>
                <w:b/>
                <w:bCs/>
                <w:sz w:val="16"/>
                <w:szCs w:val="16"/>
              </w:rPr>
              <w:t>Yersinia enterocolitica IgA</w:t>
            </w:r>
          </w:p>
        </w:tc>
        <w:tc>
          <w:tcPr>
            <w:tcW w:w="1134" w:type="dxa"/>
            <w:vAlign w:val="center"/>
          </w:tcPr>
          <w:p w14:paraId="4FEC436C" w14:textId="1131F300" w:rsidR="00401E78" w:rsidRPr="00C044BB" w:rsidRDefault="00401E78" w:rsidP="00401E78">
            <w:pPr>
              <w:spacing w:after="0" w:line="240" w:lineRule="auto"/>
              <w:ind w:left="-108" w:right="-108"/>
              <w:jc w:val="center"/>
              <w:rPr>
                <w:sz w:val="16"/>
                <w:szCs w:val="16"/>
              </w:rPr>
            </w:pPr>
            <w:r w:rsidRPr="00C044BB">
              <w:rPr>
                <w:sz w:val="16"/>
                <w:szCs w:val="16"/>
              </w:rPr>
              <w:t>33141625-7</w:t>
            </w:r>
          </w:p>
        </w:tc>
        <w:tc>
          <w:tcPr>
            <w:tcW w:w="1417" w:type="dxa"/>
            <w:vAlign w:val="center"/>
          </w:tcPr>
          <w:p w14:paraId="35E36971" w14:textId="5DCF6084" w:rsidR="00401E78" w:rsidRPr="00C044BB" w:rsidRDefault="00401E78" w:rsidP="00AA233D">
            <w:pPr>
              <w:spacing w:after="0" w:line="240" w:lineRule="auto"/>
              <w:ind w:left="-108" w:right="-108"/>
              <w:rPr>
                <w:sz w:val="16"/>
                <w:szCs w:val="16"/>
              </w:rPr>
            </w:pPr>
            <w:r w:rsidRPr="00C044BB">
              <w:rPr>
                <w:sz w:val="16"/>
                <w:szCs w:val="16"/>
              </w:rPr>
              <w:t xml:space="preserve">SERION ELISA classic Yersinia IgA yra reagentai, skirti Jersinijozės  IgA antikūnų nustatymui IFA metodu 96 šulinėlių mikroplokštelių formatu kraujo serume. Plokštelės laužomos po 1 šulinėlį. Į rinkinius įeina visi reikalingi tirpalai, kontrolės, kalibratoriai ir kiti priedai, reikalingi tyrimui atlikti. Rinkinys turi CE ir IVD ženklinimą (pateikiamos kopijos). Pateikiamas programavimo protokolas IMMUNOMAT analizatoriui. </w:t>
            </w:r>
          </w:p>
        </w:tc>
        <w:tc>
          <w:tcPr>
            <w:tcW w:w="1134" w:type="dxa"/>
            <w:vAlign w:val="center"/>
          </w:tcPr>
          <w:p w14:paraId="7050DA68" w14:textId="011A92E8" w:rsidR="00401E78" w:rsidRPr="00C044BB" w:rsidRDefault="00401E78" w:rsidP="00401E78">
            <w:pPr>
              <w:spacing w:after="0" w:line="240" w:lineRule="auto"/>
              <w:ind w:left="-114" w:right="-100"/>
              <w:jc w:val="center"/>
              <w:rPr>
                <w:sz w:val="16"/>
                <w:szCs w:val="16"/>
              </w:rPr>
            </w:pPr>
            <w:r w:rsidRPr="00C044BB">
              <w:rPr>
                <w:sz w:val="16"/>
                <w:szCs w:val="16"/>
              </w:rPr>
              <w:t>Virion-Serion, ESR138A, 1 pak.  (1x96 test.). Gamintojo dokumentacija 18p.d. IFU_CE, psl. 3; 4; 5</w:t>
            </w:r>
          </w:p>
        </w:tc>
        <w:tc>
          <w:tcPr>
            <w:tcW w:w="851" w:type="dxa"/>
            <w:gridSpan w:val="2"/>
            <w:vAlign w:val="center"/>
          </w:tcPr>
          <w:p w14:paraId="68D7B71F" w14:textId="73828773" w:rsidR="00401E78" w:rsidRPr="00C044BB" w:rsidRDefault="00401E78" w:rsidP="00401E78">
            <w:pPr>
              <w:spacing w:after="0" w:line="240" w:lineRule="auto"/>
              <w:ind w:left="-108" w:right="-123"/>
              <w:jc w:val="center"/>
              <w:rPr>
                <w:sz w:val="16"/>
                <w:szCs w:val="16"/>
              </w:rPr>
            </w:pPr>
            <w:r w:rsidRPr="00C044BB">
              <w:rPr>
                <w:sz w:val="16"/>
                <w:szCs w:val="16"/>
              </w:rPr>
              <w:t>testas</w:t>
            </w:r>
          </w:p>
        </w:tc>
        <w:tc>
          <w:tcPr>
            <w:tcW w:w="850" w:type="dxa"/>
            <w:gridSpan w:val="2"/>
            <w:vAlign w:val="center"/>
          </w:tcPr>
          <w:p w14:paraId="36991D78" w14:textId="2A7CE20B" w:rsidR="00401E78" w:rsidRPr="00C044BB" w:rsidRDefault="00161E21" w:rsidP="00401E78">
            <w:pPr>
              <w:spacing w:after="0" w:line="240" w:lineRule="auto"/>
              <w:jc w:val="center"/>
              <w:rPr>
                <w:b/>
                <w:sz w:val="16"/>
                <w:szCs w:val="16"/>
              </w:rPr>
            </w:pPr>
            <w:r w:rsidRPr="00C044BB">
              <w:rPr>
                <w:b/>
                <w:bCs/>
                <w:sz w:val="16"/>
                <w:szCs w:val="16"/>
              </w:rPr>
              <w:t>1920</w:t>
            </w:r>
          </w:p>
        </w:tc>
        <w:tc>
          <w:tcPr>
            <w:tcW w:w="851" w:type="dxa"/>
            <w:gridSpan w:val="2"/>
            <w:vAlign w:val="center"/>
          </w:tcPr>
          <w:p w14:paraId="2B0C4C14" w14:textId="37BE236D" w:rsidR="00401E78" w:rsidRPr="00C044BB" w:rsidRDefault="00401E78" w:rsidP="00401E78">
            <w:pPr>
              <w:spacing w:after="0" w:line="240" w:lineRule="auto"/>
              <w:jc w:val="center"/>
              <w:rPr>
                <w:sz w:val="16"/>
                <w:szCs w:val="16"/>
              </w:rPr>
            </w:pPr>
            <w:r w:rsidRPr="00C044BB">
              <w:rPr>
                <w:sz w:val="16"/>
                <w:szCs w:val="16"/>
              </w:rPr>
              <w:t>2,25</w:t>
            </w:r>
          </w:p>
        </w:tc>
        <w:tc>
          <w:tcPr>
            <w:tcW w:w="708" w:type="dxa"/>
            <w:gridSpan w:val="2"/>
            <w:vAlign w:val="center"/>
          </w:tcPr>
          <w:p w14:paraId="11CF59AF" w14:textId="221DB518" w:rsidR="00401E78" w:rsidRPr="00C044BB" w:rsidRDefault="00290D51" w:rsidP="00401E78">
            <w:pPr>
              <w:spacing w:after="0" w:line="240" w:lineRule="auto"/>
              <w:ind w:right="-108"/>
              <w:jc w:val="center"/>
              <w:rPr>
                <w:sz w:val="16"/>
                <w:szCs w:val="16"/>
              </w:rPr>
            </w:pPr>
            <w:r>
              <w:rPr>
                <w:sz w:val="16"/>
                <w:szCs w:val="16"/>
              </w:rPr>
              <w:t>21</w:t>
            </w:r>
          </w:p>
        </w:tc>
        <w:tc>
          <w:tcPr>
            <w:tcW w:w="851" w:type="dxa"/>
            <w:gridSpan w:val="2"/>
            <w:vAlign w:val="center"/>
          </w:tcPr>
          <w:p w14:paraId="5AB04DD0" w14:textId="0773CF29" w:rsidR="00401E78" w:rsidRPr="00C044BB" w:rsidRDefault="00401E78" w:rsidP="00401E78">
            <w:pPr>
              <w:spacing w:after="0" w:line="240" w:lineRule="auto"/>
              <w:jc w:val="center"/>
              <w:rPr>
                <w:sz w:val="16"/>
                <w:szCs w:val="16"/>
              </w:rPr>
            </w:pPr>
            <w:r w:rsidRPr="00C044BB">
              <w:rPr>
                <w:sz w:val="16"/>
                <w:szCs w:val="16"/>
              </w:rPr>
              <w:t>2,72</w:t>
            </w:r>
          </w:p>
        </w:tc>
        <w:tc>
          <w:tcPr>
            <w:tcW w:w="1134" w:type="dxa"/>
            <w:vAlign w:val="center"/>
          </w:tcPr>
          <w:p w14:paraId="38A60A17" w14:textId="00DF139E" w:rsidR="00401E78" w:rsidRPr="00C044BB" w:rsidRDefault="00401E78" w:rsidP="00401E78">
            <w:pPr>
              <w:spacing w:after="0" w:line="240" w:lineRule="auto"/>
              <w:ind w:left="-114" w:right="-100"/>
              <w:jc w:val="center"/>
              <w:rPr>
                <w:sz w:val="16"/>
                <w:szCs w:val="16"/>
              </w:rPr>
            </w:pPr>
            <w:r w:rsidRPr="00C044BB">
              <w:rPr>
                <w:sz w:val="16"/>
                <w:szCs w:val="16"/>
              </w:rPr>
              <w:t>4320,00</w:t>
            </w:r>
          </w:p>
        </w:tc>
        <w:tc>
          <w:tcPr>
            <w:tcW w:w="1276" w:type="dxa"/>
            <w:vAlign w:val="center"/>
          </w:tcPr>
          <w:p w14:paraId="54DDF2EA" w14:textId="09003EF6" w:rsidR="00401E78" w:rsidRPr="00C044BB" w:rsidRDefault="00401E78" w:rsidP="00401E78">
            <w:pPr>
              <w:spacing w:after="0" w:line="240" w:lineRule="auto"/>
              <w:ind w:left="-114" w:right="-100"/>
              <w:jc w:val="center"/>
              <w:rPr>
                <w:sz w:val="16"/>
                <w:szCs w:val="16"/>
              </w:rPr>
            </w:pPr>
            <w:r w:rsidRPr="00C044BB">
              <w:rPr>
                <w:sz w:val="16"/>
                <w:szCs w:val="16"/>
              </w:rPr>
              <w:t>5227,20</w:t>
            </w:r>
          </w:p>
        </w:tc>
      </w:tr>
      <w:tr w:rsidR="00401E78" w:rsidRPr="00C044BB" w14:paraId="391530ED" w14:textId="77777777" w:rsidTr="00470C67">
        <w:trPr>
          <w:trHeight w:val="4952"/>
          <w:tblHeader/>
        </w:trPr>
        <w:tc>
          <w:tcPr>
            <w:tcW w:w="851" w:type="dxa"/>
            <w:vAlign w:val="center"/>
          </w:tcPr>
          <w:p w14:paraId="25918B3F" w14:textId="697C1D70" w:rsidR="00401E78" w:rsidRPr="00C044BB" w:rsidRDefault="00401E78" w:rsidP="00401E78">
            <w:pPr>
              <w:spacing w:after="0" w:line="240" w:lineRule="auto"/>
              <w:jc w:val="center"/>
              <w:rPr>
                <w:sz w:val="16"/>
                <w:szCs w:val="16"/>
              </w:rPr>
            </w:pPr>
            <w:r w:rsidRPr="00C044BB">
              <w:rPr>
                <w:b/>
                <w:bCs/>
                <w:color w:val="000000"/>
                <w:sz w:val="16"/>
                <w:szCs w:val="16"/>
              </w:rPr>
              <w:lastRenderedPageBreak/>
              <w:t>24</w:t>
            </w:r>
          </w:p>
        </w:tc>
        <w:tc>
          <w:tcPr>
            <w:tcW w:w="2410" w:type="dxa"/>
            <w:vAlign w:val="center"/>
          </w:tcPr>
          <w:p w14:paraId="5B97AF5A" w14:textId="59822E43" w:rsidR="00401E78" w:rsidRPr="00C044BB" w:rsidRDefault="00401E78" w:rsidP="00401E78">
            <w:pPr>
              <w:spacing w:after="0" w:line="240" w:lineRule="auto"/>
              <w:rPr>
                <w:b/>
                <w:sz w:val="16"/>
                <w:szCs w:val="16"/>
              </w:rPr>
            </w:pPr>
            <w:r w:rsidRPr="00C044BB">
              <w:rPr>
                <w:b/>
                <w:bCs/>
                <w:color w:val="000000"/>
                <w:sz w:val="16"/>
                <w:szCs w:val="16"/>
              </w:rPr>
              <w:t>Reagentai Jersiniozės IgG diagnostikai IB metodu</w:t>
            </w:r>
          </w:p>
        </w:tc>
        <w:tc>
          <w:tcPr>
            <w:tcW w:w="1134" w:type="dxa"/>
            <w:vAlign w:val="center"/>
          </w:tcPr>
          <w:p w14:paraId="652EE3C3" w14:textId="723596F4" w:rsidR="00401E78" w:rsidRPr="00C044BB" w:rsidRDefault="00401E78" w:rsidP="00401E78">
            <w:pPr>
              <w:spacing w:after="0" w:line="240" w:lineRule="auto"/>
              <w:ind w:left="-108" w:right="-108"/>
              <w:jc w:val="center"/>
              <w:rPr>
                <w:sz w:val="16"/>
                <w:szCs w:val="16"/>
              </w:rPr>
            </w:pPr>
            <w:r w:rsidRPr="00C044BB">
              <w:rPr>
                <w:color w:val="000000"/>
                <w:sz w:val="16"/>
                <w:szCs w:val="16"/>
              </w:rPr>
              <w:t>33141625-7</w:t>
            </w:r>
          </w:p>
        </w:tc>
        <w:tc>
          <w:tcPr>
            <w:tcW w:w="1417" w:type="dxa"/>
            <w:vAlign w:val="center"/>
          </w:tcPr>
          <w:p w14:paraId="52E4A866" w14:textId="06AE7E14" w:rsidR="00401E78" w:rsidRPr="00C044BB" w:rsidRDefault="00401E78" w:rsidP="00401E78">
            <w:pPr>
              <w:spacing w:after="0" w:line="240" w:lineRule="auto"/>
              <w:ind w:left="-108" w:right="-108"/>
              <w:jc w:val="center"/>
              <w:rPr>
                <w:sz w:val="16"/>
                <w:szCs w:val="16"/>
              </w:rPr>
            </w:pPr>
            <w:r w:rsidRPr="00C044BB">
              <w:rPr>
                <w:color w:val="000000"/>
                <w:sz w:val="16"/>
                <w:szCs w:val="16"/>
              </w:rPr>
              <w:t>ecomLine Yersinia IgG 2.0 yra reagentų rinkinys skrirtas jersinijozės antikūnų tyrimams IB metodu. Nustatomi Yersinia spp., Yersinia entrocolytica ir Yersinia pseudotuberculosis vienoje juostelėje.  Pakuotės po 20 vnt. Galimybė atlikti tyrimus ir juos įvertinti pusiauautomatine Dynablot įranga, tyrimai yra validuoti ant siūlomos sistemos (tas pats gamintojas). Į tyrimo kainą yra įskaičiuoti visi priedai reikalingi tyrimui atlikti. Rinkiniai turi CE ir IVD ženklinimas.</w:t>
            </w:r>
          </w:p>
        </w:tc>
        <w:tc>
          <w:tcPr>
            <w:tcW w:w="1134" w:type="dxa"/>
            <w:vAlign w:val="center"/>
          </w:tcPr>
          <w:p w14:paraId="291D34DC" w14:textId="7D3CC7C4" w:rsidR="00401E78" w:rsidRPr="00C044BB" w:rsidRDefault="00401E78" w:rsidP="00401E78">
            <w:pPr>
              <w:spacing w:after="0" w:line="240" w:lineRule="auto"/>
              <w:ind w:left="-114" w:right="-100"/>
              <w:jc w:val="center"/>
              <w:rPr>
                <w:sz w:val="16"/>
                <w:szCs w:val="16"/>
              </w:rPr>
            </w:pPr>
            <w:r w:rsidRPr="00C044BB">
              <w:rPr>
                <w:color w:val="000000"/>
                <w:sz w:val="16"/>
                <w:szCs w:val="16"/>
              </w:rPr>
              <w:t xml:space="preserve">Mikrogen, 4672, 1 pak. (1x20 test.). Gamintojo dokumentacija 24p.d. IFU_CE, psl. 1; 2; </w:t>
            </w:r>
          </w:p>
        </w:tc>
        <w:tc>
          <w:tcPr>
            <w:tcW w:w="851" w:type="dxa"/>
            <w:gridSpan w:val="2"/>
            <w:vAlign w:val="center"/>
          </w:tcPr>
          <w:p w14:paraId="6081B3A9" w14:textId="1FC895A7" w:rsidR="00401E78" w:rsidRPr="00C044BB" w:rsidRDefault="00401E78" w:rsidP="00401E78">
            <w:pPr>
              <w:spacing w:after="0" w:line="240" w:lineRule="auto"/>
              <w:ind w:left="-108" w:right="-123"/>
              <w:jc w:val="center"/>
              <w:rPr>
                <w:sz w:val="16"/>
                <w:szCs w:val="16"/>
              </w:rPr>
            </w:pPr>
            <w:r w:rsidRPr="00C044BB">
              <w:rPr>
                <w:sz w:val="16"/>
                <w:szCs w:val="16"/>
              </w:rPr>
              <w:t>testas</w:t>
            </w:r>
          </w:p>
        </w:tc>
        <w:tc>
          <w:tcPr>
            <w:tcW w:w="850" w:type="dxa"/>
            <w:gridSpan w:val="2"/>
            <w:vAlign w:val="center"/>
          </w:tcPr>
          <w:p w14:paraId="6AD64F21" w14:textId="549568B4" w:rsidR="00401E78" w:rsidRPr="00C044BB" w:rsidRDefault="00F112D2" w:rsidP="00401E78">
            <w:pPr>
              <w:spacing w:after="0" w:line="240" w:lineRule="auto"/>
              <w:jc w:val="center"/>
              <w:rPr>
                <w:b/>
                <w:sz w:val="16"/>
                <w:szCs w:val="16"/>
              </w:rPr>
            </w:pPr>
            <w:r w:rsidRPr="00C044BB">
              <w:rPr>
                <w:b/>
                <w:bCs/>
                <w:sz w:val="16"/>
                <w:szCs w:val="16"/>
              </w:rPr>
              <w:t>40</w:t>
            </w:r>
          </w:p>
        </w:tc>
        <w:tc>
          <w:tcPr>
            <w:tcW w:w="851" w:type="dxa"/>
            <w:gridSpan w:val="2"/>
            <w:vAlign w:val="center"/>
          </w:tcPr>
          <w:p w14:paraId="3AA6A50B" w14:textId="499E4C8F" w:rsidR="00401E78" w:rsidRPr="00C044BB" w:rsidRDefault="00401E78" w:rsidP="00401E78">
            <w:pPr>
              <w:spacing w:after="0" w:line="240" w:lineRule="auto"/>
              <w:jc w:val="center"/>
              <w:rPr>
                <w:sz w:val="16"/>
                <w:szCs w:val="16"/>
              </w:rPr>
            </w:pPr>
            <w:r w:rsidRPr="00C044BB">
              <w:rPr>
                <w:color w:val="000000"/>
                <w:sz w:val="16"/>
                <w:szCs w:val="16"/>
              </w:rPr>
              <w:t>19,00</w:t>
            </w:r>
          </w:p>
        </w:tc>
        <w:tc>
          <w:tcPr>
            <w:tcW w:w="708" w:type="dxa"/>
            <w:gridSpan w:val="2"/>
            <w:vAlign w:val="center"/>
          </w:tcPr>
          <w:p w14:paraId="26165ACF" w14:textId="085B1001" w:rsidR="00401E78" w:rsidRPr="00C044BB" w:rsidRDefault="00B508D9" w:rsidP="00401E78">
            <w:pPr>
              <w:spacing w:after="0" w:line="240" w:lineRule="auto"/>
              <w:ind w:right="-108"/>
              <w:jc w:val="center"/>
              <w:rPr>
                <w:sz w:val="16"/>
                <w:szCs w:val="16"/>
              </w:rPr>
            </w:pPr>
            <w:r w:rsidRPr="00C044BB">
              <w:rPr>
                <w:sz w:val="16"/>
                <w:szCs w:val="16"/>
              </w:rPr>
              <w:t>21</w:t>
            </w:r>
          </w:p>
        </w:tc>
        <w:tc>
          <w:tcPr>
            <w:tcW w:w="851" w:type="dxa"/>
            <w:gridSpan w:val="2"/>
            <w:vAlign w:val="center"/>
          </w:tcPr>
          <w:p w14:paraId="42A67970" w14:textId="6B4C9C89" w:rsidR="00401E78" w:rsidRPr="00C044BB" w:rsidRDefault="00401E78" w:rsidP="00401E78">
            <w:pPr>
              <w:spacing w:after="0" w:line="240" w:lineRule="auto"/>
              <w:jc w:val="center"/>
              <w:rPr>
                <w:sz w:val="16"/>
                <w:szCs w:val="16"/>
              </w:rPr>
            </w:pPr>
            <w:r w:rsidRPr="00C044BB">
              <w:rPr>
                <w:sz w:val="16"/>
                <w:szCs w:val="16"/>
              </w:rPr>
              <w:t>22,99</w:t>
            </w:r>
          </w:p>
        </w:tc>
        <w:tc>
          <w:tcPr>
            <w:tcW w:w="1134" w:type="dxa"/>
            <w:vAlign w:val="center"/>
          </w:tcPr>
          <w:p w14:paraId="078D870C" w14:textId="751E34B8" w:rsidR="00401E78" w:rsidRPr="00C044BB" w:rsidRDefault="00401E78" w:rsidP="00401E78">
            <w:pPr>
              <w:spacing w:after="0" w:line="240" w:lineRule="auto"/>
              <w:ind w:left="-114" w:right="-100"/>
              <w:jc w:val="center"/>
              <w:rPr>
                <w:sz w:val="16"/>
                <w:szCs w:val="16"/>
              </w:rPr>
            </w:pPr>
            <w:r w:rsidRPr="00C044BB">
              <w:rPr>
                <w:sz w:val="16"/>
                <w:szCs w:val="16"/>
              </w:rPr>
              <w:t>760,00</w:t>
            </w:r>
          </w:p>
        </w:tc>
        <w:tc>
          <w:tcPr>
            <w:tcW w:w="1276" w:type="dxa"/>
            <w:vAlign w:val="center"/>
          </w:tcPr>
          <w:p w14:paraId="5B82842A" w14:textId="22D967EA" w:rsidR="00401E78" w:rsidRPr="00C044BB" w:rsidRDefault="00401E78" w:rsidP="00401E78">
            <w:pPr>
              <w:spacing w:after="0" w:line="240" w:lineRule="auto"/>
              <w:ind w:left="-114" w:right="-100"/>
              <w:jc w:val="center"/>
              <w:rPr>
                <w:sz w:val="16"/>
                <w:szCs w:val="16"/>
              </w:rPr>
            </w:pPr>
            <w:r w:rsidRPr="00C044BB">
              <w:rPr>
                <w:color w:val="000000"/>
                <w:sz w:val="16"/>
                <w:szCs w:val="16"/>
              </w:rPr>
              <w:t>919,60</w:t>
            </w:r>
          </w:p>
        </w:tc>
      </w:tr>
      <w:tr w:rsidR="00401E78" w:rsidRPr="00C044BB" w14:paraId="13B92B4B" w14:textId="77777777" w:rsidTr="00470C67">
        <w:trPr>
          <w:trHeight w:val="1858"/>
          <w:tblHeader/>
        </w:trPr>
        <w:tc>
          <w:tcPr>
            <w:tcW w:w="851" w:type="dxa"/>
            <w:vAlign w:val="center"/>
          </w:tcPr>
          <w:p w14:paraId="5A450760" w14:textId="0974333C" w:rsidR="00401E78" w:rsidRPr="00C044BB" w:rsidRDefault="00401E78" w:rsidP="00401E78">
            <w:pPr>
              <w:spacing w:after="0" w:line="240" w:lineRule="auto"/>
              <w:jc w:val="center"/>
              <w:rPr>
                <w:sz w:val="16"/>
                <w:szCs w:val="16"/>
              </w:rPr>
            </w:pPr>
            <w:r w:rsidRPr="00C044BB">
              <w:rPr>
                <w:b/>
                <w:bCs/>
                <w:color w:val="000000"/>
                <w:sz w:val="16"/>
                <w:szCs w:val="16"/>
              </w:rPr>
              <w:t>29</w:t>
            </w:r>
          </w:p>
        </w:tc>
        <w:tc>
          <w:tcPr>
            <w:tcW w:w="2410" w:type="dxa"/>
            <w:vAlign w:val="center"/>
          </w:tcPr>
          <w:p w14:paraId="2538E217" w14:textId="49DE3341" w:rsidR="00401E78" w:rsidRPr="00C044BB" w:rsidRDefault="00401E78" w:rsidP="00401E78">
            <w:pPr>
              <w:spacing w:after="0" w:line="240" w:lineRule="auto"/>
              <w:rPr>
                <w:b/>
                <w:sz w:val="16"/>
                <w:szCs w:val="16"/>
              </w:rPr>
            </w:pPr>
            <w:r w:rsidRPr="00C044BB">
              <w:rPr>
                <w:b/>
                <w:bCs/>
                <w:sz w:val="16"/>
                <w:szCs w:val="16"/>
              </w:rPr>
              <w:t>Reagentai a-HDV antikūnų nustatymui</w:t>
            </w:r>
          </w:p>
        </w:tc>
        <w:tc>
          <w:tcPr>
            <w:tcW w:w="1134" w:type="dxa"/>
            <w:vAlign w:val="center"/>
          </w:tcPr>
          <w:p w14:paraId="12465BA2" w14:textId="6C610FC4" w:rsidR="00401E78" w:rsidRPr="00C044BB" w:rsidRDefault="00401E78" w:rsidP="00401E78">
            <w:pPr>
              <w:spacing w:after="0" w:line="240" w:lineRule="auto"/>
              <w:ind w:left="-108" w:right="-108"/>
              <w:jc w:val="center"/>
              <w:rPr>
                <w:sz w:val="16"/>
                <w:szCs w:val="16"/>
              </w:rPr>
            </w:pPr>
            <w:r w:rsidRPr="00C044BB">
              <w:rPr>
                <w:color w:val="000000"/>
                <w:sz w:val="16"/>
                <w:szCs w:val="16"/>
              </w:rPr>
              <w:t>33141625-7</w:t>
            </w:r>
          </w:p>
        </w:tc>
        <w:tc>
          <w:tcPr>
            <w:tcW w:w="1417" w:type="dxa"/>
            <w:vAlign w:val="center"/>
          </w:tcPr>
          <w:p w14:paraId="30361012" w14:textId="4F2F3419" w:rsidR="00401E78" w:rsidRPr="00C044BB" w:rsidRDefault="00401E78" w:rsidP="00401E78">
            <w:pPr>
              <w:spacing w:after="0" w:line="240" w:lineRule="auto"/>
              <w:ind w:left="-108" w:right="-108"/>
              <w:jc w:val="center"/>
              <w:rPr>
                <w:sz w:val="16"/>
                <w:szCs w:val="16"/>
              </w:rPr>
            </w:pPr>
            <w:r w:rsidRPr="00C044BB">
              <w:rPr>
                <w:sz w:val="16"/>
                <w:szCs w:val="16"/>
              </w:rPr>
              <w:t>Dia.PRO HDV Ab yra reagentų rinkinys, skirtas hepatito D antikūnų nustatymui IFA metodu. Plokštelės laužomos po 8 šulinėlius. Rinkinys turi CE ir IVD ženklinimą.</w:t>
            </w:r>
          </w:p>
        </w:tc>
        <w:tc>
          <w:tcPr>
            <w:tcW w:w="1134" w:type="dxa"/>
            <w:vAlign w:val="center"/>
          </w:tcPr>
          <w:p w14:paraId="2513618D" w14:textId="30340788" w:rsidR="00401E78" w:rsidRPr="00C044BB" w:rsidRDefault="00401E78" w:rsidP="00401E78">
            <w:pPr>
              <w:spacing w:after="0" w:line="240" w:lineRule="auto"/>
              <w:ind w:left="-114" w:right="-100"/>
              <w:jc w:val="center"/>
              <w:rPr>
                <w:sz w:val="16"/>
                <w:szCs w:val="16"/>
              </w:rPr>
            </w:pPr>
            <w:r w:rsidRPr="00C044BB">
              <w:rPr>
                <w:sz w:val="16"/>
                <w:szCs w:val="16"/>
              </w:rPr>
              <w:t xml:space="preserve">Dia.Pro, DB.CE, 1 pak. (1x96 test.). Gamintojo dokumentacija 29p.d. IFU_CE, psl. 3; </w:t>
            </w:r>
          </w:p>
        </w:tc>
        <w:tc>
          <w:tcPr>
            <w:tcW w:w="851" w:type="dxa"/>
            <w:gridSpan w:val="2"/>
            <w:vAlign w:val="center"/>
          </w:tcPr>
          <w:p w14:paraId="73921DFC" w14:textId="5711CBDD" w:rsidR="00401E78" w:rsidRPr="00C044BB" w:rsidRDefault="00401E78" w:rsidP="00401E78">
            <w:pPr>
              <w:spacing w:after="0" w:line="240" w:lineRule="auto"/>
              <w:ind w:left="-108" w:right="-123"/>
              <w:jc w:val="center"/>
              <w:rPr>
                <w:sz w:val="16"/>
                <w:szCs w:val="16"/>
              </w:rPr>
            </w:pPr>
            <w:r w:rsidRPr="00C044BB">
              <w:rPr>
                <w:sz w:val="16"/>
                <w:szCs w:val="16"/>
              </w:rPr>
              <w:t>testas</w:t>
            </w:r>
          </w:p>
        </w:tc>
        <w:tc>
          <w:tcPr>
            <w:tcW w:w="850" w:type="dxa"/>
            <w:gridSpan w:val="2"/>
            <w:vAlign w:val="center"/>
          </w:tcPr>
          <w:p w14:paraId="47953C7D" w14:textId="4F48A76B" w:rsidR="00401E78" w:rsidRPr="00C044BB" w:rsidRDefault="00F112D2" w:rsidP="00401E78">
            <w:pPr>
              <w:spacing w:after="0" w:line="240" w:lineRule="auto"/>
              <w:jc w:val="center"/>
              <w:rPr>
                <w:b/>
                <w:sz w:val="16"/>
                <w:szCs w:val="16"/>
              </w:rPr>
            </w:pPr>
            <w:r w:rsidRPr="00C044BB">
              <w:rPr>
                <w:b/>
                <w:bCs/>
                <w:sz w:val="16"/>
                <w:szCs w:val="16"/>
              </w:rPr>
              <w:t>192</w:t>
            </w:r>
          </w:p>
        </w:tc>
        <w:tc>
          <w:tcPr>
            <w:tcW w:w="851" w:type="dxa"/>
            <w:gridSpan w:val="2"/>
            <w:vAlign w:val="center"/>
          </w:tcPr>
          <w:p w14:paraId="433E6FA3" w14:textId="44C7BD23" w:rsidR="00401E78" w:rsidRPr="00C044BB" w:rsidRDefault="00401E78" w:rsidP="00401E78">
            <w:pPr>
              <w:spacing w:after="0" w:line="240" w:lineRule="auto"/>
              <w:jc w:val="center"/>
              <w:rPr>
                <w:sz w:val="16"/>
                <w:szCs w:val="16"/>
              </w:rPr>
            </w:pPr>
            <w:r w:rsidRPr="00C044BB">
              <w:rPr>
                <w:sz w:val="16"/>
                <w:szCs w:val="16"/>
              </w:rPr>
              <w:t>2,00</w:t>
            </w:r>
          </w:p>
        </w:tc>
        <w:tc>
          <w:tcPr>
            <w:tcW w:w="708" w:type="dxa"/>
            <w:gridSpan w:val="2"/>
            <w:vAlign w:val="center"/>
          </w:tcPr>
          <w:p w14:paraId="4D4D8D17" w14:textId="22B83A15" w:rsidR="00401E78" w:rsidRPr="00C044BB" w:rsidRDefault="00B508D9" w:rsidP="00401E78">
            <w:pPr>
              <w:spacing w:after="0" w:line="240" w:lineRule="auto"/>
              <w:ind w:right="-108"/>
              <w:jc w:val="center"/>
              <w:rPr>
                <w:sz w:val="16"/>
                <w:szCs w:val="16"/>
              </w:rPr>
            </w:pPr>
            <w:r w:rsidRPr="00C044BB">
              <w:rPr>
                <w:sz w:val="16"/>
                <w:szCs w:val="16"/>
              </w:rPr>
              <w:t>21</w:t>
            </w:r>
          </w:p>
        </w:tc>
        <w:tc>
          <w:tcPr>
            <w:tcW w:w="851" w:type="dxa"/>
            <w:gridSpan w:val="2"/>
            <w:vAlign w:val="center"/>
          </w:tcPr>
          <w:p w14:paraId="332A9322" w14:textId="1D1999CF" w:rsidR="00401E78" w:rsidRPr="00C044BB" w:rsidRDefault="00401E78" w:rsidP="00401E78">
            <w:pPr>
              <w:spacing w:after="0" w:line="240" w:lineRule="auto"/>
              <w:jc w:val="center"/>
              <w:rPr>
                <w:sz w:val="16"/>
                <w:szCs w:val="16"/>
              </w:rPr>
            </w:pPr>
            <w:r w:rsidRPr="00C044BB">
              <w:rPr>
                <w:sz w:val="16"/>
                <w:szCs w:val="16"/>
              </w:rPr>
              <w:t>2,42</w:t>
            </w:r>
          </w:p>
        </w:tc>
        <w:tc>
          <w:tcPr>
            <w:tcW w:w="1134" w:type="dxa"/>
            <w:vAlign w:val="center"/>
          </w:tcPr>
          <w:p w14:paraId="035B48C9" w14:textId="7A2E5B4F" w:rsidR="00401E78" w:rsidRPr="00C044BB" w:rsidRDefault="00401E78" w:rsidP="00401E78">
            <w:pPr>
              <w:spacing w:after="0" w:line="240" w:lineRule="auto"/>
              <w:ind w:left="-114" w:right="-100"/>
              <w:jc w:val="center"/>
              <w:rPr>
                <w:sz w:val="16"/>
                <w:szCs w:val="16"/>
              </w:rPr>
            </w:pPr>
            <w:r w:rsidRPr="00C044BB">
              <w:rPr>
                <w:sz w:val="16"/>
                <w:szCs w:val="16"/>
              </w:rPr>
              <w:t>384,00</w:t>
            </w:r>
          </w:p>
        </w:tc>
        <w:tc>
          <w:tcPr>
            <w:tcW w:w="1276" w:type="dxa"/>
            <w:vAlign w:val="center"/>
          </w:tcPr>
          <w:p w14:paraId="6003FACB" w14:textId="5F71DFFB" w:rsidR="00401E78" w:rsidRPr="00C044BB" w:rsidRDefault="00401E78" w:rsidP="00401E78">
            <w:pPr>
              <w:spacing w:after="0" w:line="240" w:lineRule="auto"/>
              <w:ind w:left="-114" w:right="-100"/>
              <w:jc w:val="center"/>
              <w:rPr>
                <w:sz w:val="16"/>
                <w:szCs w:val="16"/>
              </w:rPr>
            </w:pPr>
            <w:r w:rsidRPr="00C044BB">
              <w:rPr>
                <w:color w:val="000000"/>
                <w:sz w:val="16"/>
                <w:szCs w:val="16"/>
              </w:rPr>
              <w:t>464,64</w:t>
            </w:r>
          </w:p>
        </w:tc>
      </w:tr>
      <w:tr w:rsidR="0083351E" w:rsidRPr="00C044BB" w14:paraId="3249EC64" w14:textId="77777777" w:rsidTr="00B24189">
        <w:trPr>
          <w:trHeight w:val="420"/>
          <w:tblHeader/>
        </w:trPr>
        <w:tc>
          <w:tcPr>
            <w:tcW w:w="7655" w:type="dxa"/>
            <w:gridSpan w:val="6"/>
            <w:tcBorders>
              <w:top w:val="single" w:sz="4" w:space="0" w:color="auto"/>
              <w:left w:val="single" w:sz="4" w:space="0" w:color="auto"/>
              <w:bottom w:val="single" w:sz="4" w:space="0" w:color="auto"/>
              <w:right w:val="nil"/>
            </w:tcBorders>
            <w:vAlign w:val="center"/>
          </w:tcPr>
          <w:p w14:paraId="1762DC31" w14:textId="77777777" w:rsidR="0083351E" w:rsidRPr="00C044BB" w:rsidRDefault="0083351E" w:rsidP="00B24189">
            <w:pPr>
              <w:spacing w:after="0" w:line="240" w:lineRule="auto"/>
              <w:jc w:val="right"/>
              <w:rPr>
                <w:b/>
                <w:sz w:val="16"/>
                <w:szCs w:val="16"/>
              </w:rPr>
            </w:pPr>
          </w:p>
        </w:tc>
        <w:tc>
          <w:tcPr>
            <w:tcW w:w="709" w:type="dxa"/>
            <w:gridSpan w:val="2"/>
            <w:tcBorders>
              <w:top w:val="single" w:sz="4" w:space="0" w:color="auto"/>
              <w:left w:val="nil"/>
              <w:bottom w:val="single" w:sz="4" w:space="0" w:color="auto"/>
              <w:right w:val="nil"/>
            </w:tcBorders>
          </w:tcPr>
          <w:p w14:paraId="46A5FE2B" w14:textId="77777777" w:rsidR="0083351E" w:rsidRPr="00C044BB" w:rsidRDefault="0083351E" w:rsidP="00B24189">
            <w:pPr>
              <w:spacing w:after="0" w:line="240" w:lineRule="auto"/>
              <w:jc w:val="right"/>
              <w:rPr>
                <w:b/>
                <w:sz w:val="16"/>
                <w:szCs w:val="16"/>
              </w:rPr>
            </w:pPr>
          </w:p>
        </w:tc>
        <w:tc>
          <w:tcPr>
            <w:tcW w:w="708" w:type="dxa"/>
            <w:gridSpan w:val="2"/>
            <w:tcBorders>
              <w:top w:val="single" w:sz="4" w:space="0" w:color="auto"/>
              <w:left w:val="nil"/>
              <w:bottom w:val="single" w:sz="4" w:space="0" w:color="auto"/>
              <w:right w:val="nil"/>
            </w:tcBorders>
          </w:tcPr>
          <w:p w14:paraId="6914A491" w14:textId="77777777" w:rsidR="0083351E" w:rsidRPr="00C044BB" w:rsidRDefault="0083351E" w:rsidP="00B24189">
            <w:pPr>
              <w:spacing w:after="0" w:line="240" w:lineRule="auto"/>
              <w:ind w:left="-114" w:right="-100"/>
              <w:jc w:val="center"/>
              <w:rPr>
                <w:b/>
                <w:sz w:val="16"/>
                <w:szCs w:val="16"/>
              </w:rPr>
            </w:pPr>
          </w:p>
        </w:tc>
        <w:tc>
          <w:tcPr>
            <w:tcW w:w="708" w:type="dxa"/>
            <w:gridSpan w:val="2"/>
            <w:tcBorders>
              <w:top w:val="single" w:sz="4" w:space="0" w:color="auto"/>
              <w:left w:val="nil"/>
              <w:bottom w:val="single" w:sz="4" w:space="0" w:color="auto"/>
              <w:right w:val="nil"/>
            </w:tcBorders>
          </w:tcPr>
          <w:p w14:paraId="57FA2C8F" w14:textId="77777777" w:rsidR="0083351E" w:rsidRPr="00C044BB" w:rsidRDefault="0083351E" w:rsidP="00B24189">
            <w:pPr>
              <w:spacing w:after="0" w:line="240" w:lineRule="auto"/>
              <w:ind w:right="-108"/>
              <w:jc w:val="center"/>
              <w:rPr>
                <w:b/>
                <w:sz w:val="16"/>
                <w:szCs w:val="16"/>
              </w:rPr>
            </w:pPr>
          </w:p>
        </w:tc>
        <w:tc>
          <w:tcPr>
            <w:tcW w:w="851" w:type="dxa"/>
            <w:gridSpan w:val="2"/>
            <w:tcBorders>
              <w:top w:val="single" w:sz="4" w:space="0" w:color="auto"/>
              <w:left w:val="nil"/>
              <w:bottom w:val="single" w:sz="4" w:space="0" w:color="auto"/>
              <w:right w:val="nil"/>
            </w:tcBorders>
          </w:tcPr>
          <w:p w14:paraId="338C5AA4" w14:textId="77777777" w:rsidR="0083351E" w:rsidRPr="00C044BB" w:rsidRDefault="0083351E" w:rsidP="00B24189">
            <w:pPr>
              <w:spacing w:after="0" w:line="240" w:lineRule="auto"/>
              <w:ind w:left="-114" w:right="-100"/>
              <w:jc w:val="center"/>
              <w:rPr>
                <w:b/>
                <w:sz w:val="16"/>
                <w:szCs w:val="16"/>
              </w:rPr>
            </w:pPr>
          </w:p>
        </w:tc>
        <w:tc>
          <w:tcPr>
            <w:tcW w:w="1560" w:type="dxa"/>
            <w:gridSpan w:val="2"/>
            <w:tcBorders>
              <w:top w:val="single" w:sz="4" w:space="0" w:color="auto"/>
              <w:left w:val="nil"/>
              <w:bottom w:val="single" w:sz="4" w:space="0" w:color="auto"/>
              <w:right w:val="single" w:sz="4" w:space="0" w:color="auto"/>
            </w:tcBorders>
          </w:tcPr>
          <w:p w14:paraId="2A7E269D" w14:textId="77777777" w:rsidR="0083351E" w:rsidRPr="00C044BB" w:rsidRDefault="0083351E" w:rsidP="00B24189">
            <w:pPr>
              <w:spacing w:after="0" w:line="240" w:lineRule="auto"/>
              <w:ind w:left="-114" w:right="-100"/>
              <w:jc w:val="center"/>
              <w:rPr>
                <w:b/>
                <w:sz w:val="16"/>
                <w:szCs w:val="16"/>
              </w:rPr>
            </w:pPr>
            <w:r w:rsidRPr="00C044BB">
              <w:rPr>
                <w:b/>
                <w:sz w:val="16"/>
                <w:szCs w:val="16"/>
              </w:rPr>
              <w:t>Iš viso:</w:t>
            </w:r>
          </w:p>
        </w:tc>
        <w:tc>
          <w:tcPr>
            <w:tcW w:w="1276" w:type="dxa"/>
            <w:tcBorders>
              <w:left w:val="single" w:sz="4" w:space="0" w:color="auto"/>
            </w:tcBorders>
          </w:tcPr>
          <w:p w14:paraId="449C1121" w14:textId="03378722" w:rsidR="0083351E" w:rsidRPr="00C044BB" w:rsidRDefault="0016611A" w:rsidP="00B24189">
            <w:pPr>
              <w:spacing w:after="0" w:line="240" w:lineRule="auto"/>
              <w:ind w:left="-114" w:right="-100"/>
              <w:jc w:val="center"/>
              <w:rPr>
                <w:b/>
                <w:sz w:val="16"/>
                <w:szCs w:val="16"/>
              </w:rPr>
            </w:pPr>
            <w:r>
              <w:rPr>
                <w:b/>
                <w:sz w:val="16"/>
                <w:szCs w:val="16"/>
              </w:rPr>
              <w:t>17162,64</w:t>
            </w:r>
          </w:p>
        </w:tc>
      </w:tr>
    </w:tbl>
    <w:p w14:paraId="58FE8428" w14:textId="77777777" w:rsidR="0083351E" w:rsidRPr="005A18AE" w:rsidRDefault="0083351E" w:rsidP="0083351E">
      <w:pPr>
        <w:rPr>
          <w:szCs w:val="24"/>
        </w:rPr>
      </w:pPr>
    </w:p>
    <w:tbl>
      <w:tblPr>
        <w:tblW w:w="11482" w:type="dxa"/>
        <w:tblInd w:w="1242" w:type="dxa"/>
        <w:tblLayout w:type="fixed"/>
        <w:tblLook w:val="0000" w:firstRow="0" w:lastRow="0" w:firstColumn="0" w:lastColumn="0" w:noHBand="0" w:noVBand="0"/>
      </w:tblPr>
      <w:tblGrid>
        <w:gridCol w:w="6237"/>
        <w:gridCol w:w="5245"/>
      </w:tblGrid>
      <w:tr w:rsidR="0083351E" w:rsidRPr="005A18AE" w14:paraId="0A0A1887" w14:textId="77777777" w:rsidTr="00B24189">
        <w:trPr>
          <w:cantSplit/>
        </w:trPr>
        <w:tc>
          <w:tcPr>
            <w:tcW w:w="6237" w:type="dxa"/>
          </w:tcPr>
          <w:p w14:paraId="3720C57A" w14:textId="77777777" w:rsidR="0083351E" w:rsidRPr="005A18AE" w:rsidRDefault="0083351E" w:rsidP="00B24189">
            <w:pPr>
              <w:spacing w:after="0" w:line="240" w:lineRule="auto"/>
              <w:rPr>
                <w:b/>
                <w:szCs w:val="24"/>
              </w:rPr>
            </w:pPr>
            <w:r w:rsidRPr="005A18AE">
              <w:rPr>
                <w:b/>
                <w:szCs w:val="24"/>
              </w:rPr>
              <w:t xml:space="preserve">Pardavėjas </w:t>
            </w:r>
          </w:p>
        </w:tc>
        <w:tc>
          <w:tcPr>
            <w:tcW w:w="5245" w:type="dxa"/>
          </w:tcPr>
          <w:p w14:paraId="7F44B614" w14:textId="77777777" w:rsidR="0083351E" w:rsidRPr="005A18AE" w:rsidRDefault="0083351E" w:rsidP="00B24189">
            <w:pPr>
              <w:spacing w:after="0" w:line="240" w:lineRule="auto"/>
              <w:rPr>
                <w:b/>
                <w:szCs w:val="24"/>
              </w:rPr>
            </w:pPr>
            <w:r w:rsidRPr="005A18AE">
              <w:rPr>
                <w:b/>
                <w:szCs w:val="24"/>
              </w:rPr>
              <w:t xml:space="preserve">Pirkėjas </w:t>
            </w:r>
          </w:p>
        </w:tc>
      </w:tr>
      <w:tr w:rsidR="00BF25CE" w:rsidRPr="005A18AE" w14:paraId="3D739F69" w14:textId="77777777" w:rsidTr="00B24189">
        <w:trPr>
          <w:cantSplit/>
        </w:trPr>
        <w:tc>
          <w:tcPr>
            <w:tcW w:w="6237" w:type="dxa"/>
            <w:vAlign w:val="bottom"/>
          </w:tcPr>
          <w:p w14:paraId="7230F4CA" w14:textId="74DC85FC" w:rsidR="00BF25CE" w:rsidRPr="005A18AE" w:rsidRDefault="00BF25CE" w:rsidP="00BF25CE">
            <w:pPr>
              <w:spacing w:after="0" w:line="240" w:lineRule="auto"/>
              <w:rPr>
                <w:sz w:val="12"/>
                <w:szCs w:val="12"/>
              </w:rPr>
            </w:pPr>
            <w:r>
              <w:rPr>
                <w:kern w:val="2"/>
                <w:szCs w:val="24"/>
                <w14:ligatures w14:val="standardContextual"/>
              </w:rPr>
              <w:t>UAB „</w:t>
            </w:r>
            <w:r w:rsidR="00553926">
              <w:rPr>
                <w:kern w:val="2"/>
                <w:szCs w:val="24"/>
                <w14:ligatures w14:val="standardContextual"/>
              </w:rPr>
              <w:t>Multilabo</w:t>
            </w:r>
            <w:r>
              <w:rPr>
                <w:kern w:val="2"/>
                <w:szCs w:val="24"/>
                <w14:ligatures w14:val="standardContextual"/>
              </w:rPr>
              <w:t>“</w:t>
            </w:r>
          </w:p>
        </w:tc>
        <w:tc>
          <w:tcPr>
            <w:tcW w:w="5245" w:type="dxa"/>
          </w:tcPr>
          <w:p w14:paraId="03992993" w14:textId="77777777" w:rsidR="00BF25CE" w:rsidRDefault="00BF25CE" w:rsidP="00BF25CE">
            <w:pPr>
              <w:spacing w:after="0" w:line="240" w:lineRule="auto"/>
              <w:rPr>
                <w:b/>
                <w:kern w:val="2"/>
                <w:szCs w:val="24"/>
                <w14:ligatures w14:val="standardContextual"/>
              </w:rPr>
            </w:pPr>
          </w:p>
          <w:p w14:paraId="5B2BE16B" w14:textId="25DC8D13" w:rsidR="00BF25CE" w:rsidRPr="005A18AE" w:rsidRDefault="00BF25CE" w:rsidP="00BF25CE">
            <w:pPr>
              <w:spacing w:after="0" w:line="240" w:lineRule="auto"/>
              <w:rPr>
                <w:b/>
                <w:sz w:val="12"/>
                <w:szCs w:val="12"/>
              </w:rPr>
            </w:pPr>
            <w:r>
              <w:rPr>
                <w:kern w:val="2"/>
                <w:szCs w:val="24"/>
                <w14:ligatures w14:val="standardContextual"/>
              </w:rPr>
              <w:t>Nacionalinė visuomenės sveikatos priežiūros laboratorija</w:t>
            </w:r>
          </w:p>
        </w:tc>
      </w:tr>
      <w:tr w:rsidR="00BF25CE" w:rsidRPr="005A18AE" w14:paraId="4CCB6CF2" w14:textId="77777777" w:rsidTr="00B24189">
        <w:trPr>
          <w:cantSplit/>
        </w:trPr>
        <w:tc>
          <w:tcPr>
            <w:tcW w:w="6237" w:type="dxa"/>
            <w:vAlign w:val="bottom"/>
          </w:tcPr>
          <w:p w14:paraId="7036A935" w14:textId="77777777" w:rsidR="00BF25CE" w:rsidRPr="005A18AE" w:rsidRDefault="00BF25CE" w:rsidP="00BF25CE">
            <w:pPr>
              <w:spacing w:after="0" w:line="240" w:lineRule="auto"/>
              <w:rPr>
                <w:szCs w:val="24"/>
              </w:rPr>
            </w:pPr>
          </w:p>
        </w:tc>
        <w:tc>
          <w:tcPr>
            <w:tcW w:w="5245" w:type="dxa"/>
          </w:tcPr>
          <w:p w14:paraId="18388ECF" w14:textId="77777777" w:rsidR="00BF25CE" w:rsidRPr="005A18AE" w:rsidRDefault="00BF25CE" w:rsidP="00BF25CE">
            <w:pPr>
              <w:spacing w:after="0" w:line="240" w:lineRule="auto"/>
              <w:rPr>
                <w:b/>
                <w:szCs w:val="24"/>
              </w:rPr>
            </w:pPr>
          </w:p>
        </w:tc>
      </w:tr>
      <w:tr w:rsidR="00BF25CE" w:rsidRPr="005A18AE" w14:paraId="6427A958" w14:textId="77777777" w:rsidTr="00D47AAC">
        <w:trPr>
          <w:trHeight w:val="255"/>
        </w:trPr>
        <w:tc>
          <w:tcPr>
            <w:tcW w:w="6237" w:type="dxa"/>
            <w:vAlign w:val="bottom"/>
          </w:tcPr>
          <w:p w14:paraId="191CCCE0" w14:textId="69CD6033" w:rsidR="00BF25CE" w:rsidRDefault="00BF25CE" w:rsidP="00BF25CE">
            <w:pPr>
              <w:spacing w:after="0" w:line="240" w:lineRule="auto"/>
              <w:rPr>
                <w:kern w:val="2"/>
                <w:szCs w:val="24"/>
                <w14:ligatures w14:val="standardContextual"/>
              </w:rPr>
            </w:pPr>
            <w:r w:rsidRPr="00023D89">
              <w:rPr>
                <w:kern w:val="2"/>
                <w:szCs w:val="24"/>
                <w14:ligatures w14:val="standardContextual"/>
              </w:rPr>
              <w:lastRenderedPageBreak/>
              <w:t>Direktor</w:t>
            </w:r>
            <w:r w:rsidR="00384825">
              <w:rPr>
                <w:kern w:val="2"/>
                <w:szCs w:val="24"/>
                <w14:ligatures w14:val="standardContextual"/>
              </w:rPr>
              <w:t>ė</w:t>
            </w:r>
          </w:p>
          <w:p w14:paraId="54A27EE5" w14:textId="28458DA3" w:rsidR="00BF25CE" w:rsidRPr="005A18AE" w:rsidRDefault="00384825" w:rsidP="00BF25CE">
            <w:pPr>
              <w:spacing w:after="0" w:line="240" w:lineRule="auto"/>
              <w:rPr>
                <w:szCs w:val="24"/>
              </w:rPr>
            </w:pPr>
            <w:r>
              <w:rPr>
                <w:szCs w:val="24"/>
              </w:rPr>
              <w:t>Miglė Natkaitė</w:t>
            </w:r>
          </w:p>
        </w:tc>
        <w:tc>
          <w:tcPr>
            <w:tcW w:w="5245" w:type="dxa"/>
            <w:noWrap/>
          </w:tcPr>
          <w:p w14:paraId="0704801B" w14:textId="77777777" w:rsidR="00BF25CE" w:rsidRDefault="00BF25CE" w:rsidP="00BF25CE">
            <w:pPr>
              <w:spacing w:after="0" w:line="240" w:lineRule="auto"/>
              <w:rPr>
                <w:kern w:val="2"/>
                <w14:ligatures w14:val="standardContextual"/>
              </w:rPr>
            </w:pPr>
            <w:r>
              <w:rPr>
                <w:kern w:val="2"/>
                <w14:ligatures w14:val="standardContextual"/>
              </w:rPr>
              <w:t>Virusologinių tyrimų poskyrio vedėja-medicinos biologė,</w:t>
            </w:r>
          </w:p>
          <w:p w14:paraId="52B332C6" w14:textId="77777777" w:rsidR="00BF25CE" w:rsidRDefault="00BF25CE" w:rsidP="00BF25CE">
            <w:pPr>
              <w:spacing w:after="0" w:line="240" w:lineRule="auto"/>
              <w:rPr>
                <w:kern w:val="2"/>
                <w:lang w:eastAsia="lt-LT"/>
                <w14:ligatures w14:val="standardContextual"/>
              </w:rPr>
            </w:pPr>
            <w:r>
              <w:rPr>
                <w:kern w:val="2"/>
                <w:lang w:val="fi-FI"/>
                <w14:ligatures w14:val="standardContextual"/>
              </w:rPr>
              <w:t>laikinai einanti Klinikinių tyrimų skyriaus vedėjo pavaduotojo pareigas</w:t>
            </w:r>
            <w:r>
              <w:rPr>
                <w:kern w:val="2"/>
                <w:lang w:eastAsia="lt-LT"/>
                <w14:ligatures w14:val="standardContextual"/>
              </w:rPr>
              <w:t>,</w:t>
            </w:r>
          </w:p>
          <w:p w14:paraId="3FAFA64A" w14:textId="77777777" w:rsidR="00BF25CE" w:rsidRDefault="00BF25CE" w:rsidP="00BF25CE">
            <w:pPr>
              <w:spacing w:after="0" w:line="240" w:lineRule="auto"/>
              <w:rPr>
                <w:kern w:val="2"/>
                <w:lang w:eastAsia="lt-LT"/>
                <w14:ligatures w14:val="standardContextual"/>
              </w:rPr>
            </w:pPr>
            <w:r>
              <w:rPr>
                <w:kern w:val="2"/>
                <w:lang w:eastAsia="lt-LT"/>
                <w14:ligatures w14:val="standardContextual"/>
              </w:rPr>
              <w:t>laikinai vykdanti direktoriaus funkcijas</w:t>
            </w:r>
          </w:p>
          <w:p w14:paraId="543A85B1" w14:textId="508B4AA2" w:rsidR="00BF25CE" w:rsidRPr="005A18AE" w:rsidRDefault="00BF25CE" w:rsidP="00BF25CE">
            <w:pPr>
              <w:spacing w:after="0" w:line="240" w:lineRule="auto"/>
              <w:rPr>
                <w:szCs w:val="24"/>
              </w:rPr>
            </w:pPr>
            <w:r>
              <w:rPr>
                <w:kern w:val="2"/>
                <w:lang w:eastAsia="lt-LT"/>
                <w14:ligatures w14:val="standardContextual"/>
              </w:rPr>
              <w:t>Svajūnė Muralytė</w:t>
            </w:r>
          </w:p>
        </w:tc>
      </w:tr>
      <w:tr w:rsidR="00BF25CE" w:rsidRPr="005A18AE" w14:paraId="5D1E3510" w14:textId="77777777" w:rsidTr="00B24189">
        <w:trPr>
          <w:trHeight w:val="255"/>
        </w:trPr>
        <w:tc>
          <w:tcPr>
            <w:tcW w:w="6237" w:type="dxa"/>
          </w:tcPr>
          <w:p w14:paraId="473A25BE" w14:textId="77777777" w:rsidR="00BF25CE" w:rsidRDefault="00BF25CE" w:rsidP="00BF25CE">
            <w:pPr>
              <w:spacing w:after="0" w:line="240" w:lineRule="auto"/>
              <w:rPr>
                <w:kern w:val="2"/>
                <w:sz w:val="12"/>
                <w:szCs w:val="12"/>
                <w14:ligatures w14:val="standardContextual"/>
              </w:rPr>
            </w:pPr>
          </w:p>
          <w:p w14:paraId="1CC6CD75" w14:textId="77777777" w:rsidR="00BF25CE" w:rsidRDefault="00BF25CE" w:rsidP="00BF25CE">
            <w:pPr>
              <w:spacing w:after="0" w:line="240" w:lineRule="auto"/>
              <w:rPr>
                <w:kern w:val="2"/>
                <w:szCs w:val="24"/>
                <w14:ligatures w14:val="standardContextual"/>
              </w:rPr>
            </w:pPr>
            <w:r>
              <w:rPr>
                <w:kern w:val="2"/>
                <w:szCs w:val="24"/>
                <w14:ligatures w14:val="standardContextual"/>
              </w:rPr>
              <w:t>Parašas</w:t>
            </w:r>
            <w:r>
              <w:rPr>
                <w:kern w:val="2"/>
                <w:szCs w:val="24"/>
                <w14:ligatures w14:val="standardContextual"/>
              </w:rPr>
              <w:tab/>
              <w:t>______________________</w:t>
            </w:r>
          </w:p>
          <w:p w14:paraId="58073182" w14:textId="0ABB1C52" w:rsidR="00BF25CE" w:rsidRPr="005A18AE" w:rsidRDefault="00BF25CE" w:rsidP="00BF25CE">
            <w:pPr>
              <w:spacing w:after="0" w:line="240" w:lineRule="auto"/>
              <w:rPr>
                <w:szCs w:val="24"/>
              </w:rPr>
            </w:pPr>
          </w:p>
        </w:tc>
        <w:tc>
          <w:tcPr>
            <w:tcW w:w="5245" w:type="dxa"/>
            <w:noWrap/>
          </w:tcPr>
          <w:p w14:paraId="42967066" w14:textId="77777777" w:rsidR="00BF25CE" w:rsidRDefault="00BF25CE" w:rsidP="00BF25CE">
            <w:pPr>
              <w:spacing w:after="0" w:line="240" w:lineRule="auto"/>
              <w:rPr>
                <w:kern w:val="2"/>
                <w:sz w:val="12"/>
                <w:szCs w:val="12"/>
                <w14:ligatures w14:val="standardContextual"/>
              </w:rPr>
            </w:pPr>
          </w:p>
          <w:p w14:paraId="2062D0DF" w14:textId="77777777" w:rsidR="00BF25CE" w:rsidRDefault="00BF25CE" w:rsidP="00BF25CE">
            <w:pPr>
              <w:spacing w:after="0" w:line="240" w:lineRule="auto"/>
              <w:rPr>
                <w:kern w:val="2"/>
                <w:szCs w:val="24"/>
                <w14:ligatures w14:val="standardContextual"/>
              </w:rPr>
            </w:pPr>
            <w:r>
              <w:rPr>
                <w:kern w:val="2"/>
                <w:szCs w:val="24"/>
                <w14:ligatures w14:val="standardContextual"/>
              </w:rPr>
              <w:t>Parašas</w:t>
            </w:r>
            <w:r>
              <w:rPr>
                <w:kern w:val="2"/>
                <w:szCs w:val="24"/>
                <w14:ligatures w14:val="standardContextual"/>
              </w:rPr>
              <w:tab/>
              <w:t>______________________</w:t>
            </w:r>
          </w:p>
          <w:p w14:paraId="4229EAB7" w14:textId="11C4B668" w:rsidR="00BF25CE" w:rsidRPr="005A18AE" w:rsidRDefault="00BF25CE" w:rsidP="00BF25CE">
            <w:pPr>
              <w:spacing w:after="0" w:line="240" w:lineRule="auto"/>
              <w:rPr>
                <w:szCs w:val="24"/>
              </w:rPr>
            </w:pPr>
          </w:p>
        </w:tc>
      </w:tr>
    </w:tbl>
    <w:p w14:paraId="7E548316" w14:textId="77777777" w:rsidR="00804EA6" w:rsidRDefault="00804EA6" w:rsidP="00B92DB5"/>
    <w:sectPr w:rsidR="00804EA6" w:rsidSect="00ED553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23D89"/>
    <w:rsid w:val="000C648A"/>
    <w:rsid w:val="00102B81"/>
    <w:rsid w:val="00154F76"/>
    <w:rsid w:val="00161E21"/>
    <w:rsid w:val="00164C43"/>
    <w:rsid w:val="0016611A"/>
    <w:rsid w:val="001E78C4"/>
    <w:rsid w:val="002164E9"/>
    <w:rsid w:val="0023710E"/>
    <w:rsid w:val="00290D51"/>
    <w:rsid w:val="002C38A0"/>
    <w:rsid w:val="002D6228"/>
    <w:rsid w:val="00314C27"/>
    <w:rsid w:val="00341301"/>
    <w:rsid w:val="00384825"/>
    <w:rsid w:val="003941AF"/>
    <w:rsid w:val="003A2CAC"/>
    <w:rsid w:val="003A5BEA"/>
    <w:rsid w:val="003E3270"/>
    <w:rsid w:val="00401E78"/>
    <w:rsid w:val="00425F77"/>
    <w:rsid w:val="00470C67"/>
    <w:rsid w:val="00492142"/>
    <w:rsid w:val="00493578"/>
    <w:rsid w:val="004974A5"/>
    <w:rsid w:val="00501506"/>
    <w:rsid w:val="00545129"/>
    <w:rsid w:val="00553926"/>
    <w:rsid w:val="00580BA8"/>
    <w:rsid w:val="00596FF7"/>
    <w:rsid w:val="005B07AF"/>
    <w:rsid w:val="005D3EF5"/>
    <w:rsid w:val="006328E3"/>
    <w:rsid w:val="006727F6"/>
    <w:rsid w:val="00726501"/>
    <w:rsid w:val="00802048"/>
    <w:rsid w:val="00804EA6"/>
    <w:rsid w:val="0083351E"/>
    <w:rsid w:val="00861B70"/>
    <w:rsid w:val="00962C8A"/>
    <w:rsid w:val="00980522"/>
    <w:rsid w:val="00A11500"/>
    <w:rsid w:val="00AA233D"/>
    <w:rsid w:val="00AA74BB"/>
    <w:rsid w:val="00AB2EF9"/>
    <w:rsid w:val="00B508D9"/>
    <w:rsid w:val="00B92DB5"/>
    <w:rsid w:val="00BF25CE"/>
    <w:rsid w:val="00C02EB2"/>
    <w:rsid w:val="00C031EC"/>
    <w:rsid w:val="00C044BB"/>
    <w:rsid w:val="00C04C16"/>
    <w:rsid w:val="00C235CA"/>
    <w:rsid w:val="00C433BE"/>
    <w:rsid w:val="00C454B4"/>
    <w:rsid w:val="00C5142A"/>
    <w:rsid w:val="00C81493"/>
    <w:rsid w:val="00CB56CC"/>
    <w:rsid w:val="00DC6806"/>
    <w:rsid w:val="00E036E1"/>
    <w:rsid w:val="00E076C0"/>
    <w:rsid w:val="00E15F20"/>
    <w:rsid w:val="00E738E5"/>
    <w:rsid w:val="00ED2AA2"/>
    <w:rsid w:val="00ED553C"/>
    <w:rsid w:val="00F112D2"/>
    <w:rsid w:val="00FA573C"/>
    <w:rsid w:val="00FD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93</cp:revision>
  <dcterms:created xsi:type="dcterms:W3CDTF">2024-04-11T04:27:00Z</dcterms:created>
  <dcterms:modified xsi:type="dcterms:W3CDTF">2025-12-16T09:03:00Z</dcterms:modified>
</cp:coreProperties>
</file>