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717"/>
        <w:gridCol w:w="4866"/>
        <w:gridCol w:w="5211"/>
      </w:tblGrid>
      <w:tr w:rsidR="00040423" w:rsidRPr="005E42FB" w14:paraId="7E297B06" w14:textId="77777777" w:rsidTr="00040423">
        <w:tc>
          <w:tcPr>
            <w:tcW w:w="2586" w:type="pct"/>
            <w:gridSpan w:val="2"/>
            <w:tcBorders>
              <w:top w:val="single" w:sz="2" w:space="0" w:color="FFFFFF"/>
              <w:left w:val="single" w:sz="2" w:space="0" w:color="FFFFFF"/>
              <w:bottom w:val="single" w:sz="2" w:space="0" w:color="FFFFFF" w:themeColor="background1"/>
              <w:right w:val="single" w:sz="2" w:space="0" w:color="FFFFFF" w:themeColor="background1"/>
            </w:tcBorders>
            <w:vAlign w:val="center"/>
          </w:tcPr>
          <w:p w14:paraId="0D3D0A55" w14:textId="77777777" w:rsidR="00040423" w:rsidRPr="005E42FB" w:rsidRDefault="00040423" w:rsidP="00777CEE">
            <w:pPr>
              <w:jc w:val="center"/>
              <w:rPr>
                <w:rFonts w:ascii="Arial" w:hAnsi="Arial" w:cs="Arial"/>
                <w:b/>
                <w:bCs/>
                <w:sz w:val="20"/>
                <w:szCs w:val="20"/>
              </w:rPr>
            </w:pPr>
          </w:p>
          <w:p w14:paraId="79C21C9E" w14:textId="77777777" w:rsidR="00040423" w:rsidRPr="005E42FB" w:rsidRDefault="00040423" w:rsidP="00777CEE">
            <w:pPr>
              <w:jc w:val="center"/>
              <w:rPr>
                <w:rFonts w:ascii="Arial" w:hAnsi="Arial" w:cs="Arial"/>
                <w:b/>
                <w:bCs/>
                <w:sz w:val="20"/>
                <w:szCs w:val="20"/>
              </w:rPr>
            </w:pPr>
            <w:r w:rsidRPr="005E42FB">
              <w:rPr>
                <w:rFonts w:ascii="Arial" w:hAnsi="Arial" w:cs="Arial"/>
                <w:b/>
                <w:bCs/>
                <w:sz w:val="20"/>
                <w:szCs w:val="20"/>
              </w:rPr>
              <w:t>TECHNINĖ SPECIFIKACIJA</w:t>
            </w:r>
          </w:p>
        </w:tc>
        <w:tc>
          <w:tcPr>
            <w:tcW w:w="241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6D0CD04" w14:textId="77777777" w:rsidR="00040423" w:rsidRPr="005E42FB" w:rsidRDefault="00040423" w:rsidP="00777CEE">
            <w:pPr>
              <w:pStyle w:val="Subtitle"/>
              <w:jc w:val="center"/>
              <w:rPr>
                <w:rFonts w:ascii="Arial" w:hAnsi="Arial" w:cs="Arial"/>
                <w:b/>
                <w:bCs/>
                <w:sz w:val="20"/>
                <w:szCs w:val="20"/>
                <w:lang w:val="en-GB"/>
              </w:rPr>
            </w:pPr>
          </w:p>
          <w:p w14:paraId="3355D06C" w14:textId="77777777" w:rsidR="00040423" w:rsidRPr="005E42FB" w:rsidRDefault="00040423" w:rsidP="00777CEE">
            <w:pPr>
              <w:pStyle w:val="Subtitle"/>
              <w:jc w:val="center"/>
              <w:rPr>
                <w:rFonts w:ascii="Arial" w:hAnsi="Arial" w:cs="Arial"/>
                <w:b/>
                <w:bCs/>
                <w:sz w:val="20"/>
                <w:szCs w:val="20"/>
                <w:lang w:val="en-GB"/>
              </w:rPr>
            </w:pPr>
            <w:r w:rsidRPr="00040423">
              <w:rPr>
                <w:rFonts w:ascii="Arial" w:hAnsi="Arial" w:cs="Arial"/>
                <w:b/>
                <w:bCs/>
                <w:color w:val="auto"/>
                <w:sz w:val="20"/>
                <w:szCs w:val="20"/>
                <w:lang w:val="en-GB"/>
              </w:rPr>
              <w:t>TECHNICAL SPECIFICATION</w:t>
            </w:r>
          </w:p>
        </w:tc>
      </w:tr>
      <w:tr w:rsidR="00040423" w:rsidRPr="005E42FB" w14:paraId="5D15FB22" w14:textId="77777777" w:rsidTr="00040423">
        <w:tc>
          <w:tcPr>
            <w:tcW w:w="332" w:type="pct"/>
            <w:vAlign w:val="center"/>
          </w:tcPr>
          <w:p w14:paraId="18619370" w14:textId="77777777" w:rsidR="00040423" w:rsidRPr="005E42FB" w:rsidRDefault="00040423" w:rsidP="00777CEE">
            <w:pPr>
              <w:jc w:val="center"/>
              <w:rPr>
                <w:rFonts w:ascii="Arial" w:hAnsi="Arial" w:cs="Arial"/>
                <w:b/>
                <w:bCs/>
                <w:sz w:val="20"/>
                <w:szCs w:val="20"/>
              </w:rPr>
            </w:pPr>
            <w:r w:rsidRPr="005E42FB">
              <w:rPr>
                <w:rFonts w:ascii="Arial" w:hAnsi="Arial" w:cs="Arial"/>
                <w:b/>
                <w:bCs/>
                <w:sz w:val="20"/>
                <w:szCs w:val="20"/>
              </w:rPr>
              <w:t>1.</w:t>
            </w:r>
          </w:p>
        </w:tc>
        <w:tc>
          <w:tcPr>
            <w:tcW w:w="2254" w:type="pct"/>
          </w:tcPr>
          <w:p w14:paraId="7261E5B5" w14:textId="77777777" w:rsidR="00040423" w:rsidRPr="005E42FB" w:rsidRDefault="00040423" w:rsidP="00040423">
            <w:pPr>
              <w:rPr>
                <w:rFonts w:ascii="Arial" w:hAnsi="Arial" w:cs="Arial"/>
                <w:sz w:val="20"/>
                <w:szCs w:val="20"/>
              </w:rPr>
            </w:pPr>
            <w:r w:rsidRPr="005E42FB">
              <w:rPr>
                <w:rFonts w:ascii="Arial" w:hAnsi="Arial" w:cs="Arial"/>
                <w:b/>
                <w:bCs/>
                <w:sz w:val="20"/>
                <w:szCs w:val="20"/>
              </w:rPr>
              <w:t>Informacija apie perkamas prekes:</w:t>
            </w:r>
          </w:p>
        </w:tc>
        <w:tc>
          <w:tcPr>
            <w:tcW w:w="2414" w:type="pct"/>
            <w:vAlign w:val="center"/>
          </w:tcPr>
          <w:p w14:paraId="30B64F89" w14:textId="77777777" w:rsidR="00040423" w:rsidRPr="005E42FB" w:rsidRDefault="00040423" w:rsidP="00777CEE">
            <w:pPr>
              <w:jc w:val="center"/>
              <w:rPr>
                <w:rFonts w:ascii="Arial" w:hAnsi="Arial" w:cs="Arial"/>
                <w:sz w:val="20"/>
                <w:szCs w:val="20"/>
                <w:lang w:val="en-US"/>
              </w:rPr>
            </w:pPr>
            <w:r w:rsidRPr="005E42FB">
              <w:rPr>
                <w:rFonts w:ascii="Arial" w:hAnsi="Arial" w:cs="Arial"/>
                <w:b/>
                <w:sz w:val="20"/>
                <w:szCs w:val="20"/>
                <w:lang w:val="en-US"/>
              </w:rPr>
              <w:t xml:space="preserve">   Information about purchasable goods:</w:t>
            </w:r>
          </w:p>
        </w:tc>
      </w:tr>
      <w:tr w:rsidR="00040423" w:rsidRPr="005E42FB" w14:paraId="3587DC9A" w14:textId="77777777" w:rsidTr="00040423">
        <w:trPr>
          <w:trHeight w:val="558"/>
        </w:trPr>
        <w:tc>
          <w:tcPr>
            <w:tcW w:w="332" w:type="pct"/>
            <w:vAlign w:val="center"/>
          </w:tcPr>
          <w:p w14:paraId="2F502251" w14:textId="77777777" w:rsidR="00040423" w:rsidRPr="005E42FB" w:rsidRDefault="00040423" w:rsidP="00040423">
            <w:pPr>
              <w:rPr>
                <w:rFonts w:ascii="Arial" w:hAnsi="Arial" w:cs="Arial"/>
                <w:sz w:val="20"/>
                <w:szCs w:val="20"/>
              </w:rPr>
            </w:pPr>
            <w:r w:rsidRPr="005E42FB">
              <w:rPr>
                <w:rFonts w:ascii="Arial" w:hAnsi="Arial" w:cs="Arial"/>
                <w:sz w:val="20"/>
                <w:szCs w:val="20"/>
              </w:rPr>
              <w:t>1.1.</w:t>
            </w:r>
          </w:p>
        </w:tc>
        <w:tc>
          <w:tcPr>
            <w:tcW w:w="2254" w:type="pct"/>
            <w:vAlign w:val="center"/>
          </w:tcPr>
          <w:p w14:paraId="30414489" w14:textId="7F014260" w:rsidR="00040423" w:rsidRPr="005E42FB" w:rsidRDefault="00040423" w:rsidP="00040423">
            <w:pPr>
              <w:jc w:val="both"/>
              <w:rPr>
                <w:rFonts w:ascii="Arial" w:hAnsi="Arial" w:cs="Arial"/>
                <w:sz w:val="20"/>
                <w:szCs w:val="20"/>
              </w:rPr>
            </w:pPr>
            <w:r w:rsidRPr="006C7D8D">
              <w:rPr>
                <w:rFonts w:ascii="Arial" w:hAnsi="Arial" w:cs="Arial"/>
                <w:sz w:val="20"/>
                <w:szCs w:val="20"/>
              </w:rPr>
              <w:t xml:space="preserve">Elektros energijos apskaitos prietaisų momentinių duomenų nuskaitymo ir perdavimo valdiklis su </w:t>
            </w:r>
            <w:r w:rsidRPr="006C7D8D">
              <w:rPr>
                <w:rFonts w:ascii="Arial" w:hAnsi="Arial" w:cs="Arial"/>
                <w:color w:val="000000"/>
                <w:sz w:val="20"/>
                <w:szCs w:val="20"/>
              </w:rPr>
              <w:t>≥</w:t>
            </w:r>
            <w:r w:rsidRPr="006C7D8D">
              <w:rPr>
                <w:rFonts w:ascii="Arial" w:hAnsi="Arial" w:cs="Arial"/>
                <w:sz w:val="20"/>
                <w:szCs w:val="20"/>
              </w:rPr>
              <w:t>6 aktyviomis CL sąsajomis (toliau – Prekė)</w:t>
            </w:r>
          </w:p>
        </w:tc>
        <w:tc>
          <w:tcPr>
            <w:tcW w:w="2414" w:type="pct"/>
            <w:vAlign w:val="center"/>
          </w:tcPr>
          <w:p w14:paraId="52EEFDB5" w14:textId="1DCFF6BF" w:rsidR="00040423" w:rsidRPr="00E1792B" w:rsidRDefault="00040423" w:rsidP="00040423">
            <w:pPr>
              <w:jc w:val="both"/>
              <w:rPr>
                <w:rFonts w:ascii="Arial" w:hAnsi="Arial" w:cs="Arial"/>
                <w:sz w:val="20"/>
                <w:szCs w:val="20"/>
                <w:lang w:val="en-US"/>
              </w:rPr>
            </w:pPr>
            <w:r w:rsidRPr="00E1792B">
              <w:rPr>
                <w:rFonts w:ascii="Arial" w:hAnsi="Arial" w:cs="Arial"/>
                <w:sz w:val="20"/>
                <w:szCs w:val="20"/>
                <w:lang w:val="en-US"/>
              </w:rPr>
              <w:t xml:space="preserve">Instant data reading and transmission controller for electricity metering devices with </w:t>
            </w:r>
            <w:r w:rsidRPr="00E1792B">
              <w:rPr>
                <w:rFonts w:ascii="Arial" w:hAnsi="Arial" w:cs="Arial"/>
                <w:color w:val="000000"/>
                <w:sz w:val="20"/>
                <w:szCs w:val="20"/>
                <w:lang w:val="en-US"/>
              </w:rPr>
              <w:t>≥</w:t>
            </w:r>
            <w:r w:rsidRPr="00E1792B">
              <w:rPr>
                <w:rFonts w:ascii="Arial" w:hAnsi="Arial" w:cs="Arial"/>
                <w:sz w:val="20"/>
                <w:szCs w:val="20"/>
                <w:lang w:val="en-US"/>
              </w:rPr>
              <w:t>6 active CL interfaces (hereinafter – Goods).</w:t>
            </w:r>
          </w:p>
        </w:tc>
      </w:tr>
      <w:tr w:rsidR="00040423" w:rsidRPr="005E42FB" w14:paraId="4D2C2745" w14:textId="77777777" w:rsidTr="00040423">
        <w:tc>
          <w:tcPr>
            <w:tcW w:w="332" w:type="pct"/>
            <w:vAlign w:val="center"/>
          </w:tcPr>
          <w:p w14:paraId="3826BD3D" w14:textId="77777777" w:rsidR="00040423" w:rsidRPr="005E42FB" w:rsidRDefault="00040423" w:rsidP="00040423">
            <w:pPr>
              <w:rPr>
                <w:rFonts w:ascii="Arial" w:hAnsi="Arial" w:cs="Arial"/>
                <w:sz w:val="20"/>
                <w:szCs w:val="20"/>
              </w:rPr>
            </w:pPr>
            <w:r w:rsidRPr="005E42FB">
              <w:rPr>
                <w:rFonts w:ascii="Arial" w:hAnsi="Arial" w:cs="Arial"/>
                <w:sz w:val="20"/>
                <w:szCs w:val="20"/>
              </w:rPr>
              <w:t>1.2.</w:t>
            </w:r>
          </w:p>
        </w:tc>
        <w:tc>
          <w:tcPr>
            <w:tcW w:w="2254" w:type="pct"/>
            <w:vAlign w:val="center"/>
          </w:tcPr>
          <w:p w14:paraId="413696F7" w14:textId="3A9D710C" w:rsidR="00040423" w:rsidRPr="005E42FB" w:rsidRDefault="00040423" w:rsidP="00040423">
            <w:pPr>
              <w:jc w:val="both"/>
              <w:rPr>
                <w:rFonts w:ascii="Arial" w:hAnsi="Arial" w:cs="Arial"/>
                <w:b/>
                <w:bCs/>
                <w:sz w:val="20"/>
                <w:szCs w:val="20"/>
              </w:rPr>
            </w:pPr>
            <w:r w:rsidRPr="006C7D8D">
              <w:rPr>
                <w:rFonts w:ascii="Arial" w:hAnsi="Arial" w:cs="Arial"/>
                <w:b/>
                <w:sz w:val="20"/>
                <w:szCs w:val="20"/>
              </w:rPr>
              <w:t xml:space="preserve"> </w:t>
            </w:r>
            <w:r w:rsidRPr="006C7D8D">
              <w:rPr>
                <w:rFonts w:ascii="Arial" w:hAnsi="Arial" w:cs="Arial"/>
                <w:noProof/>
                <w:sz w:val="20"/>
                <w:szCs w:val="20"/>
              </w:rPr>
              <w:t>Perkamas</w:t>
            </w:r>
            <w:r w:rsidRPr="006C7D8D">
              <w:rPr>
                <w:rFonts w:ascii="Arial" w:hAnsi="Arial" w:cs="Arial"/>
                <w:sz w:val="20"/>
                <w:szCs w:val="20"/>
              </w:rPr>
              <w:t xml:space="preserve"> kiekis</w:t>
            </w:r>
            <w:r>
              <w:rPr>
                <w:rFonts w:ascii="Arial" w:hAnsi="Arial" w:cs="Arial"/>
                <w:sz w:val="20"/>
                <w:szCs w:val="20"/>
              </w:rPr>
              <w:t>: 165 vnt.</w:t>
            </w:r>
          </w:p>
        </w:tc>
        <w:tc>
          <w:tcPr>
            <w:tcW w:w="2414" w:type="pct"/>
            <w:vAlign w:val="center"/>
          </w:tcPr>
          <w:p w14:paraId="664A5858" w14:textId="2DDBD447" w:rsidR="00040423" w:rsidRPr="00E1792B" w:rsidRDefault="00040423" w:rsidP="00040423">
            <w:pPr>
              <w:pStyle w:val="ListParagraph"/>
              <w:tabs>
                <w:tab w:val="left" w:pos="426"/>
              </w:tabs>
              <w:ind w:left="0"/>
              <w:jc w:val="both"/>
              <w:rPr>
                <w:rFonts w:ascii="Arial" w:hAnsi="Arial" w:cs="Arial"/>
                <w:b/>
                <w:bCs/>
                <w:sz w:val="20"/>
                <w:szCs w:val="20"/>
                <w:lang w:val="en-US"/>
              </w:rPr>
            </w:pPr>
            <w:r w:rsidRPr="00E1792B">
              <w:rPr>
                <w:rFonts w:ascii="Arial" w:hAnsi="Arial" w:cs="Arial"/>
                <w:sz w:val="20"/>
                <w:szCs w:val="20"/>
                <w:lang w:val="en-US"/>
              </w:rPr>
              <w:t>Purchasable quantity: 165 pcs.</w:t>
            </w:r>
          </w:p>
        </w:tc>
      </w:tr>
      <w:tr w:rsidR="00040423" w:rsidRPr="005E42FB" w14:paraId="5180B631" w14:textId="77777777" w:rsidTr="00040423">
        <w:tc>
          <w:tcPr>
            <w:tcW w:w="332" w:type="pct"/>
            <w:vAlign w:val="center"/>
          </w:tcPr>
          <w:p w14:paraId="31EB7336" w14:textId="77777777" w:rsidR="00040423" w:rsidRPr="005E42FB" w:rsidRDefault="00040423" w:rsidP="00040423">
            <w:pPr>
              <w:rPr>
                <w:rFonts w:ascii="Arial" w:hAnsi="Arial" w:cs="Arial"/>
                <w:sz w:val="20"/>
                <w:szCs w:val="20"/>
              </w:rPr>
            </w:pPr>
            <w:r w:rsidRPr="005E42FB">
              <w:rPr>
                <w:rFonts w:ascii="Arial" w:hAnsi="Arial" w:cs="Arial"/>
                <w:sz w:val="20"/>
                <w:szCs w:val="20"/>
              </w:rPr>
              <w:t>1.2.1.</w:t>
            </w:r>
          </w:p>
        </w:tc>
        <w:tc>
          <w:tcPr>
            <w:tcW w:w="2254" w:type="pct"/>
            <w:vAlign w:val="center"/>
          </w:tcPr>
          <w:p w14:paraId="30AF9CBC" w14:textId="103ADA9C" w:rsidR="00040423" w:rsidRPr="005E42FB" w:rsidRDefault="00040423" w:rsidP="00040423">
            <w:pPr>
              <w:spacing w:line="240" w:lineRule="auto"/>
              <w:jc w:val="both"/>
              <w:rPr>
                <w:rFonts w:ascii="Arial" w:hAnsi="Arial" w:cs="Arial"/>
                <w:sz w:val="20"/>
                <w:szCs w:val="20"/>
              </w:rPr>
            </w:pPr>
            <w:r w:rsidRPr="006C7D8D">
              <w:rPr>
                <w:rFonts w:ascii="Arial" w:hAnsi="Arial" w:cs="Arial"/>
                <w:sz w:val="20"/>
                <w:szCs w:val="20"/>
              </w:rPr>
              <w:t xml:space="preserve">50 vnt. be elektrotechninės dėžės, kuriems netaikomi šios Techninės specifikacijos </w:t>
            </w:r>
            <w:r w:rsidR="008137F0">
              <w:rPr>
                <w:rFonts w:ascii="Arial" w:hAnsi="Arial" w:cs="Arial"/>
                <w:sz w:val="20"/>
                <w:szCs w:val="20"/>
              </w:rPr>
              <w:t>1</w:t>
            </w:r>
            <w:r w:rsidRPr="006C7D8D">
              <w:rPr>
                <w:rFonts w:ascii="Arial" w:hAnsi="Arial" w:cs="Arial"/>
                <w:sz w:val="20"/>
                <w:szCs w:val="20"/>
              </w:rPr>
              <w:t xml:space="preserve"> </w:t>
            </w:r>
            <w:r w:rsidR="008137F0">
              <w:rPr>
                <w:rFonts w:ascii="Arial" w:hAnsi="Arial" w:cs="Arial"/>
                <w:sz w:val="20"/>
                <w:szCs w:val="20"/>
              </w:rPr>
              <w:t>priedo</w:t>
            </w:r>
            <w:r w:rsidRPr="006C7D8D">
              <w:rPr>
                <w:rFonts w:ascii="Arial" w:hAnsi="Arial" w:cs="Arial"/>
                <w:sz w:val="20"/>
                <w:szCs w:val="20"/>
              </w:rPr>
              <w:t xml:space="preserve"> 3.3 ir 4 punktai</w:t>
            </w:r>
            <w:r>
              <w:rPr>
                <w:rFonts w:ascii="Arial" w:hAnsi="Arial" w:cs="Arial"/>
                <w:sz w:val="20"/>
                <w:szCs w:val="20"/>
              </w:rPr>
              <w:t>.</w:t>
            </w:r>
          </w:p>
        </w:tc>
        <w:tc>
          <w:tcPr>
            <w:tcW w:w="2414" w:type="pct"/>
            <w:vAlign w:val="center"/>
          </w:tcPr>
          <w:p w14:paraId="5C1CA206" w14:textId="4E0D2EF1" w:rsidR="00040423" w:rsidRPr="00E1792B" w:rsidRDefault="008137F0" w:rsidP="00040423">
            <w:pPr>
              <w:spacing w:line="240" w:lineRule="auto"/>
              <w:jc w:val="both"/>
              <w:rPr>
                <w:rFonts w:ascii="Arial" w:hAnsi="Arial" w:cs="Arial"/>
                <w:sz w:val="20"/>
                <w:szCs w:val="20"/>
                <w:lang w:val="en-US"/>
              </w:rPr>
            </w:pPr>
            <w:r w:rsidRPr="00E1792B">
              <w:rPr>
                <w:rFonts w:ascii="Arial" w:hAnsi="Arial" w:cs="Arial"/>
                <w:sz w:val="20"/>
                <w:szCs w:val="20"/>
                <w:lang w:val="en-US"/>
              </w:rPr>
              <w:t>50 units without an electrotechnical box, to which clauses 3.3 and 4 of Annex 1 of this Technical Specification do not apply.</w:t>
            </w:r>
          </w:p>
        </w:tc>
      </w:tr>
      <w:tr w:rsidR="00040423" w:rsidRPr="005E42FB" w14:paraId="5FA66285" w14:textId="77777777" w:rsidTr="00040423">
        <w:tc>
          <w:tcPr>
            <w:tcW w:w="332" w:type="pct"/>
            <w:vAlign w:val="center"/>
          </w:tcPr>
          <w:p w14:paraId="51DA52DC" w14:textId="7341EBE5" w:rsidR="00040423" w:rsidRPr="005E42FB" w:rsidRDefault="00040423" w:rsidP="00040423">
            <w:pPr>
              <w:rPr>
                <w:rFonts w:ascii="Arial" w:hAnsi="Arial" w:cs="Arial"/>
                <w:sz w:val="20"/>
                <w:szCs w:val="20"/>
              </w:rPr>
            </w:pPr>
            <w:r w:rsidRPr="005E42FB">
              <w:rPr>
                <w:rFonts w:ascii="Arial" w:hAnsi="Arial" w:cs="Arial"/>
                <w:sz w:val="20"/>
                <w:szCs w:val="20"/>
              </w:rPr>
              <w:t>1.</w:t>
            </w:r>
            <w:r>
              <w:rPr>
                <w:rFonts w:ascii="Arial" w:hAnsi="Arial" w:cs="Arial"/>
                <w:sz w:val="20"/>
                <w:szCs w:val="20"/>
              </w:rPr>
              <w:t>3.</w:t>
            </w:r>
          </w:p>
        </w:tc>
        <w:tc>
          <w:tcPr>
            <w:tcW w:w="2254" w:type="pct"/>
            <w:vAlign w:val="center"/>
          </w:tcPr>
          <w:p w14:paraId="3FA9B2B0" w14:textId="51D93C08" w:rsidR="00040423" w:rsidRPr="005E42FB" w:rsidRDefault="00040423" w:rsidP="00040423">
            <w:pPr>
              <w:jc w:val="both"/>
              <w:rPr>
                <w:rFonts w:ascii="Arial" w:hAnsi="Arial" w:cs="Arial"/>
                <w:sz w:val="20"/>
                <w:szCs w:val="20"/>
              </w:rPr>
            </w:pPr>
            <w:r w:rsidRPr="006C7D8D">
              <w:rPr>
                <w:rFonts w:ascii="Arial" w:hAnsi="Arial" w:cs="Arial"/>
                <w:sz w:val="20"/>
                <w:szCs w:val="20"/>
              </w:rPr>
              <w:t>Pristatymo adresas:</w:t>
            </w:r>
            <w:r>
              <w:rPr>
                <w:rFonts w:ascii="Arial" w:hAnsi="Arial" w:cs="Arial"/>
                <w:sz w:val="20"/>
                <w:szCs w:val="20"/>
              </w:rPr>
              <w:t xml:space="preserve"> </w:t>
            </w:r>
            <w:r w:rsidRPr="006C7D8D">
              <w:rPr>
                <w:rFonts w:ascii="Arial" w:hAnsi="Arial" w:cs="Arial"/>
                <w:sz w:val="20"/>
                <w:szCs w:val="20"/>
              </w:rPr>
              <w:t xml:space="preserve">Kauno r., </w:t>
            </w:r>
            <w:proofErr w:type="spellStart"/>
            <w:r w:rsidRPr="006C7D8D">
              <w:rPr>
                <w:rFonts w:ascii="Arial" w:hAnsi="Arial" w:cs="Arial"/>
                <w:sz w:val="20"/>
                <w:szCs w:val="20"/>
              </w:rPr>
              <w:t>Biruliškių</w:t>
            </w:r>
            <w:proofErr w:type="spellEnd"/>
            <w:r w:rsidRPr="006C7D8D">
              <w:rPr>
                <w:rFonts w:ascii="Arial" w:hAnsi="Arial" w:cs="Arial"/>
                <w:sz w:val="20"/>
                <w:szCs w:val="20"/>
              </w:rPr>
              <w:t xml:space="preserve"> k., Pastotės g. 9.</w:t>
            </w:r>
          </w:p>
        </w:tc>
        <w:tc>
          <w:tcPr>
            <w:tcW w:w="2414" w:type="pct"/>
            <w:vAlign w:val="center"/>
          </w:tcPr>
          <w:p w14:paraId="6C38F1F0" w14:textId="5BE6908A" w:rsidR="00040423" w:rsidRPr="00E1792B" w:rsidRDefault="00040423" w:rsidP="00040423">
            <w:pPr>
              <w:jc w:val="both"/>
              <w:rPr>
                <w:rFonts w:ascii="Arial" w:hAnsi="Arial" w:cs="Arial"/>
                <w:sz w:val="20"/>
                <w:szCs w:val="20"/>
                <w:lang w:val="en-US"/>
              </w:rPr>
            </w:pPr>
            <w:r w:rsidRPr="00E1792B">
              <w:rPr>
                <w:rFonts w:ascii="Arial" w:hAnsi="Arial" w:cs="Arial"/>
                <w:sz w:val="20"/>
                <w:szCs w:val="20"/>
                <w:lang w:val="en-US"/>
              </w:rPr>
              <w:t xml:space="preserve">Delivery address: Kauno r., </w:t>
            </w:r>
            <w:proofErr w:type="spellStart"/>
            <w:r w:rsidRPr="00E1792B">
              <w:rPr>
                <w:rFonts w:ascii="Arial" w:hAnsi="Arial" w:cs="Arial"/>
                <w:sz w:val="20"/>
                <w:szCs w:val="20"/>
                <w:lang w:val="en-US"/>
              </w:rPr>
              <w:t>Biruliškių</w:t>
            </w:r>
            <w:proofErr w:type="spellEnd"/>
            <w:r w:rsidRPr="00E1792B">
              <w:rPr>
                <w:rFonts w:ascii="Arial" w:hAnsi="Arial" w:cs="Arial"/>
                <w:sz w:val="20"/>
                <w:szCs w:val="20"/>
                <w:lang w:val="en-US"/>
              </w:rPr>
              <w:t xml:space="preserve"> k., </w:t>
            </w:r>
            <w:proofErr w:type="spellStart"/>
            <w:r w:rsidRPr="00E1792B">
              <w:rPr>
                <w:rFonts w:ascii="Arial" w:hAnsi="Arial" w:cs="Arial"/>
                <w:sz w:val="20"/>
                <w:szCs w:val="20"/>
                <w:lang w:val="en-US"/>
              </w:rPr>
              <w:t>Pastotės</w:t>
            </w:r>
            <w:proofErr w:type="spellEnd"/>
            <w:r w:rsidRPr="00E1792B">
              <w:rPr>
                <w:rFonts w:ascii="Arial" w:hAnsi="Arial" w:cs="Arial"/>
                <w:sz w:val="20"/>
                <w:szCs w:val="20"/>
                <w:lang w:val="en-US"/>
              </w:rPr>
              <w:t xml:space="preserve"> g. 9.</w:t>
            </w:r>
          </w:p>
        </w:tc>
      </w:tr>
      <w:tr w:rsidR="00040423" w:rsidRPr="005E42FB" w14:paraId="245AADC2" w14:textId="77777777" w:rsidTr="00040423">
        <w:trPr>
          <w:trHeight w:val="656"/>
        </w:trPr>
        <w:tc>
          <w:tcPr>
            <w:tcW w:w="332" w:type="pct"/>
            <w:vAlign w:val="center"/>
          </w:tcPr>
          <w:p w14:paraId="0D1E7C89" w14:textId="5BFCB3C1" w:rsidR="00040423" w:rsidRPr="005E42FB" w:rsidRDefault="00040423" w:rsidP="00777CEE">
            <w:pPr>
              <w:jc w:val="both"/>
              <w:rPr>
                <w:rFonts w:ascii="Arial" w:hAnsi="Arial" w:cs="Arial"/>
                <w:sz w:val="20"/>
                <w:szCs w:val="20"/>
              </w:rPr>
            </w:pPr>
            <w:r w:rsidRPr="005E42FB">
              <w:rPr>
                <w:rFonts w:ascii="Arial" w:hAnsi="Arial" w:cs="Arial"/>
                <w:sz w:val="20"/>
                <w:szCs w:val="20"/>
              </w:rPr>
              <w:t>1.</w:t>
            </w:r>
            <w:r>
              <w:rPr>
                <w:rFonts w:ascii="Arial" w:hAnsi="Arial" w:cs="Arial"/>
                <w:sz w:val="20"/>
                <w:szCs w:val="20"/>
              </w:rPr>
              <w:t>4.</w:t>
            </w:r>
          </w:p>
        </w:tc>
        <w:tc>
          <w:tcPr>
            <w:tcW w:w="2254" w:type="pct"/>
            <w:vAlign w:val="center"/>
          </w:tcPr>
          <w:p w14:paraId="659C3CAE" w14:textId="74C9AD7D" w:rsidR="00040423" w:rsidRPr="005E42FB" w:rsidRDefault="00040423" w:rsidP="00040423">
            <w:pPr>
              <w:spacing w:line="240" w:lineRule="auto"/>
              <w:jc w:val="both"/>
              <w:rPr>
                <w:rFonts w:ascii="Arial" w:hAnsi="Arial" w:cs="Arial"/>
                <w:sz w:val="20"/>
                <w:szCs w:val="20"/>
              </w:rPr>
            </w:pPr>
            <w:r w:rsidRPr="006C7D8D">
              <w:rPr>
                <w:rFonts w:ascii="Arial" w:hAnsi="Arial" w:cs="Arial"/>
                <w:sz w:val="20"/>
                <w:szCs w:val="20"/>
              </w:rPr>
              <w:t>Prekei turi būti suteikiama ne mažiau kaip 24 mėnesių garantija, skaičiuojama nuo jų pristatymo Perkančiajam subjektui dienos.</w:t>
            </w:r>
          </w:p>
        </w:tc>
        <w:tc>
          <w:tcPr>
            <w:tcW w:w="2414" w:type="pct"/>
            <w:vAlign w:val="center"/>
          </w:tcPr>
          <w:p w14:paraId="35D0BFCB" w14:textId="2539796A" w:rsidR="00040423" w:rsidRPr="00E1792B" w:rsidRDefault="00040423" w:rsidP="00040423">
            <w:pPr>
              <w:spacing w:line="240" w:lineRule="auto"/>
              <w:jc w:val="both"/>
              <w:rPr>
                <w:rFonts w:ascii="Arial" w:hAnsi="Arial" w:cs="Arial"/>
                <w:sz w:val="20"/>
                <w:szCs w:val="20"/>
                <w:lang w:val="en-US"/>
              </w:rPr>
            </w:pPr>
            <w:r w:rsidRPr="00E1792B">
              <w:rPr>
                <w:rFonts w:ascii="Arial" w:hAnsi="Arial" w:cs="Arial"/>
                <w:sz w:val="20"/>
                <w:szCs w:val="20"/>
                <w:lang w:val="en-US"/>
              </w:rPr>
              <w:t>Goods must be covered by not less than 24 months warranty starting from the date of their delivery to the Contracting Entity.</w:t>
            </w:r>
          </w:p>
        </w:tc>
      </w:tr>
      <w:tr w:rsidR="00040423" w:rsidRPr="005E42FB" w14:paraId="7F46579E" w14:textId="77777777" w:rsidTr="00040423">
        <w:tc>
          <w:tcPr>
            <w:tcW w:w="332" w:type="pct"/>
            <w:vAlign w:val="center"/>
          </w:tcPr>
          <w:p w14:paraId="45C8AB3E" w14:textId="7ED589C8" w:rsidR="00040423" w:rsidRPr="005E42FB" w:rsidRDefault="00040423" w:rsidP="00777CEE">
            <w:pPr>
              <w:jc w:val="both"/>
              <w:rPr>
                <w:rFonts w:ascii="Arial" w:hAnsi="Arial" w:cs="Arial"/>
                <w:sz w:val="20"/>
                <w:szCs w:val="20"/>
              </w:rPr>
            </w:pPr>
            <w:r w:rsidRPr="005E42FB">
              <w:rPr>
                <w:rFonts w:ascii="Arial" w:hAnsi="Arial" w:cs="Arial"/>
                <w:sz w:val="20"/>
                <w:szCs w:val="20"/>
              </w:rPr>
              <w:t>1.</w:t>
            </w:r>
            <w:r>
              <w:rPr>
                <w:rFonts w:ascii="Arial" w:hAnsi="Arial" w:cs="Arial"/>
                <w:sz w:val="20"/>
                <w:szCs w:val="20"/>
              </w:rPr>
              <w:t>5.</w:t>
            </w:r>
          </w:p>
        </w:tc>
        <w:tc>
          <w:tcPr>
            <w:tcW w:w="2254" w:type="pct"/>
          </w:tcPr>
          <w:p w14:paraId="3E5E331A" w14:textId="5D063824" w:rsidR="00040423" w:rsidRPr="005E42FB" w:rsidRDefault="00040423" w:rsidP="00040423">
            <w:pPr>
              <w:spacing w:line="240" w:lineRule="auto"/>
              <w:jc w:val="both"/>
              <w:rPr>
                <w:rFonts w:ascii="Arial" w:hAnsi="Arial" w:cs="Arial"/>
                <w:sz w:val="20"/>
                <w:szCs w:val="20"/>
              </w:rPr>
            </w:pPr>
            <w:r w:rsidRPr="006C7D8D">
              <w:rPr>
                <w:rFonts w:ascii="Arial" w:hAnsi="Arial" w:cs="Arial"/>
                <w:sz w:val="20"/>
                <w:szCs w:val="20"/>
              </w:rPr>
              <w:t>Prekė turi būti nauja, anksčiau niekur nenaudota, tinkama naudoti pagal paskirtį, kiekvienas prekės vienetas turi turėti visus jo sumontavimo, pajungimo reikmenis.</w:t>
            </w:r>
          </w:p>
        </w:tc>
        <w:tc>
          <w:tcPr>
            <w:tcW w:w="2414" w:type="pct"/>
          </w:tcPr>
          <w:p w14:paraId="3EDB5485" w14:textId="641518B0" w:rsidR="00040423" w:rsidRPr="00E1792B" w:rsidRDefault="00040423" w:rsidP="00040423">
            <w:pPr>
              <w:spacing w:line="240" w:lineRule="auto"/>
              <w:jc w:val="both"/>
              <w:rPr>
                <w:rFonts w:ascii="Arial" w:hAnsi="Arial" w:cs="Arial"/>
                <w:sz w:val="20"/>
                <w:szCs w:val="20"/>
                <w:lang w:val="en-US"/>
              </w:rPr>
            </w:pPr>
            <w:r w:rsidRPr="00E1792B">
              <w:rPr>
                <w:rFonts w:ascii="Arial" w:hAnsi="Arial" w:cs="Arial"/>
                <w:sz w:val="20"/>
                <w:szCs w:val="20"/>
                <w:lang w:val="en-US"/>
              </w:rPr>
              <w:t>Goods must be new, not previously used, suitable for their intended use, each unit must have all the accessories necessary for installation and connection.</w:t>
            </w:r>
          </w:p>
        </w:tc>
      </w:tr>
      <w:tr w:rsidR="00040423" w:rsidRPr="005E42FB" w14:paraId="0EC3B4B4" w14:textId="77777777" w:rsidTr="00040423">
        <w:trPr>
          <w:trHeight w:val="827"/>
        </w:trPr>
        <w:tc>
          <w:tcPr>
            <w:tcW w:w="332" w:type="pct"/>
            <w:vAlign w:val="center"/>
          </w:tcPr>
          <w:p w14:paraId="489C386B" w14:textId="4C0380FC" w:rsidR="00040423" w:rsidRPr="005E42FB" w:rsidRDefault="00040423" w:rsidP="00040423">
            <w:pPr>
              <w:spacing w:line="240" w:lineRule="auto"/>
              <w:jc w:val="both"/>
              <w:rPr>
                <w:rFonts w:ascii="Arial" w:hAnsi="Arial" w:cs="Arial"/>
                <w:sz w:val="20"/>
                <w:szCs w:val="20"/>
              </w:rPr>
            </w:pPr>
            <w:r w:rsidRPr="005E42FB">
              <w:rPr>
                <w:rFonts w:ascii="Arial" w:hAnsi="Arial" w:cs="Arial"/>
                <w:sz w:val="20"/>
                <w:szCs w:val="20"/>
              </w:rPr>
              <w:t>1.</w:t>
            </w:r>
            <w:r>
              <w:rPr>
                <w:rFonts w:ascii="Arial" w:hAnsi="Arial" w:cs="Arial"/>
                <w:sz w:val="20"/>
                <w:szCs w:val="20"/>
              </w:rPr>
              <w:t>6</w:t>
            </w:r>
            <w:r w:rsidRPr="005E42FB">
              <w:rPr>
                <w:rFonts w:ascii="Arial" w:hAnsi="Arial" w:cs="Arial"/>
                <w:sz w:val="20"/>
                <w:szCs w:val="20"/>
              </w:rPr>
              <w:t>.</w:t>
            </w:r>
          </w:p>
        </w:tc>
        <w:tc>
          <w:tcPr>
            <w:tcW w:w="2254" w:type="pct"/>
            <w:vAlign w:val="center"/>
          </w:tcPr>
          <w:p w14:paraId="2C2D29A1" w14:textId="43235B1D" w:rsidR="00040423" w:rsidRPr="005E42FB" w:rsidRDefault="00040423" w:rsidP="00040423">
            <w:pPr>
              <w:spacing w:line="240" w:lineRule="auto"/>
              <w:jc w:val="both"/>
              <w:rPr>
                <w:rFonts w:ascii="Arial" w:hAnsi="Arial" w:cs="Arial"/>
                <w:sz w:val="20"/>
                <w:szCs w:val="20"/>
              </w:rPr>
            </w:pPr>
            <w:r w:rsidRPr="006C7D8D">
              <w:rPr>
                <w:rFonts w:ascii="Arial" w:hAnsi="Arial" w:cs="Arial"/>
                <w:sz w:val="20"/>
                <w:szCs w:val="20"/>
              </w:rPr>
              <w:t xml:space="preserve">Prekė turi būti supakuota gamyklinėje pakuotėje. Prekė pristatoma Perkančiajam subjektui 1.3 punkte nurodytu adresu, nepažeistose gamyklinėse pakuotėse (pakuotės turi būti be mechaninių pažeidimų, nepažeista drėgmės ir kitų veiksnių). </w:t>
            </w:r>
          </w:p>
        </w:tc>
        <w:tc>
          <w:tcPr>
            <w:tcW w:w="2414" w:type="pct"/>
            <w:vAlign w:val="center"/>
          </w:tcPr>
          <w:p w14:paraId="5BA2C746" w14:textId="65A8810D" w:rsidR="00040423" w:rsidRPr="00E1792B" w:rsidRDefault="00040423" w:rsidP="00040423">
            <w:pPr>
              <w:spacing w:after="200" w:line="240" w:lineRule="auto"/>
              <w:jc w:val="both"/>
              <w:rPr>
                <w:rFonts w:ascii="Arial" w:hAnsi="Arial" w:cs="Arial"/>
                <w:sz w:val="20"/>
                <w:szCs w:val="20"/>
                <w:lang w:val="en-US"/>
              </w:rPr>
            </w:pPr>
            <w:r w:rsidRPr="00E1792B">
              <w:rPr>
                <w:rFonts w:ascii="Arial" w:hAnsi="Arial" w:cs="Arial"/>
                <w:sz w:val="20"/>
                <w:szCs w:val="20"/>
                <w:lang w:val="en-US"/>
              </w:rPr>
              <w:t>Goods must be packed in the factory packaging. Goods shall be delivered to the Contracting Entity at the address specified in point 1.3 of the Technical Specification in undamaged factory packaging (packaging shall be free from mechanical damage, damage from moisture and other factors).</w:t>
            </w:r>
          </w:p>
        </w:tc>
      </w:tr>
      <w:tr w:rsidR="00040423" w:rsidRPr="005E42FB" w14:paraId="7DF47BF3" w14:textId="77777777" w:rsidTr="00040423">
        <w:trPr>
          <w:trHeight w:val="104"/>
        </w:trPr>
        <w:tc>
          <w:tcPr>
            <w:tcW w:w="332" w:type="pct"/>
            <w:vAlign w:val="center"/>
          </w:tcPr>
          <w:p w14:paraId="0A963E8C" w14:textId="77777777" w:rsidR="00040423" w:rsidRPr="005E42FB" w:rsidRDefault="00040423" w:rsidP="00777CEE">
            <w:pPr>
              <w:jc w:val="center"/>
              <w:rPr>
                <w:rFonts w:ascii="Arial" w:hAnsi="Arial" w:cs="Arial"/>
                <w:b/>
                <w:bCs/>
                <w:sz w:val="20"/>
                <w:szCs w:val="20"/>
              </w:rPr>
            </w:pPr>
            <w:r w:rsidRPr="005E42FB">
              <w:rPr>
                <w:rFonts w:ascii="Arial" w:hAnsi="Arial" w:cs="Arial"/>
                <w:b/>
                <w:bCs/>
                <w:sz w:val="20"/>
                <w:szCs w:val="20"/>
              </w:rPr>
              <w:t xml:space="preserve">2. </w:t>
            </w:r>
          </w:p>
        </w:tc>
        <w:tc>
          <w:tcPr>
            <w:tcW w:w="2254" w:type="pct"/>
            <w:vAlign w:val="center"/>
          </w:tcPr>
          <w:p w14:paraId="40EA4259" w14:textId="77777777" w:rsidR="00040423" w:rsidRPr="005E42FB" w:rsidRDefault="00040423" w:rsidP="00777CEE">
            <w:pPr>
              <w:rPr>
                <w:rFonts w:ascii="Arial" w:hAnsi="Arial" w:cs="Arial"/>
                <w:b/>
                <w:bCs/>
                <w:sz w:val="20"/>
                <w:szCs w:val="20"/>
              </w:rPr>
            </w:pPr>
            <w:r w:rsidRPr="005E42FB">
              <w:rPr>
                <w:rFonts w:ascii="Arial" w:hAnsi="Arial" w:cs="Arial"/>
                <w:b/>
                <w:bCs/>
                <w:sz w:val="20"/>
                <w:szCs w:val="20"/>
              </w:rPr>
              <w:t>Priedai:</w:t>
            </w:r>
          </w:p>
        </w:tc>
        <w:tc>
          <w:tcPr>
            <w:tcW w:w="2414" w:type="pct"/>
            <w:vAlign w:val="center"/>
          </w:tcPr>
          <w:p w14:paraId="760020BA" w14:textId="77777777" w:rsidR="00040423" w:rsidRPr="005E42FB" w:rsidRDefault="00040423" w:rsidP="00777CEE">
            <w:pPr>
              <w:pStyle w:val="ListParagraph"/>
              <w:tabs>
                <w:tab w:val="left" w:pos="426"/>
              </w:tabs>
              <w:ind w:left="0"/>
              <w:rPr>
                <w:rFonts w:ascii="Arial" w:hAnsi="Arial" w:cs="Arial"/>
                <w:b/>
                <w:bCs/>
                <w:sz w:val="20"/>
                <w:szCs w:val="20"/>
                <w:lang w:val="en-US"/>
              </w:rPr>
            </w:pPr>
            <w:r w:rsidRPr="005E42FB">
              <w:rPr>
                <w:rFonts w:ascii="Arial" w:hAnsi="Arial" w:cs="Arial"/>
                <w:b/>
                <w:bCs/>
                <w:sz w:val="20"/>
                <w:szCs w:val="20"/>
                <w:lang w:val="en-US"/>
              </w:rPr>
              <w:t>Annexes:</w:t>
            </w:r>
          </w:p>
        </w:tc>
      </w:tr>
      <w:tr w:rsidR="00040423" w:rsidRPr="005E42FB" w14:paraId="3FC74FFF" w14:textId="77777777" w:rsidTr="00040423">
        <w:tc>
          <w:tcPr>
            <w:tcW w:w="2586" w:type="pct"/>
            <w:gridSpan w:val="2"/>
            <w:vAlign w:val="center"/>
          </w:tcPr>
          <w:p w14:paraId="27440733" w14:textId="77777777" w:rsidR="00040423" w:rsidRPr="005E42FB" w:rsidRDefault="00040423" w:rsidP="00777CEE">
            <w:pPr>
              <w:jc w:val="both"/>
              <w:rPr>
                <w:rFonts w:ascii="Arial" w:hAnsi="Arial" w:cs="Arial"/>
                <w:sz w:val="20"/>
                <w:szCs w:val="20"/>
              </w:rPr>
            </w:pPr>
            <w:r w:rsidRPr="005E42FB">
              <w:rPr>
                <w:rFonts w:ascii="Arial" w:hAnsi="Arial" w:cs="Arial"/>
                <w:sz w:val="20"/>
                <w:szCs w:val="20"/>
              </w:rPr>
              <w:t>1 priedas –  Techniniai reikalavimai.</w:t>
            </w:r>
          </w:p>
        </w:tc>
        <w:tc>
          <w:tcPr>
            <w:tcW w:w="2414" w:type="pct"/>
            <w:vAlign w:val="bottom"/>
          </w:tcPr>
          <w:p w14:paraId="77D4F4FC" w14:textId="77777777" w:rsidR="00040423" w:rsidRPr="005E42FB" w:rsidRDefault="00040423" w:rsidP="00777CEE">
            <w:pPr>
              <w:jc w:val="both"/>
              <w:rPr>
                <w:rFonts w:ascii="Arial" w:hAnsi="Arial" w:cs="Arial"/>
                <w:sz w:val="20"/>
                <w:szCs w:val="20"/>
                <w:lang w:val="en-US"/>
              </w:rPr>
            </w:pPr>
            <w:r w:rsidRPr="005E42FB">
              <w:rPr>
                <w:rFonts w:ascii="Arial" w:hAnsi="Arial" w:cs="Arial"/>
                <w:sz w:val="20"/>
                <w:szCs w:val="20"/>
                <w:lang w:val="en-US"/>
              </w:rPr>
              <w:t>Annex 1 – Technical requirements.</w:t>
            </w:r>
          </w:p>
        </w:tc>
      </w:tr>
    </w:tbl>
    <w:p w14:paraId="131FA3CC" w14:textId="5124D646" w:rsidR="0006477D" w:rsidRPr="00040423" w:rsidRDefault="0006477D" w:rsidP="00040423"/>
    <w:sectPr w:rsidR="0006477D" w:rsidRPr="00040423" w:rsidSect="00040423">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CA67" w14:textId="77777777" w:rsidR="00040423" w:rsidRDefault="00040423" w:rsidP="00040423">
      <w:pPr>
        <w:spacing w:after="0" w:line="240" w:lineRule="auto"/>
      </w:pPr>
      <w:r>
        <w:separator/>
      </w:r>
    </w:p>
  </w:endnote>
  <w:endnote w:type="continuationSeparator" w:id="0">
    <w:p w14:paraId="2A9EE666" w14:textId="77777777" w:rsidR="00040423" w:rsidRDefault="00040423" w:rsidP="0004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3502" w14:textId="77777777" w:rsidR="00040423" w:rsidRDefault="00040423" w:rsidP="00040423">
      <w:pPr>
        <w:spacing w:after="0" w:line="240" w:lineRule="auto"/>
      </w:pPr>
      <w:r>
        <w:separator/>
      </w:r>
    </w:p>
  </w:footnote>
  <w:footnote w:type="continuationSeparator" w:id="0">
    <w:p w14:paraId="3F6B6831" w14:textId="77777777" w:rsidR="00040423" w:rsidRDefault="00040423" w:rsidP="00040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C1E3" w14:textId="1F95B07E" w:rsidR="00040423" w:rsidRPr="00040423" w:rsidRDefault="00040423" w:rsidP="00040423">
    <w:pPr>
      <w:pStyle w:val="Heading1"/>
      <w:jc w:val="right"/>
      <w:rPr>
        <w:rFonts w:ascii="Arial" w:hAnsi="Arial" w:cs="Arial"/>
        <w:b/>
        <w:bCs/>
        <w:color w:val="auto"/>
        <w:sz w:val="20"/>
        <w:szCs w:val="20"/>
      </w:rPr>
    </w:pPr>
    <w:r w:rsidRPr="00040423">
      <w:rPr>
        <w:rFonts w:ascii="Arial" w:hAnsi="Arial" w:cs="Arial"/>
        <w:color w:val="auto"/>
        <w:sz w:val="20"/>
        <w:szCs w:val="20"/>
      </w:rPr>
      <w:t xml:space="preserve">SPS </w:t>
    </w:r>
    <w:r w:rsidR="00352E1D">
      <w:rPr>
        <w:rFonts w:ascii="Arial" w:hAnsi="Arial" w:cs="Arial"/>
        <w:b/>
        <w:bCs/>
        <w:color w:val="auto"/>
        <w:sz w:val="20"/>
        <w:szCs w:val="20"/>
      </w:rPr>
      <w:t>3</w:t>
    </w:r>
    <w:r w:rsidRPr="00040423">
      <w:rPr>
        <w:rFonts w:ascii="Arial" w:hAnsi="Arial" w:cs="Arial"/>
        <w:color w:val="auto"/>
        <w:sz w:val="20"/>
        <w:szCs w:val="20"/>
      </w:rPr>
      <w:t xml:space="preserve"> priedas / </w:t>
    </w:r>
    <w:proofErr w:type="spellStart"/>
    <w:r w:rsidRPr="00040423">
      <w:rPr>
        <w:rFonts w:ascii="Arial" w:hAnsi="Arial" w:cs="Arial"/>
        <w:color w:val="auto"/>
        <w:sz w:val="20"/>
        <w:szCs w:val="20"/>
      </w:rPr>
      <w:t>Annex</w:t>
    </w:r>
    <w:proofErr w:type="spellEnd"/>
    <w:r w:rsidRPr="00040423">
      <w:rPr>
        <w:rFonts w:ascii="Arial" w:hAnsi="Arial" w:cs="Arial"/>
        <w:color w:val="auto"/>
        <w:sz w:val="20"/>
        <w:szCs w:val="20"/>
      </w:rPr>
      <w:t xml:space="preserve"> </w:t>
    </w:r>
    <w:r w:rsidR="00352E1D">
      <w:rPr>
        <w:rFonts w:ascii="Arial" w:hAnsi="Arial" w:cs="Arial"/>
        <w:b/>
        <w:bCs/>
        <w:color w:val="auto"/>
        <w:sz w:val="20"/>
        <w:szCs w:val="20"/>
      </w:rPr>
      <w:t>3</w:t>
    </w:r>
    <w:r w:rsidRPr="00040423">
      <w:rPr>
        <w:rFonts w:ascii="Arial" w:hAnsi="Arial" w:cs="Arial"/>
        <w:color w:val="auto"/>
        <w:sz w:val="20"/>
        <w:szCs w:val="20"/>
      </w:rPr>
      <w:t xml:space="preserve"> to </w:t>
    </w:r>
    <w:proofErr w:type="spellStart"/>
    <w:r w:rsidRPr="00040423">
      <w:rPr>
        <w:rFonts w:ascii="Arial" w:hAnsi="Arial" w:cs="Arial"/>
        <w:color w:val="auto"/>
        <w:sz w:val="20"/>
        <w:szCs w:val="20"/>
      </w:rPr>
      <w:t>the</w:t>
    </w:r>
    <w:proofErr w:type="spellEnd"/>
    <w:r w:rsidRPr="00040423">
      <w:rPr>
        <w:rFonts w:ascii="Arial" w:hAnsi="Arial" w:cs="Arial"/>
        <w:color w:val="auto"/>
        <w:sz w:val="20"/>
        <w:szCs w:val="20"/>
      </w:rPr>
      <w:t xml:space="preserve"> SPC</w:t>
    </w:r>
  </w:p>
  <w:p w14:paraId="6D2D8A44" w14:textId="77777777" w:rsidR="00040423" w:rsidRPr="00040423" w:rsidRDefault="00040423" w:rsidP="00040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835C0"/>
    <w:multiLevelType w:val="multilevel"/>
    <w:tmpl w:val="E4A8B2C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895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23"/>
    <w:rsid w:val="00040423"/>
    <w:rsid w:val="0006477D"/>
    <w:rsid w:val="001E752F"/>
    <w:rsid w:val="00352E1D"/>
    <w:rsid w:val="003E0C34"/>
    <w:rsid w:val="004259F4"/>
    <w:rsid w:val="00433867"/>
    <w:rsid w:val="00530C9C"/>
    <w:rsid w:val="006F48CA"/>
    <w:rsid w:val="007B255A"/>
    <w:rsid w:val="007D57D2"/>
    <w:rsid w:val="008137F0"/>
    <w:rsid w:val="00857D93"/>
    <w:rsid w:val="008845D6"/>
    <w:rsid w:val="00A97F55"/>
    <w:rsid w:val="00AC728D"/>
    <w:rsid w:val="00B41529"/>
    <w:rsid w:val="00B46261"/>
    <w:rsid w:val="00B823F7"/>
    <w:rsid w:val="00C3495C"/>
    <w:rsid w:val="00CB3518"/>
    <w:rsid w:val="00E1792B"/>
    <w:rsid w:val="00E51269"/>
    <w:rsid w:val="00E5428D"/>
    <w:rsid w:val="00F46253"/>
    <w:rsid w:val="00FA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25B52"/>
  <w15:chartTrackingRefBased/>
  <w15:docId w15:val="{2FC8F470-DA58-405A-AB5F-BA20D728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423"/>
    <w:pPr>
      <w:spacing w:line="259" w:lineRule="auto"/>
    </w:pPr>
    <w:rPr>
      <w:kern w:val="0"/>
      <w:sz w:val="22"/>
      <w:szCs w:val="22"/>
      <w:lang w:val="lt-LT"/>
      <w14:ligatures w14:val="none"/>
    </w:rPr>
  </w:style>
  <w:style w:type="paragraph" w:styleId="Heading1">
    <w:name w:val="heading 1"/>
    <w:basedOn w:val="Normal"/>
    <w:next w:val="Normal"/>
    <w:link w:val="Heading1Char"/>
    <w:uiPriority w:val="9"/>
    <w:qFormat/>
    <w:rsid w:val="00040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423"/>
    <w:rPr>
      <w:rFonts w:eastAsiaTheme="majorEastAsia" w:cstheme="majorBidi"/>
      <w:color w:val="272727" w:themeColor="text1" w:themeTint="D8"/>
    </w:rPr>
  </w:style>
  <w:style w:type="paragraph" w:styleId="Title">
    <w:name w:val="Title"/>
    <w:basedOn w:val="Normal"/>
    <w:next w:val="Normal"/>
    <w:link w:val="TitleChar"/>
    <w:uiPriority w:val="10"/>
    <w:qFormat/>
    <w:rsid w:val="00040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040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040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423"/>
    <w:pPr>
      <w:spacing w:before="160"/>
      <w:jc w:val="center"/>
    </w:pPr>
    <w:rPr>
      <w:i/>
      <w:iCs/>
      <w:color w:val="404040" w:themeColor="text1" w:themeTint="BF"/>
    </w:rPr>
  </w:style>
  <w:style w:type="character" w:customStyle="1" w:styleId="QuoteChar">
    <w:name w:val="Quote Char"/>
    <w:basedOn w:val="DefaultParagraphFont"/>
    <w:link w:val="Quote"/>
    <w:uiPriority w:val="29"/>
    <w:rsid w:val="00040423"/>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040423"/>
    <w:pPr>
      <w:ind w:left="720"/>
      <w:contextualSpacing/>
    </w:pPr>
  </w:style>
  <w:style w:type="character" w:styleId="IntenseEmphasis">
    <w:name w:val="Intense Emphasis"/>
    <w:basedOn w:val="DefaultParagraphFont"/>
    <w:uiPriority w:val="21"/>
    <w:qFormat/>
    <w:rsid w:val="00040423"/>
    <w:rPr>
      <w:i/>
      <w:iCs/>
      <w:color w:val="0F4761" w:themeColor="accent1" w:themeShade="BF"/>
    </w:rPr>
  </w:style>
  <w:style w:type="paragraph" w:styleId="IntenseQuote">
    <w:name w:val="Intense Quote"/>
    <w:basedOn w:val="Normal"/>
    <w:next w:val="Normal"/>
    <w:link w:val="IntenseQuoteChar"/>
    <w:uiPriority w:val="30"/>
    <w:qFormat/>
    <w:rsid w:val="00040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423"/>
    <w:rPr>
      <w:i/>
      <w:iCs/>
      <w:color w:val="0F4761" w:themeColor="accent1" w:themeShade="BF"/>
    </w:rPr>
  </w:style>
  <w:style w:type="character" w:styleId="IntenseReference">
    <w:name w:val="Intense Reference"/>
    <w:basedOn w:val="DefaultParagraphFont"/>
    <w:uiPriority w:val="32"/>
    <w:qFormat/>
    <w:rsid w:val="00040423"/>
    <w:rPr>
      <w:b/>
      <w:bCs/>
      <w:smallCaps/>
      <w:color w:val="0F4761" w:themeColor="accent1" w:themeShade="BF"/>
      <w:spacing w:val="5"/>
    </w:rPr>
  </w:style>
  <w:style w:type="table" w:styleId="TableGrid">
    <w:name w:val="Table Grid"/>
    <w:basedOn w:val="TableNormal"/>
    <w:uiPriority w:val="39"/>
    <w:rsid w:val="00040423"/>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040423"/>
  </w:style>
  <w:style w:type="paragraph" w:styleId="Header">
    <w:name w:val="header"/>
    <w:basedOn w:val="Normal"/>
    <w:link w:val="HeaderChar"/>
    <w:uiPriority w:val="99"/>
    <w:unhideWhenUsed/>
    <w:rsid w:val="00040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423"/>
    <w:rPr>
      <w:kern w:val="0"/>
      <w:sz w:val="22"/>
      <w:szCs w:val="22"/>
      <w:lang w:val="lt-LT"/>
      <w14:ligatures w14:val="none"/>
    </w:rPr>
  </w:style>
  <w:style w:type="paragraph" w:styleId="Footer">
    <w:name w:val="footer"/>
    <w:basedOn w:val="Normal"/>
    <w:link w:val="FooterChar"/>
    <w:uiPriority w:val="99"/>
    <w:unhideWhenUsed/>
    <w:rsid w:val="00040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423"/>
    <w:rPr>
      <w:kern w:val="0"/>
      <w:sz w:val="22"/>
      <w:szCs w:val="22"/>
      <w:lang w:val="lt-LT"/>
      <w14:ligatures w14:val="none"/>
    </w:rPr>
  </w:style>
  <w:style w:type="paragraph" w:styleId="Revision">
    <w:name w:val="Revision"/>
    <w:hidden/>
    <w:uiPriority w:val="99"/>
    <w:semiHidden/>
    <w:rsid w:val="00040423"/>
    <w:pPr>
      <w:spacing w:after="0" w:line="240" w:lineRule="auto"/>
    </w:pPr>
    <w:rPr>
      <w:kern w:val="0"/>
      <w:sz w:val="22"/>
      <w:szCs w:val="22"/>
      <w:lang w:val="lt-LT"/>
      <w14:ligatures w14:val="none"/>
    </w:rPr>
  </w:style>
  <w:style w:type="character" w:styleId="CommentReference">
    <w:name w:val="annotation reference"/>
    <w:basedOn w:val="DefaultParagraphFont"/>
    <w:uiPriority w:val="99"/>
    <w:semiHidden/>
    <w:unhideWhenUsed/>
    <w:rsid w:val="00E5428D"/>
    <w:rPr>
      <w:sz w:val="16"/>
      <w:szCs w:val="16"/>
    </w:rPr>
  </w:style>
  <w:style w:type="paragraph" w:styleId="CommentText">
    <w:name w:val="annotation text"/>
    <w:basedOn w:val="Normal"/>
    <w:link w:val="CommentTextChar"/>
    <w:uiPriority w:val="99"/>
    <w:unhideWhenUsed/>
    <w:rsid w:val="00E5428D"/>
    <w:pPr>
      <w:spacing w:line="240" w:lineRule="auto"/>
    </w:pPr>
    <w:rPr>
      <w:sz w:val="20"/>
      <w:szCs w:val="20"/>
    </w:rPr>
  </w:style>
  <w:style w:type="character" w:customStyle="1" w:styleId="CommentTextChar">
    <w:name w:val="Comment Text Char"/>
    <w:basedOn w:val="DefaultParagraphFont"/>
    <w:link w:val="CommentText"/>
    <w:uiPriority w:val="99"/>
    <w:rsid w:val="00E5428D"/>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E5428D"/>
    <w:rPr>
      <w:b/>
      <w:bCs/>
    </w:rPr>
  </w:style>
  <w:style w:type="character" w:customStyle="1" w:styleId="CommentSubjectChar">
    <w:name w:val="Comment Subject Char"/>
    <w:basedOn w:val="CommentTextChar"/>
    <w:link w:val="CommentSubject"/>
    <w:uiPriority w:val="99"/>
    <w:semiHidden/>
    <w:rsid w:val="00E5428D"/>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285</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Rasa Baliukonytė</cp:lastModifiedBy>
  <cp:revision>11</cp:revision>
  <dcterms:created xsi:type="dcterms:W3CDTF">2025-07-22T06:40:00Z</dcterms:created>
  <dcterms:modified xsi:type="dcterms:W3CDTF">2025-09-02T12:54:00Z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b9ed6bfa-b0a1-41e1-ba62-c3e2e2daeffd</vt:lpwstr>
  </property>
  <property fmtid="{D5CDD505-2E9C-101B-9397-08002B2CF9AE}" pid="3" name="MSIP_Label_32ae7b5d-0aac-474b-ae2b-02c331ef2874_Enabled">
    <vt:lpwstr>true</vt:lpwstr>
  </property>
  <property fmtid="{D5CDD505-2E9C-101B-9397-08002B2CF9AE}" pid="4" name="MSIP_Label_32ae7b5d-0aac-474b-ae2b-02c331ef2874_SetDate">
    <vt:lpwstr>2025-07-22T07:01:27Z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d8f57205-e33c-400c-81b8-9bfd7a8ffa75</vt:lpwstr>
  </property>
  <property fmtid="{D5CDD505-2E9C-101B-9397-08002B2CF9AE}" pid="9" name="MSIP_Label_32ae7b5d-0aac-474b-ae2b-02c331ef2874_ContentBits">
    <vt:lpwstr>0</vt:lpwstr>
  </property>
  <property fmtid="{D5CDD505-2E9C-101B-9397-08002B2CF9AE}" pid="10" name="MSIP_Label_32ae7b5d-0aac-474b-ae2b-02c331ef2874_Tag">
    <vt:lpwstr>10, 0, 1, 1</vt:lpwstr>
  </property>
</Properties>
</file>