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91" w:rsidRDefault="00D9288E">
      <w:pPr>
        <w:spacing w:after="0" w:line="259" w:lineRule="auto"/>
        <w:ind w:left="11" w:right="0" w:firstLine="0"/>
        <w:jc w:val="center"/>
      </w:pPr>
      <w:r>
        <w:rPr>
          <w:noProof/>
        </w:rPr>
        <w:drawing>
          <wp:inline distT="0" distB="0" distL="0" distR="0">
            <wp:extent cx="1651000" cy="4927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995291" w:rsidRDefault="00D9288E">
      <w:pPr>
        <w:spacing w:after="0" w:line="259" w:lineRule="auto"/>
        <w:ind w:left="0" w:right="47" w:firstLine="0"/>
        <w:jc w:val="center"/>
      </w:pPr>
      <w:r>
        <w:rPr>
          <w:b/>
          <w:sz w:val="22"/>
        </w:rPr>
        <w:t xml:space="preserve">RANGOS DARBŲ SUTARTIS </w:t>
      </w:r>
      <w:proofErr w:type="spellStart"/>
      <w:r>
        <w:rPr>
          <w:b/>
          <w:sz w:val="22"/>
        </w:rPr>
        <w:t>Nr</w:t>
      </w:r>
      <w:proofErr w:type="spellEnd"/>
      <w:r>
        <w:rPr>
          <w:b/>
          <w:sz w:val="22"/>
        </w:rPr>
        <w:t xml:space="preserve">. SEL-202518 </w:t>
      </w:r>
    </w:p>
    <w:p w:rsidR="00995291" w:rsidRDefault="00D9288E">
      <w:pPr>
        <w:spacing w:after="0" w:line="259" w:lineRule="auto"/>
        <w:ind w:left="0" w:right="0" w:firstLine="0"/>
        <w:jc w:val="right"/>
      </w:pPr>
      <w:r>
        <w:rPr>
          <w:b/>
          <w:sz w:val="22"/>
        </w:rPr>
        <w:t xml:space="preserve"> </w:t>
      </w:r>
    </w:p>
    <w:p w:rsidR="00995291" w:rsidRDefault="00D9288E">
      <w:pPr>
        <w:spacing w:after="0" w:line="259" w:lineRule="auto"/>
        <w:ind w:left="0" w:right="56" w:firstLine="0"/>
        <w:jc w:val="right"/>
      </w:pPr>
      <w:r>
        <w:rPr>
          <w:b/>
          <w:sz w:val="22"/>
        </w:rPr>
        <w:t xml:space="preserve">2025 m. </w:t>
      </w:r>
      <w:proofErr w:type="spellStart"/>
      <w:r>
        <w:rPr>
          <w:b/>
          <w:sz w:val="22"/>
        </w:rPr>
        <w:t>gruodžio</w:t>
      </w:r>
      <w:proofErr w:type="spellEnd"/>
      <w:r>
        <w:rPr>
          <w:b/>
          <w:sz w:val="22"/>
        </w:rPr>
        <w:t xml:space="preserve"> 17 d. </w:t>
      </w:r>
    </w:p>
    <w:p w:rsidR="00995291" w:rsidRDefault="00D9288E">
      <w:pPr>
        <w:spacing w:after="0" w:line="259" w:lineRule="auto"/>
        <w:ind w:left="0" w:right="0" w:firstLine="0"/>
        <w:jc w:val="right"/>
      </w:pPr>
      <w:r>
        <w:rPr>
          <w:b/>
          <w:sz w:val="22"/>
        </w:rPr>
        <w:t xml:space="preserve"> </w:t>
      </w:r>
    </w:p>
    <w:tbl>
      <w:tblPr>
        <w:tblStyle w:val="TableGrid"/>
        <w:tblpPr w:vertAnchor="text" w:tblpX="1336" w:tblpY="417"/>
        <w:tblOverlap w:val="never"/>
        <w:tblW w:w="1030" w:type="dxa"/>
        <w:tblInd w:w="0" w:type="dxa"/>
        <w:tblCellMar>
          <w:top w:w="4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030"/>
      </w:tblGrid>
      <w:tr w:rsidR="00995291">
        <w:trPr>
          <w:trHeight w:val="240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22" w:space="0" w:color="FAFAFA"/>
            </w:tcBorders>
            <w:shd w:val="clear" w:color="auto" w:fill="F8F8F8"/>
          </w:tcPr>
          <w:p w:rsidR="00995291" w:rsidRDefault="00D9288E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212529"/>
              </w:rPr>
              <w:t>191326843</w:t>
            </w:r>
          </w:p>
        </w:tc>
      </w:tr>
    </w:tbl>
    <w:p w:rsidR="00995291" w:rsidRDefault="00D9288E">
      <w:pPr>
        <w:ind w:left="11" w:right="59"/>
      </w:pPr>
      <w:r>
        <w:rPr>
          <w:sz w:val="22"/>
        </w:rP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</w:t>
      </w:r>
      <w:r>
        <w:t xml:space="preserve"> </w:t>
      </w:r>
      <w:proofErr w:type="spellStart"/>
      <w:r>
        <w:t>Sutartis</w:t>
      </w:r>
      <w:proofErr w:type="spellEnd"/>
      <w:r>
        <w:t xml:space="preserve">) </w:t>
      </w:r>
      <w:proofErr w:type="spellStart"/>
      <w:r>
        <w:t>sudaryta</w:t>
      </w:r>
      <w:proofErr w:type="spellEnd"/>
      <w:r>
        <w:t xml:space="preserve"> tarp </w:t>
      </w:r>
      <w:r>
        <w:rPr>
          <w:b/>
        </w:rPr>
        <w:t>MB</w:t>
      </w:r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Selduva</w:t>
      </w:r>
      <w:proofErr w:type="spellEnd"/>
      <w:r>
        <w:rPr>
          <w:b/>
        </w:rPr>
        <w:t xml:space="preserve">“ </w:t>
      </w:r>
      <w:proofErr w:type="spellStart"/>
      <w:r>
        <w:t>įmonės</w:t>
      </w:r>
      <w:proofErr w:type="spellEnd"/>
      <w:proofErr w:type="gramEnd"/>
      <w:r>
        <w:t xml:space="preserve"> </w:t>
      </w:r>
      <w:proofErr w:type="spellStart"/>
      <w:r>
        <w:t>kodas</w:t>
      </w:r>
      <w:proofErr w:type="spellEnd"/>
      <w:r>
        <w:t xml:space="preserve"> 305148365,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Jono</w:t>
      </w:r>
      <w:proofErr w:type="spellEnd"/>
      <w:r>
        <w:t xml:space="preserve"> </w:t>
      </w:r>
      <w:proofErr w:type="spellStart"/>
      <w:r>
        <w:t>Čepanausko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toliau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Rangovas</w:t>
      </w:r>
      <w:proofErr w:type="spellEnd"/>
      <w:r>
        <w:t>)</w:t>
      </w:r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pusės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Vilniaus</w:t>
      </w:r>
      <w:proofErr w:type="spellEnd"/>
      <w:r>
        <w:rPr>
          <w:b/>
        </w:rPr>
        <w:t xml:space="preserve"> r. </w:t>
      </w:r>
      <w:proofErr w:type="spellStart"/>
      <w:r>
        <w:rPr>
          <w:b/>
        </w:rPr>
        <w:t>Valčiūnų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vaikų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lopšelis-darželis</w:t>
      </w:r>
      <w:proofErr w:type="spellEnd"/>
      <w:r>
        <w:t xml:space="preserve">,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</w:t>
      </w:r>
      <w:r>
        <w:rPr>
          <w:color w:val="000000"/>
        </w:rPr>
        <w:t>,</w:t>
      </w:r>
      <w:r>
        <w:t xml:space="preserve">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direktorės</w:t>
      </w:r>
      <w:proofErr w:type="spellEnd"/>
      <w:r>
        <w:t xml:space="preserve"> </w:t>
      </w:r>
      <w:proofErr w:type="spellStart"/>
      <w:r>
        <w:t>Irinos</w:t>
      </w:r>
      <w:proofErr w:type="spellEnd"/>
      <w:r>
        <w:t xml:space="preserve"> </w:t>
      </w:r>
      <w:proofErr w:type="spellStart"/>
      <w:r>
        <w:t>Tomaševič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Užsakovas</w:t>
      </w:r>
      <w:proofErr w:type="spellEnd"/>
      <w:r>
        <w:t xml:space="preserve">),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pusės</w:t>
      </w:r>
      <w:proofErr w:type="spellEnd"/>
      <w:r>
        <w:t xml:space="preserve">,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bendrai</w:t>
      </w:r>
      <w:proofErr w:type="spellEnd"/>
      <w:r>
        <w:t xml:space="preserve"> </w:t>
      </w:r>
      <w:proofErr w:type="spellStart"/>
      <w:r>
        <w:t>vadinamos</w:t>
      </w:r>
      <w:proofErr w:type="spellEnd"/>
      <w:r>
        <w:t xml:space="preserve"> </w:t>
      </w:r>
      <w:proofErr w:type="spellStart"/>
      <w:r>
        <w:rPr>
          <w:b/>
        </w:rPr>
        <w:t>Šalimis</w:t>
      </w:r>
      <w:proofErr w:type="spellEnd"/>
      <w:r>
        <w:rPr>
          <w:b/>
        </w:rPr>
        <w:t>.</w:t>
      </w:r>
      <w:r>
        <w:rPr>
          <w:rFonts w:ascii="Calibri" w:eastAsia="Calibri" w:hAnsi="Calibri" w:cs="Calibri"/>
          <w:color w:val="212529"/>
          <w:sz w:val="24"/>
        </w:rPr>
        <w:t xml:space="preserve"> </w:t>
      </w:r>
    </w:p>
    <w:p w:rsidR="00995291" w:rsidRDefault="00D9288E">
      <w:pPr>
        <w:spacing w:after="20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pStyle w:val="Heading1"/>
        <w:ind w:left="11"/>
      </w:pPr>
      <w:r>
        <w:t xml:space="preserve">1. SUTARTIES OBJEKTAS  </w:t>
      </w:r>
      <w:r>
        <w:rPr>
          <w:b w:val="0"/>
        </w:rP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ind w:left="11" w:right="59"/>
      </w:pPr>
      <w:r>
        <w:t xml:space="preserve">1.1.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</w:t>
      </w:r>
      <w:r>
        <w:t>artimi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nuosavybėn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Nr</w:t>
      </w:r>
      <w:proofErr w:type="spellEnd"/>
      <w:r>
        <w:t>. 1 (</w:t>
      </w:r>
      <w:proofErr w:type="spellStart"/>
      <w:r>
        <w:t>toliau</w:t>
      </w:r>
      <w:proofErr w:type="spellEnd"/>
      <w:r>
        <w:t xml:space="preserve"> –</w:t>
      </w:r>
      <w:r>
        <w:t xml:space="preserve"> </w:t>
      </w:r>
      <w:proofErr w:type="spellStart"/>
      <w:r>
        <w:t>Priedas</w:t>
      </w:r>
      <w:proofErr w:type="spellEnd"/>
      <w:r>
        <w:t xml:space="preserve">), kuris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prekes</w:t>
      </w:r>
      <w:proofErr w:type="spellEnd"/>
      <w:r>
        <w:t>, t. y. „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žaidimo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montavimo</w:t>
      </w:r>
      <w:proofErr w:type="spellEnd"/>
      <w:r>
        <w:t xml:space="preserve"> </w:t>
      </w:r>
      <w:proofErr w:type="spellStart"/>
      <w:r>
        <w:t>darbais</w:t>
      </w:r>
      <w:proofErr w:type="spellEnd"/>
      <w:r>
        <w:rPr>
          <w:b/>
        </w:rPr>
        <w:t xml:space="preserve">” </w:t>
      </w:r>
      <w:r>
        <w:t>(</w:t>
      </w:r>
      <w:proofErr w:type="spellStart"/>
      <w:r>
        <w:t>toliau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Darbai</w:t>
      </w:r>
      <w:proofErr w:type="spellEnd"/>
      <w:r>
        <w:t xml:space="preserve">), o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kainą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1.2.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pareiškia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parduodamų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rPr>
          <w:color w:val="C00000"/>
        </w:rP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ES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techninius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tinkama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>.</w:t>
      </w:r>
      <w:r>
        <w:t xml:space="preserve"> </w:t>
      </w:r>
    </w:p>
    <w:p w:rsidR="00995291" w:rsidRDefault="00D9288E">
      <w:pPr>
        <w:spacing w:after="20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pStyle w:val="Heading1"/>
        <w:spacing w:after="18"/>
        <w:ind w:left="11"/>
      </w:pPr>
      <w:r>
        <w:t>2</w:t>
      </w:r>
      <w:r>
        <w:t>. ŠALIŲ TEISĖS IR ĮSIPAREIGOJ</w:t>
      </w:r>
      <w:r>
        <w:t>IMAI</w:t>
      </w:r>
      <w:r>
        <w:rPr>
          <w:b w:val="0"/>
        </w:rPr>
        <w:t xml:space="preserve"> </w:t>
      </w:r>
    </w:p>
    <w:p w:rsidR="00995291" w:rsidRDefault="00D9288E">
      <w:pPr>
        <w:spacing w:after="50" w:line="259" w:lineRule="auto"/>
        <w:ind w:left="16" w:right="0" w:firstLine="0"/>
        <w:jc w:val="left"/>
      </w:pPr>
      <w:r>
        <w:t xml:space="preserve">  </w:t>
      </w:r>
    </w:p>
    <w:p w:rsidR="00995291" w:rsidRDefault="00D9288E">
      <w:pPr>
        <w:ind w:left="11" w:right="59"/>
      </w:pPr>
      <w:r>
        <w:t xml:space="preserve">2.1.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baigimo</w:t>
      </w:r>
      <w:proofErr w:type="spellEnd"/>
      <w:r>
        <w:t xml:space="preserve"> data </w:t>
      </w:r>
      <w:proofErr w:type="spellStart"/>
      <w:r>
        <w:t>laikoma</w:t>
      </w:r>
      <w:proofErr w:type="spellEnd"/>
      <w:r>
        <w:t xml:space="preserve"> data, kai </w:t>
      </w:r>
      <w:proofErr w:type="spellStart"/>
      <w:r>
        <w:t>Darbai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priedas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adresu</w:t>
      </w:r>
      <w:proofErr w:type="spellEnd"/>
      <w:r>
        <w:rPr>
          <w:b/>
        </w:rPr>
        <w:t>:</w:t>
      </w:r>
      <w:r>
        <w:rPr>
          <w:color w:val="FF0000"/>
        </w:rPr>
        <w:t xml:space="preserve">  </w:t>
      </w:r>
      <w:r>
        <w:rPr>
          <w:rFonts w:ascii="Calibri" w:eastAsia="Calibri" w:hAnsi="Calibri" w:cs="Calibri"/>
          <w:color w:val="212529"/>
          <w:sz w:val="24"/>
        </w:rPr>
        <w:t xml:space="preserve"> </w:t>
      </w:r>
      <w:proofErr w:type="spellStart"/>
      <w:r>
        <w:rPr>
          <w:color w:val="212529"/>
        </w:rPr>
        <w:t>Geležinkeliečių</w:t>
      </w:r>
      <w:proofErr w:type="spellEnd"/>
      <w:r>
        <w:rPr>
          <w:color w:val="212529"/>
        </w:rPr>
        <w:t xml:space="preserve"> g. 13, </w:t>
      </w:r>
      <w:proofErr w:type="spellStart"/>
      <w:r>
        <w:rPr>
          <w:color w:val="212529"/>
        </w:rPr>
        <w:t>Valčiūnų</w:t>
      </w:r>
      <w:proofErr w:type="spellEnd"/>
      <w:r>
        <w:rPr>
          <w:color w:val="212529"/>
        </w:rPr>
        <w:t xml:space="preserve"> k., LT</w:t>
      </w:r>
      <w:r>
        <w:rPr>
          <w:color w:val="212529"/>
        </w:rPr>
        <w:t xml:space="preserve">-13222 </w:t>
      </w:r>
      <w:proofErr w:type="spellStart"/>
      <w:r>
        <w:rPr>
          <w:color w:val="212529"/>
        </w:rPr>
        <w:t>Vilniaus</w:t>
      </w:r>
      <w:proofErr w:type="spellEnd"/>
      <w:r>
        <w:rPr>
          <w:color w:val="212529"/>
        </w:rPr>
        <w:t xml:space="preserve"> r. </w:t>
      </w:r>
      <w:proofErr w:type="spellStart"/>
      <w:r>
        <w:t>Perduodamas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Už</w:t>
      </w:r>
      <w:r>
        <w:t>sakovui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–</w:t>
      </w:r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remiantis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bus </w:t>
      </w:r>
      <w:proofErr w:type="spellStart"/>
      <w:r>
        <w:t>išrašoma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–</w:t>
      </w:r>
      <w:r>
        <w:t xml:space="preserve"> </w:t>
      </w:r>
      <w:proofErr w:type="spellStart"/>
      <w:r>
        <w:t>faktūra</w:t>
      </w:r>
      <w:proofErr w:type="spellEnd"/>
      <w:r>
        <w:t>.</w:t>
      </w:r>
      <w:r>
        <w:rPr>
          <w:rFonts w:ascii="Calibri" w:eastAsia="Calibri" w:hAnsi="Calibri" w:cs="Calibri"/>
          <w:color w:val="212529"/>
          <w:sz w:val="24"/>
        </w:rPr>
        <w:t xml:space="preserve"> </w:t>
      </w:r>
    </w:p>
    <w:p w:rsidR="00995291" w:rsidRDefault="00D9288E">
      <w:pPr>
        <w:ind w:left="11" w:right="59"/>
      </w:pPr>
      <w:r>
        <w:rPr>
          <w:i/>
        </w:rPr>
        <w:t xml:space="preserve">2.2.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baigti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, kai </w:t>
      </w:r>
      <w:proofErr w:type="spellStart"/>
      <w:r>
        <w:t>pasirašomas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(</w:t>
      </w:r>
      <w:proofErr w:type="spellStart"/>
      <w:r>
        <w:t>sąskaita</w:t>
      </w:r>
      <w:proofErr w:type="spellEnd"/>
      <w:r>
        <w:t xml:space="preserve"> –</w:t>
      </w:r>
      <w:r>
        <w:t xml:space="preserve"> </w:t>
      </w:r>
      <w:proofErr w:type="spellStart"/>
      <w:r>
        <w:t>faktūra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r>
        <w:t xml:space="preserve">-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aktas</w:t>
      </w:r>
      <w:proofErr w:type="spellEnd"/>
      <w:r>
        <w:t xml:space="preserve">). </w:t>
      </w:r>
    </w:p>
    <w:p w:rsidR="00995291" w:rsidRDefault="00D9288E">
      <w:pPr>
        <w:ind w:left="11" w:right="59"/>
      </w:pPr>
      <w:r>
        <w:t xml:space="preserve">2.3.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aprūpinti</w:t>
      </w:r>
      <w:proofErr w:type="spellEnd"/>
      <w:r>
        <w:t xml:space="preserve"> </w:t>
      </w:r>
      <w:proofErr w:type="spellStart"/>
      <w:r>
        <w:t>Rangovą</w:t>
      </w:r>
      <w:proofErr w:type="spellEnd"/>
      <w:r>
        <w:t xml:space="preserve"> </w:t>
      </w:r>
      <w:proofErr w:type="spellStart"/>
      <w:r>
        <w:t>elektra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vand</w:t>
      </w:r>
      <w:r>
        <w:t>eniu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. </w:t>
      </w:r>
    </w:p>
    <w:p w:rsidR="00995291" w:rsidRDefault="00D9288E">
      <w:pPr>
        <w:ind w:left="11" w:right="59"/>
      </w:pPr>
      <w:r>
        <w:t xml:space="preserve">2.4.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 per dvi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įrengimo</w:t>
      </w:r>
      <w:proofErr w:type="spellEnd"/>
      <w:r>
        <w:t xml:space="preserve">. </w:t>
      </w:r>
      <w:proofErr w:type="spellStart"/>
      <w:r>
        <w:t>Išaiškėjus</w:t>
      </w:r>
      <w:proofErr w:type="spellEnd"/>
      <w:r>
        <w:t xml:space="preserve"> </w:t>
      </w:r>
      <w:proofErr w:type="spellStart"/>
      <w:r>
        <w:t>defektams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trūkumams</w:t>
      </w:r>
      <w:proofErr w:type="spellEnd"/>
      <w:r>
        <w:t xml:space="preserve">,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Rangovą</w:t>
      </w:r>
      <w:proofErr w:type="spellEnd"/>
      <w:r>
        <w:t xml:space="preserve">. Po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pretenzi</w:t>
      </w:r>
      <w:r>
        <w:t>jų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ištaisyti</w:t>
      </w:r>
      <w:proofErr w:type="spellEnd"/>
      <w:r>
        <w:t xml:space="preserve"> </w:t>
      </w:r>
      <w:proofErr w:type="spellStart"/>
      <w:r>
        <w:t>defektus</w:t>
      </w:r>
      <w:proofErr w:type="spellEnd"/>
      <w:r>
        <w:t xml:space="preserve">. </w:t>
      </w:r>
    </w:p>
    <w:p w:rsidR="00995291" w:rsidRDefault="00D9288E">
      <w:pPr>
        <w:ind w:left="11" w:right="59"/>
      </w:pPr>
      <w:r>
        <w:t xml:space="preserve">2.5.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įrengiamą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bus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darbai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2.6.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sumokama</w:t>
      </w:r>
      <w:proofErr w:type="spellEnd"/>
      <w:r>
        <w:t xml:space="preserve"> visa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neatsiskaito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privalės</w:t>
      </w:r>
      <w:proofErr w:type="spellEnd"/>
      <w:r>
        <w:t xml:space="preserve"> </w:t>
      </w:r>
      <w:proofErr w:type="spellStart"/>
      <w:r>
        <w:t>apmokėti</w:t>
      </w:r>
      <w:proofErr w:type="spellEnd"/>
      <w:r>
        <w:t xml:space="preserve"> </w:t>
      </w:r>
      <w:r>
        <w:t xml:space="preserve">visas </w:t>
      </w:r>
      <w:proofErr w:type="spellStart"/>
      <w:r>
        <w:t>išlaidas</w:t>
      </w:r>
      <w:proofErr w:type="spellEnd"/>
      <w:r>
        <w:t xml:space="preserve">,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Darbai</w:t>
      </w:r>
      <w:r>
        <w:t>s</w:t>
      </w:r>
      <w:proofErr w:type="spellEnd"/>
      <w:r>
        <w:t xml:space="preserve">. CK Str. 4.49, 3 </w:t>
      </w:r>
      <w:proofErr w:type="spellStart"/>
      <w:r>
        <w:t>punkt</w:t>
      </w:r>
      <w:proofErr w:type="spellEnd"/>
      <w:r>
        <w:t xml:space="preserve">. </w:t>
      </w:r>
    </w:p>
    <w:p w:rsidR="00995291" w:rsidRDefault="00D9288E">
      <w:pPr>
        <w:ind w:left="11" w:right="59"/>
      </w:pPr>
      <w:r>
        <w:t xml:space="preserve">2.7. </w:t>
      </w:r>
      <w:proofErr w:type="spellStart"/>
      <w:r>
        <w:t>Padarius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sugadinus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neteisingo</w:t>
      </w:r>
      <w:proofErr w:type="spellEnd"/>
      <w:r>
        <w:t xml:space="preserve"> </w:t>
      </w:r>
      <w:proofErr w:type="spellStart"/>
      <w:r>
        <w:t>naudojimosi</w:t>
      </w:r>
      <w:proofErr w:type="spellEnd"/>
      <w:r>
        <w:t xml:space="preserve">, </w:t>
      </w:r>
      <w:proofErr w:type="spellStart"/>
      <w:r>
        <w:t>vandalizmo</w:t>
      </w:r>
      <w:proofErr w:type="spellEnd"/>
      <w:r>
        <w:t xml:space="preserve"> </w:t>
      </w:r>
      <w:proofErr w:type="spellStart"/>
      <w:r>
        <w:t>išpuolių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–</w:t>
      </w:r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>.</w:t>
      </w:r>
      <w: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numPr>
          <w:ilvl w:val="0"/>
          <w:numId w:val="1"/>
        </w:numPr>
        <w:spacing w:after="16" w:line="259" w:lineRule="auto"/>
        <w:ind w:right="0" w:hanging="224"/>
        <w:jc w:val="left"/>
      </w:pPr>
      <w:r>
        <w:rPr>
          <w:b/>
        </w:rPr>
        <w:t>SUTARTIES KAINA</w:t>
      </w:r>
      <w: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ind w:left="11" w:right="59"/>
      </w:pPr>
      <w:r>
        <w:t xml:space="preserve">3.1. </w:t>
      </w:r>
      <w:proofErr w:type="spellStart"/>
      <w:r>
        <w:t>Bendrą</w:t>
      </w:r>
      <w:proofErr w:type="spellEnd"/>
      <w:r>
        <w:t xml:space="preserve"> </w:t>
      </w:r>
      <w:proofErr w:type="spellStart"/>
      <w:r>
        <w:t>sandorio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sudaro</w:t>
      </w:r>
      <w:proofErr w:type="spellEnd"/>
      <w:r>
        <w:t>:</w:t>
      </w:r>
      <w:r>
        <w:rPr>
          <w:b/>
        </w:rPr>
        <w:t xml:space="preserve"> 7 334 EUR 53 ct.</w:t>
      </w:r>
      <w:r>
        <w:t xml:space="preserve"> (</w:t>
      </w:r>
      <w:proofErr w:type="spellStart"/>
      <w:r>
        <w:t>septyni</w:t>
      </w:r>
      <w:proofErr w:type="spellEnd"/>
      <w:r>
        <w:t xml:space="preserve"> </w:t>
      </w:r>
      <w:proofErr w:type="spellStart"/>
      <w:r>
        <w:t>tūkstančiai</w:t>
      </w:r>
      <w:proofErr w:type="spellEnd"/>
      <w:r>
        <w:t xml:space="preserve"> </w:t>
      </w:r>
      <w:proofErr w:type="spellStart"/>
      <w:r>
        <w:t>trys</w:t>
      </w:r>
      <w:proofErr w:type="spellEnd"/>
      <w:r>
        <w:t xml:space="preserve"> </w:t>
      </w:r>
      <w:proofErr w:type="spellStart"/>
      <w:r>
        <w:t>šimtai</w:t>
      </w:r>
      <w:proofErr w:type="spellEnd"/>
      <w:r>
        <w:t xml:space="preserve"> </w:t>
      </w:r>
      <w:proofErr w:type="spellStart"/>
      <w:r>
        <w:t>trisdešimt</w:t>
      </w:r>
      <w:proofErr w:type="spellEnd"/>
      <w:r>
        <w:t xml:space="preserve"> </w:t>
      </w:r>
      <w:proofErr w:type="spellStart"/>
      <w:r>
        <w:t>keturi</w:t>
      </w:r>
      <w:proofErr w:type="spellEnd"/>
      <w:r>
        <w:t xml:space="preserve"> </w:t>
      </w:r>
      <w:proofErr w:type="spellStart"/>
      <w:r>
        <w:t>eur.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53 ct.) </w:t>
      </w:r>
      <w:proofErr w:type="spellStart"/>
      <w:r>
        <w:t>su</w:t>
      </w:r>
      <w:proofErr w:type="spellEnd"/>
      <w:r>
        <w:t xml:space="preserve"> </w:t>
      </w:r>
    </w:p>
    <w:p w:rsidR="00995291" w:rsidRDefault="00D9288E">
      <w:pPr>
        <w:pStyle w:val="Heading1"/>
        <w:ind w:left="16" w:firstLine="0"/>
      </w:pPr>
      <w:r>
        <w:rPr>
          <w:b w:val="0"/>
        </w:rPr>
        <w:t xml:space="preserve">PVM </w:t>
      </w:r>
    </w:p>
    <w:p w:rsidR="00995291" w:rsidRDefault="00D9288E">
      <w:pPr>
        <w:ind w:left="11" w:right="59"/>
      </w:pPr>
      <w:proofErr w:type="spellStart"/>
      <w:r>
        <w:t>Pasirašant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r>
        <w:t xml:space="preserve">-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</w:t>
      </w:r>
      <w:proofErr w:type="spellStart"/>
      <w:r>
        <w:t>galutinė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bus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faktiško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</w:t>
      </w:r>
      <w:r>
        <w:t>bų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Nr.1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įkainiais</w:t>
      </w:r>
      <w:proofErr w:type="spellEnd"/>
      <w:r>
        <w:t xml:space="preserve">. </w:t>
      </w:r>
      <w:r>
        <w:t xml:space="preserve"> </w:t>
      </w:r>
    </w:p>
    <w:p w:rsidR="00995291" w:rsidRDefault="00D9288E">
      <w:pPr>
        <w:ind w:left="11" w:right="59"/>
      </w:pPr>
      <w:r>
        <w:t xml:space="preserve">3.2. </w:t>
      </w:r>
      <w:r>
        <w:rPr>
          <w:b/>
        </w:rPr>
        <w:t>7 334, EUR 53 ct.</w:t>
      </w:r>
      <w:r>
        <w:t xml:space="preserve"> (</w:t>
      </w:r>
      <w:proofErr w:type="spellStart"/>
      <w:r>
        <w:t>septyni</w:t>
      </w:r>
      <w:proofErr w:type="spellEnd"/>
      <w:r>
        <w:t xml:space="preserve"> </w:t>
      </w:r>
      <w:proofErr w:type="spellStart"/>
      <w:r>
        <w:t>tūkstančiai</w:t>
      </w:r>
      <w:proofErr w:type="spellEnd"/>
      <w:r>
        <w:t xml:space="preserve"> </w:t>
      </w:r>
      <w:proofErr w:type="spellStart"/>
      <w:r>
        <w:t>trys</w:t>
      </w:r>
      <w:proofErr w:type="spellEnd"/>
      <w:r>
        <w:t xml:space="preserve"> </w:t>
      </w:r>
      <w:proofErr w:type="spellStart"/>
      <w:r>
        <w:t>šimtai</w:t>
      </w:r>
      <w:proofErr w:type="spellEnd"/>
      <w:r>
        <w:t xml:space="preserve"> </w:t>
      </w:r>
      <w:proofErr w:type="spellStart"/>
      <w:r>
        <w:t>trisdešimt</w:t>
      </w:r>
      <w:proofErr w:type="spellEnd"/>
      <w:r>
        <w:t xml:space="preserve"> </w:t>
      </w:r>
      <w:proofErr w:type="spellStart"/>
      <w:r>
        <w:t>keturi</w:t>
      </w:r>
      <w:proofErr w:type="spellEnd"/>
      <w:r>
        <w:t xml:space="preserve"> </w:t>
      </w:r>
      <w:proofErr w:type="spellStart"/>
      <w:r>
        <w:t>eur.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t xml:space="preserve">53 ct.) </w:t>
      </w:r>
      <w:proofErr w:type="spellStart"/>
      <w:r>
        <w:t>su</w:t>
      </w:r>
      <w:proofErr w:type="spellEnd"/>
      <w:r>
        <w:t xml:space="preserve"> PVM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per </w:t>
      </w:r>
      <w:r>
        <w:t>30 (</w:t>
      </w:r>
      <w:proofErr w:type="spellStart"/>
      <w:r>
        <w:t>tris</w:t>
      </w:r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</w:t>
      </w:r>
      <w:r>
        <w:t>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3.3. </w:t>
      </w:r>
      <w:proofErr w:type="spellStart"/>
      <w:r>
        <w:t>Apmokėjimo</w:t>
      </w:r>
      <w:proofErr w:type="spellEnd"/>
      <w:r>
        <w:t xml:space="preserve"> data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pervedimo</w:t>
      </w:r>
      <w:proofErr w:type="spellEnd"/>
      <w:r>
        <w:t xml:space="preserve"> į </w:t>
      </w:r>
      <w:proofErr w:type="spellStart"/>
      <w:r>
        <w:t>Rangovo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 data.</w:t>
      </w:r>
      <w:r>
        <w:t xml:space="preserve">  </w:t>
      </w:r>
    </w:p>
    <w:p w:rsidR="00995291" w:rsidRDefault="00D9288E">
      <w:pPr>
        <w:ind w:left="11" w:right="59"/>
      </w:pPr>
      <w:r>
        <w:t xml:space="preserve">3.4. </w:t>
      </w:r>
      <w:proofErr w:type="spellStart"/>
      <w:r>
        <w:t>Atsiskaitymai</w:t>
      </w:r>
      <w:proofErr w:type="spellEnd"/>
      <w:r>
        <w:t xml:space="preserve">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veikiančių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Vyriausybės</w:t>
      </w:r>
      <w:proofErr w:type="spellEnd"/>
      <w:r>
        <w:t xml:space="preserve">  </w:t>
      </w:r>
      <w:proofErr w:type="spellStart"/>
      <w:r>
        <w:t>nutarimų</w:t>
      </w:r>
      <w:proofErr w:type="spellEnd"/>
      <w:proofErr w:type="gramEnd"/>
      <w:r>
        <w:t>.</w:t>
      </w:r>
      <w: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pStyle w:val="Heading2"/>
        <w:ind w:left="11"/>
      </w:pPr>
      <w:r>
        <w:t>4. GARANTIJOS</w:t>
      </w:r>
      <w:r>
        <w:rPr>
          <w:sz w:val="16"/>
        </w:rPr>
        <w:t xml:space="preserve"> </w:t>
      </w:r>
    </w:p>
    <w:p w:rsidR="00995291" w:rsidRDefault="00D9288E">
      <w:pPr>
        <w:spacing w:after="49" w:line="259" w:lineRule="auto"/>
        <w:ind w:left="16" w:right="0" w:firstLine="0"/>
        <w:jc w:val="left"/>
      </w:pPr>
      <w:r>
        <w:rPr>
          <w:b/>
          <w:sz w:val="16"/>
        </w:rPr>
        <w:t xml:space="preserve"> </w:t>
      </w:r>
    </w:p>
    <w:p w:rsidR="00995291" w:rsidRDefault="00D9288E">
      <w:pPr>
        <w:ind w:left="11" w:right="59"/>
      </w:pPr>
      <w:r>
        <w:t xml:space="preserve">4.1.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. </w:t>
      </w:r>
      <w:proofErr w:type="spellStart"/>
      <w:r>
        <w:t>Gar</w:t>
      </w:r>
      <w:r>
        <w:t>antinis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medžiagoms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atliktiems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dveji</w:t>
      </w:r>
      <w:proofErr w:type="spellEnd"/>
      <w:r>
        <w:t xml:space="preserve"> </w:t>
      </w:r>
      <w:proofErr w:type="spellStart"/>
      <w:r>
        <w:t>metai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sąlyga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(į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sąvoką</w:t>
      </w:r>
      <w:proofErr w:type="spellEnd"/>
      <w:r>
        <w:t xml:space="preserve"> </w:t>
      </w:r>
      <w:proofErr w:type="spellStart"/>
      <w:r>
        <w:t>įeina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paaiškinimai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vandalizmu</w:t>
      </w:r>
      <w:proofErr w:type="spellEnd"/>
      <w:r>
        <w:t>).</w:t>
      </w:r>
      <w:r>
        <w:t xml:space="preserve"> </w:t>
      </w:r>
    </w:p>
    <w:p w:rsidR="00995291" w:rsidRDefault="00D9288E">
      <w:pPr>
        <w:ind w:left="11" w:right="59"/>
      </w:pPr>
      <w:r>
        <w:t xml:space="preserve">4.2.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nepasibaigę</w:t>
      </w:r>
      <w:r>
        <w:t>s</w:t>
      </w:r>
      <w:proofErr w:type="spellEnd"/>
      <w:r>
        <w:t xml:space="preserve">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defektai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trūkumai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pripažinti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atsitikę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raštiškai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Rangovą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iškėlus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pretenzijas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ištaiso</w:t>
      </w:r>
      <w:proofErr w:type="spellEnd"/>
      <w:r>
        <w:t xml:space="preserve"> </w:t>
      </w:r>
      <w:proofErr w:type="spellStart"/>
      <w:r>
        <w:t>defektus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lastRenderedPageBreak/>
        <w:t xml:space="preserve">4.3.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defektai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</w:t>
      </w:r>
      <w:r>
        <w:t>ūkumai</w:t>
      </w:r>
      <w:proofErr w:type="spellEnd"/>
      <w:r>
        <w:t xml:space="preserve"> </w:t>
      </w:r>
      <w:proofErr w:type="spellStart"/>
      <w:r>
        <w:t>išaiškėja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garantiniam</w:t>
      </w:r>
      <w:proofErr w:type="spellEnd"/>
      <w:r>
        <w:t xml:space="preserve"> </w:t>
      </w:r>
      <w:proofErr w:type="spellStart"/>
      <w:r>
        <w:t>terminui</w:t>
      </w:r>
      <w:proofErr w:type="spellEnd"/>
      <w:r>
        <w:t xml:space="preserve">, o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,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atsiradusius</w:t>
      </w:r>
      <w:proofErr w:type="spellEnd"/>
      <w:r>
        <w:t xml:space="preserve"> </w:t>
      </w:r>
      <w:proofErr w:type="spellStart"/>
      <w:r>
        <w:t>defektus</w:t>
      </w:r>
      <w:proofErr w:type="spellEnd"/>
      <w:r>
        <w:t xml:space="preserve"> </w:t>
      </w:r>
      <w:proofErr w:type="spellStart"/>
      <w:r>
        <w:t>ištaiso</w:t>
      </w:r>
      <w:proofErr w:type="spellEnd"/>
      <w:r>
        <w:t xml:space="preserve"> pats (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paties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>).</w:t>
      </w:r>
      <w: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t xml:space="preserve"> </w:t>
      </w:r>
    </w:p>
    <w:p w:rsidR="00995291" w:rsidRDefault="00D9288E">
      <w:pPr>
        <w:pStyle w:val="Heading2"/>
        <w:spacing w:after="18"/>
        <w:ind w:left="11"/>
      </w:pPr>
      <w:r>
        <w:t>5. ŠALIŲ ATSAKOMYBĖ</w:t>
      </w:r>
      <w:r>
        <w:t xml:space="preserve"> </w:t>
      </w:r>
    </w:p>
    <w:p w:rsidR="00995291" w:rsidRDefault="00D9288E">
      <w:pPr>
        <w:spacing w:after="15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ind w:left="11" w:right="59"/>
      </w:pPr>
      <w:r>
        <w:t xml:space="preserve">5.1.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data </w:t>
      </w:r>
      <w:r>
        <w:rPr>
          <w:b/>
        </w:rPr>
        <w:t xml:space="preserve">2026 m. </w:t>
      </w:r>
      <w:proofErr w:type="spellStart"/>
      <w:r>
        <w:rPr>
          <w:b/>
        </w:rPr>
        <w:t>gegužės</w:t>
      </w:r>
      <w:proofErr w:type="spellEnd"/>
      <w:r>
        <w:rPr>
          <w:b/>
        </w:rPr>
        <w:t xml:space="preserve"> 31 d.</w:t>
      </w:r>
      <w:r>
        <w:t xml:space="preserve"> </w:t>
      </w:r>
      <w:proofErr w:type="spellStart"/>
      <w:r>
        <w:t>konkreti</w:t>
      </w:r>
      <w:proofErr w:type="spellEnd"/>
      <w:r>
        <w:t xml:space="preserve"> </w:t>
      </w:r>
      <w:proofErr w:type="spellStart"/>
      <w:r>
        <w:t>įrengimo</w:t>
      </w:r>
      <w:proofErr w:type="spellEnd"/>
      <w:r>
        <w:t xml:space="preserve"> data </w:t>
      </w:r>
      <w:proofErr w:type="spellStart"/>
      <w:r>
        <w:t>suderinama</w:t>
      </w:r>
      <w:proofErr w:type="spellEnd"/>
      <w:r>
        <w:t xml:space="preserve"> </w:t>
      </w:r>
      <w:proofErr w:type="spellStart"/>
      <w:r>
        <w:t>tarpusavyje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5.2.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delsęs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moka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0,</w:t>
      </w:r>
      <w:r>
        <w:t>0</w:t>
      </w:r>
      <w:r>
        <w:t xml:space="preserve">2 %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. </w:t>
      </w:r>
      <w:r>
        <w:t xml:space="preserve"> </w:t>
      </w:r>
    </w:p>
    <w:p w:rsidR="00995291" w:rsidRDefault="00D9288E">
      <w:pPr>
        <w:ind w:left="11" w:right="59"/>
      </w:pPr>
      <w:r>
        <w:t xml:space="preserve">5.3. </w:t>
      </w:r>
      <w:proofErr w:type="spellStart"/>
      <w:r>
        <w:t>Pavėluotai</w:t>
      </w:r>
      <w:proofErr w:type="spellEnd"/>
      <w:r>
        <w:t xml:space="preserve"> </w:t>
      </w:r>
      <w:proofErr w:type="spellStart"/>
      <w:r>
        <w:t>atlikus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Ra</w:t>
      </w:r>
      <w:r>
        <w:t>ngovas</w:t>
      </w:r>
      <w:proofErr w:type="spellEnd"/>
      <w:r>
        <w:t xml:space="preserve"> </w:t>
      </w:r>
      <w:proofErr w:type="spellStart"/>
      <w:r>
        <w:t>moka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0,</w:t>
      </w:r>
      <w:r>
        <w:t>0</w:t>
      </w:r>
      <w:r>
        <w:t xml:space="preserve">2 %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5.4.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moka</w:t>
      </w:r>
      <w:proofErr w:type="spellEnd"/>
      <w:r>
        <w:t xml:space="preserve"> </w:t>
      </w:r>
      <w:proofErr w:type="spellStart"/>
      <w:r>
        <w:t>pervesdamos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į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sąskaitas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5.5.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įsipareigoj</w:t>
      </w:r>
      <w:r>
        <w:t>imų</w:t>
      </w:r>
      <w:proofErr w:type="spellEnd"/>
      <w:r>
        <w:t xml:space="preserve"> </w:t>
      </w:r>
      <w:proofErr w:type="spellStart"/>
      <w:r>
        <w:t>apibrėžtų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5.6.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piktybiškai</w:t>
      </w:r>
      <w:proofErr w:type="spellEnd"/>
      <w:r>
        <w:t xml:space="preserve"> </w:t>
      </w:r>
      <w:proofErr w:type="spellStart"/>
      <w:r>
        <w:t>neatsiskaito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tai </w:t>
      </w:r>
      <w:proofErr w:type="spellStart"/>
      <w:r>
        <w:t>susidariusi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perduodama</w:t>
      </w:r>
      <w:proofErr w:type="spellEnd"/>
      <w:r>
        <w:t xml:space="preserve"> </w:t>
      </w:r>
      <w:proofErr w:type="spellStart"/>
      <w:r>
        <w:t>skolų</w:t>
      </w:r>
      <w:proofErr w:type="spellEnd"/>
      <w:r>
        <w:t xml:space="preserve"> </w:t>
      </w:r>
      <w:proofErr w:type="spellStart"/>
      <w:r>
        <w:t>išieškojimui</w:t>
      </w:r>
      <w:proofErr w:type="spellEnd"/>
      <w:r>
        <w:t xml:space="preserve">. Visas </w:t>
      </w:r>
      <w:proofErr w:type="spellStart"/>
      <w:r>
        <w:t>skolos</w:t>
      </w:r>
      <w:proofErr w:type="spellEnd"/>
      <w:r>
        <w:t xml:space="preserve"> </w:t>
      </w:r>
      <w:proofErr w:type="spellStart"/>
      <w:r>
        <w:t>išieškojimo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padengia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. </w:t>
      </w:r>
      <w:r>
        <w:rPr>
          <w:b/>
        </w:rPr>
        <w:t xml:space="preserve"> </w:t>
      </w:r>
    </w:p>
    <w:p w:rsidR="00995291" w:rsidRDefault="00D9288E">
      <w:pPr>
        <w:spacing w:after="20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pStyle w:val="Heading2"/>
        <w:ind w:left="11"/>
      </w:pPr>
      <w:r>
        <w:t xml:space="preserve">6. KITOS NUOSTATOS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ind w:left="11" w:right="59"/>
      </w:pPr>
      <w:r>
        <w:t xml:space="preserve">6.1.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ginčai</w:t>
      </w:r>
      <w:proofErr w:type="spellEnd"/>
      <w:r>
        <w:t xml:space="preserve">, </w:t>
      </w:r>
      <w:proofErr w:type="spellStart"/>
      <w:r>
        <w:t>kylantys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.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susitarti</w:t>
      </w:r>
      <w:proofErr w:type="spellEnd"/>
      <w:r>
        <w:t xml:space="preserve">, </w:t>
      </w:r>
      <w:proofErr w:type="spellStart"/>
      <w:r>
        <w:t>ginčo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bet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iniciatyva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perduotas</w:t>
      </w:r>
      <w:proofErr w:type="spellEnd"/>
      <w:r>
        <w:t xml:space="preserve"> </w:t>
      </w:r>
      <w:proofErr w:type="spellStart"/>
      <w:r>
        <w:t>spręsti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teismui</w:t>
      </w:r>
      <w:proofErr w:type="spellEnd"/>
      <w:r>
        <w:t xml:space="preserve">,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. </w:t>
      </w:r>
      <w:r>
        <w:t xml:space="preserve"> </w:t>
      </w:r>
    </w:p>
    <w:p w:rsidR="00995291" w:rsidRDefault="00D9288E">
      <w:pPr>
        <w:ind w:left="11" w:right="59"/>
      </w:pPr>
      <w:r>
        <w:t xml:space="preserve">6.2.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</w:t>
      </w:r>
      <w:r>
        <w:t>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pakeista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papildyta</w:t>
      </w:r>
      <w:proofErr w:type="spellEnd"/>
      <w:r>
        <w:t xml:space="preserve"> </w:t>
      </w:r>
      <w:proofErr w:type="spellStart"/>
      <w:r>
        <w:t>atskiru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papildymai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6.3.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pratęsta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pataisyta</w:t>
      </w:r>
      <w:proofErr w:type="spellEnd"/>
      <w:r>
        <w:t xml:space="preserve"> </w:t>
      </w:r>
      <w:proofErr w:type="spellStart"/>
      <w:r>
        <w:t>abipusiu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tiksliai</w:t>
      </w:r>
      <w:proofErr w:type="spellEnd"/>
      <w:r>
        <w:t xml:space="preserve"> </w:t>
      </w:r>
      <w:proofErr w:type="spellStart"/>
      <w:r>
        <w:t>apibrėžtus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6.4.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perleisti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trečiai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be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>6.5.</w:t>
      </w:r>
      <w:r>
        <w:rPr>
          <w:b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, </w:t>
      </w:r>
      <w:proofErr w:type="spellStart"/>
      <w:r>
        <w:t>kylančių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įvykdymo</w:t>
      </w:r>
      <w:proofErr w:type="spellEnd"/>
      <w:r>
        <w:t>.</w:t>
      </w:r>
      <w:r>
        <w:t xml:space="preserve"> </w:t>
      </w:r>
    </w:p>
    <w:p w:rsidR="00995291" w:rsidRDefault="00D9288E">
      <w:pPr>
        <w:ind w:left="11" w:right="59"/>
      </w:pPr>
      <w:r>
        <w:t xml:space="preserve">6.6.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 </w:t>
      </w:r>
      <w:r>
        <w:t xml:space="preserve">-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kiekvienai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rPr>
          <w:color w:val="000000"/>
        </w:rPr>
        <w:t xml:space="preserve">. </w:t>
      </w:r>
    </w:p>
    <w:p w:rsidR="00995291" w:rsidRDefault="00D9288E">
      <w:pPr>
        <w:spacing w:after="0" w:line="276" w:lineRule="auto"/>
        <w:ind w:left="16" w:right="63" w:firstLine="0"/>
      </w:pPr>
      <w:r>
        <w:rPr>
          <w:color w:val="000000"/>
        </w:rPr>
        <w:t xml:space="preserve">6.7. </w:t>
      </w:r>
      <w:proofErr w:type="spellStart"/>
      <w:r>
        <w:rPr>
          <w:color w:val="000000"/>
        </w:rPr>
        <w:t>Šalys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atleidžiamos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atsakomybės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sutarties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sąlygų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nevykdymas</w:t>
      </w:r>
      <w:proofErr w:type="spellEnd"/>
      <w:r>
        <w:rPr>
          <w:color w:val="000000"/>
        </w:rPr>
        <w:t xml:space="preserve"> bus </w:t>
      </w:r>
      <w:r>
        <w:rPr>
          <w:i/>
          <w:color w:val="000000"/>
        </w:rPr>
        <w:t xml:space="preserve">Force- </w:t>
      </w:r>
      <w:r>
        <w:rPr>
          <w:i/>
          <w:color w:val="000000"/>
        </w:rPr>
        <w:t xml:space="preserve">majeure </w:t>
      </w:r>
      <w:proofErr w:type="spellStart"/>
      <w:r>
        <w:rPr>
          <w:color w:val="000000"/>
        </w:rPr>
        <w:t>aplinkybių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pasekmė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galiojančius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atleidimo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atsakomybės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nenugalimos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jėgos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>Force- majeure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aplinkybėms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taisyklės</w:t>
      </w:r>
      <w:proofErr w:type="spellEnd"/>
      <w:r>
        <w:rPr>
          <w:color w:val="000000"/>
        </w:rPr>
        <w:t>.</w:t>
      </w:r>
      <w:r>
        <w:rPr>
          <w:b/>
        </w:rPr>
        <w:t xml:space="preserve"> </w:t>
      </w:r>
    </w:p>
    <w:p w:rsidR="00995291" w:rsidRDefault="00D9288E">
      <w:pPr>
        <w:spacing w:after="16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pStyle w:val="Heading2"/>
        <w:spacing w:after="18"/>
        <w:ind w:left="11"/>
      </w:pPr>
      <w:r>
        <w:t>7. JURIDINIAI ŠALIŲ ADRESAI IR PARAŠAI</w:t>
      </w:r>
      <w:r>
        <w:t xml:space="preserve"> </w:t>
      </w:r>
    </w:p>
    <w:p w:rsidR="00995291" w:rsidRDefault="00D9288E">
      <w:pPr>
        <w:spacing w:after="0" w:line="259" w:lineRule="auto"/>
        <w:ind w:left="1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39" w:type="dxa"/>
        <w:tblInd w:w="-92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696"/>
        <w:gridCol w:w="1008"/>
        <w:gridCol w:w="2693"/>
        <w:gridCol w:w="408"/>
      </w:tblGrid>
      <w:tr w:rsidR="00995291">
        <w:trPr>
          <w:trHeight w:val="240"/>
        </w:trPr>
        <w:tc>
          <w:tcPr>
            <w:tcW w:w="4534" w:type="dxa"/>
            <w:tcBorders>
              <w:top w:val="single" w:sz="3" w:space="0" w:color="000001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rPr>
                <w:b/>
              </w:rPr>
              <w:t>Rangovas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397" w:type="dxa"/>
            <w:gridSpan w:val="3"/>
            <w:tcBorders>
              <w:top w:val="single" w:sz="3" w:space="0" w:color="000001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rPr>
                <w:b/>
              </w:rPr>
              <w:t>Užsakovas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08" w:type="dxa"/>
            <w:vMerge w:val="restart"/>
            <w:tcBorders>
              <w:top w:val="nil"/>
              <w:left w:val="single" w:sz="3" w:space="0" w:color="000001"/>
              <w:bottom w:val="single" w:sz="10" w:space="0" w:color="FAFAFA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308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  <w:color w:val="000000"/>
              </w:rPr>
              <w:t>MB „</w:t>
            </w:r>
            <w:proofErr w:type="spellStart"/>
            <w:r>
              <w:rPr>
                <w:b/>
                <w:color w:val="000000"/>
              </w:rPr>
              <w:t>Selduva</w:t>
            </w:r>
            <w:proofErr w:type="spellEnd"/>
            <w:r>
              <w:rPr>
                <w:b/>
                <w:color w:val="000000"/>
              </w:rPr>
              <w:t>“</w:t>
            </w:r>
            <w:r>
              <w:t xml:space="preserve">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rPr>
                <w:b/>
              </w:rPr>
              <w:t>Vilniaus</w:t>
            </w:r>
            <w:proofErr w:type="spellEnd"/>
            <w:r>
              <w:rPr>
                <w:b/>
              </w:rPr>
              <w:t xml:space="preserve"> r. </w:t>
            </w:r>
            <w:proofErr w:type="spellStart"/>
            <w:r>
              <w:rPr>
                <w:b/>
              </w:rPr>
              <w:t>Valčiūnų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vaikų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lopšelis-darželis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1121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  <w:vAlign w:val="center"/>
          </w:tcPr>
          <w:p w:rsidR="00995291" w:rsidRDefault="00D9288E">
            <w:pPr>
              <w:spacing w:after="0" w:line="259" w:lineRule="auto"/>
              <w:ind w:left="92" w:right="1522" w:firstLine="0"/>
              <w:jc w:val="left"/>
            </w:pPr>
            <w:proofErr w:type="spellStart"/>
            <w:r>
              <w:t>Giedraičių</w:t>
            </w:r>
            <w:proofErr w:type="spellEnd"/>
            <w:r>
              <w:t xml:space="preserve"> g. 100</w:t>
            </w:r>
            <w:r>
              <w:t xml:space="preserve">-25, Vilnius Tel.: +37060311011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  <w:vAlign w:val="center"/>
          </w:tcPr>
          <w:p w:rsidR="00995291" w:rsidRDefault="00D9288E">
            <w:pPr>
              <w:spacing w:after="10" w:line="259" w:lineRule="auto"/>
              <w:ind w:left="92" w:right="0" w:firstLine="0"/>
              <w:jc w:val="left"/>
            </w:pPr>
            <w:proofErr w:type="spellStart"/>
            <w:r>
              <w:rPr>
                <w:color w:val="212529"/>
              </w:rPr>
              <w:t>Geležinkeliečių</w:t>
            </w:r>
            <w:proofErr w:type="spellEnd"/>
            <w:r>
              <w:rPr>
                <w:color w:val="212529"/>
              </w:rPr>
              <w:t xml:space="preserve"> g. 13, </w:t>
            </w:r>
            <w:proofErr w:type="spellStart"/>
            <w:r>
              <w:rPr>
                <w:color w:val="212529"/>
              </w:rPr>
              <w:t>Valčiūnų</w:t>
            </w:r>
            <w:proofErr w:type="spellEnd"/>
            <w:r>
              <w:rPr>
                <w:color w:val="212529"/>
              </w:rPr>
              <w:t xml:space="preserve"> k., LT</w:t>
            </w:r>
            <w:r>
              <w:rPr>
                <w:color w:val="212529"/>
              </w:rPr>
              <w:t xml:space="preserve">-13222 </w:t>
            </w:r>
          </w:p>
          <w:p w:rsidR="00995291" w:rsidRDefault="00D9288E">
            <w:pPr>
              <w:tabs>
                <w:tab w:val="center" w:pos="302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-33524</wp:posOffset>
                      </wp:positionV>
                      <wp:extent cx="2665476" cy="296291"/>
                      <wp:effectExtent l="0" t="0" r="0" b="0"/>
                      <wp:wrapNone/>
                      <wp:docPr id="6971" name="Group 6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5476" cy="296291"/>
                                <a:chOff x="0" y="0"/>
                                <a:chExt cx="2665476" cy="296291"/>
                              </a:xfrm>
                            </wpg:grpSpPr>
                            <wps:wsp>
                              <wps:cNvPr id="8454" name="Shape 8454"/>
                              <wps:cNvSpPr/>
                              <wps:spPr>
                                <a:xfrm>
                                  <a:off x="523494" y="1333"/>
                                  <a:ext cx="299720" cy="1501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720" h="150178">
                                      <a:moveTo>
                                        <a:pt x="0" y="0"/>
                                      </a:moveTo>
                                      <a:lnTo>
                                        <a:pt x="299720" y="0"/>
                                      </a:lnTo>
                                      <a:lnTo>
                                        <a:pt x="299720" y="150178"/>
                                      </a:lnTo>
                                      <a:lnTo>
                                        <a:pt x="0" y="1501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39" name="Picture 43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1944" y="0"/>
                                  <a:ext cx="1036320" cy="12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55" name="Shape 8455"/>
                              <wps:cNvSpPr/>
                              <wps:spPr>
                                <a:xfrm>
                                  <a:off x="0" y="151511"/>
                                  <a:ext cx="2665476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5476" h="144780">
                                      <a:moveTo>
                                        <a:pt x="0" y="0"/>
                                      </a:moveTo>
                                      <a:lnTo>
                                        <a:pt x="2665476" y="0"/>
                                      </a:lnTo>
                                      <a:lnTo>
                                        <a:pt x="2665476" y="14478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6" name="Shape 8456"/>
                              <wps:cNvSpPr/>
                              <wps:spPr>
                                <a:xfrm>
                                  <a:off x="780034" y="151511"/>
                                  <a:ext cx="454978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4978" h="144780">
                                      <a:moveTo>
                                        <a:pt x="0" y="0"/>
                                      </a:moveTo>
                                      <a:lnTo>
                                        <a:pt x="454978" y="0"/>
                                      </a:lnTo>
                                      <a:lnTo>
                                        <a:pt x="454978" y="14478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971" style="width:209.88pt;height:23.33pt;position:absolute;z-index:-2147483509;mso-position-horizontal-relative:text;mso-position-horizontal:absolute;margin-left:4.60004pt;mso-position-vertical-relative:text;margin-top:-2.63977pt;" coordsize="26654,2962">
                      <v:shape id="Shape 8457" style="position:absolute;width:2997;height:1501;left:5234;top:13;" coordsize="299720,150178" path="m0,0l299720,0l299720,150178l0,150178l0,0">
                        <v:stroke weight="0pt" endcap="flat" joinstyle="miter" miterlimit="10" on="false" color="#000000" opacity="0"/>
                        <v:fill on="true" color="#fafafa"/>
                      </v:shape>
                      <v:shape id="Picture 439" style="position:absolute;width:10363;height:1244;left:8219;top:0;" filled="f">
                        <v:imagedata r:id="rId7"/>
                      </v:shape>
                      <v:shape id="Shape 8458" style="position:absolute;width:26654;height:1447;left:0;top:1515;" coordsize="2665476,144780" path="m0,0l2665476,0l2665476,144780l0,144780l0,0">
                        <v:stroke weight="0pt" endcap="flat" joinstyle="miter" miterlimit="10" on="false" color="#000000" opacity="0"/>
                        <v:fill on="true" color="#ffffff"/>
                      </v:shape>
                      <v:shape id="Shape 8459" style="position:absolute;width:4549;height:1447;left:7800;top:1515;" coordsize="454978,144780" path="m0,0l454978,0l454978,144780l0,144780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212529"/>
              </w:rPr>
              <w:t>Vilniaus</w:t>
            </w:r>
            <w:proofErr w:type="spellEnd"/>
            <w:r>
              <w:rPr>
                <w:color w:val="212529"/>
              </w:rPr>
              <w:t xml:space="preserve"> r</w:t>
            </w:r>
            <w:r>
              <w:rPr>
                <w:color w:val="000000"/>
              </w:rPr>
              <w:t xml:space="preserve"> Tel.: </w:t>
            </w:r>
            <w:r>
              <w:rPr>
                <w:color w:val="000000"/>
              </w:rPr>
              <w:tab/>
            </w:r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color w:val="0563C1"/>
              </w:rPr>
              <w:t xml:space="preserve">                      </w:t>
            </w:r>
            <w:r>
              <w:rPr>
                <w:color w:val="333333"/>
              </w:rPr>
              <w:t xml:space="preserve">            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258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>: 305148365</w:t>
            </w:r>
            <w:r>
              <w:t xml:space="preserve"> </w:t>
            </w:r>
          </w:p>
        </w:tc>
        <w:tc>
          <w:tcPr>
            <w:tcW w:w="696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nil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t>Įm</w:t>
            </w:r>
            <w:proofErr w:type="spellEnd"/>
            <w:r>
              <w:t xml:space="preserve">. k.: </w:t>
            </w:r>
          </w:p>
        </w:tc>
        <w:tc>
          <w:tcPr>
            <w:tcW w:w="1008" w:type="dxa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  <w:shd w:val="clear" w:color="auto" w:fill="F8F8F8"/>
          </w:tcPr>
          <w:p w:rsidR="00995291" w:rsidRDefault="00D9288E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212529"/>
              </w:rPr>
              <w:t>191326843</w:t>
            </w:r>
          </w:p>
        </w:tc>
        <w:tc>
          <w:tcPr>
            <w:tcW w:w="2693" w:type="dxa"/>
            <w:tcBorders>
              <w:top w:val="single" w:sz="2" w:space="0" w:color="FFFFFF"/>
              <w:left w:val="nil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single" w:sz="10" w:space="0" w:color="FAFAFA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233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PVM kodas.:LT100013531813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08" w:type="dxa"/>
            <w:vMerge w:val="restart"/>
            <w:tcBorders>
              <w:top w:val="single" w:sz="10" w:space="0" w:color="FAFAFA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240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A/s.: </w:t>
            </w:r>
            <w:r>
              <w:rPr>
                <w:color w:val="000000"/>
              </w:rPr>
              <w:t>LT93 7044 0600 0828 7559</w:t>
            </w:r>
            <w:r>
              <w:t xml:space="preserve">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240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t>Bankas</w:t>
            </w:r>
            <w:proofErr w:type="spellEnd"/>
            <w:r>
              <w:t xml:space="preserve">.: SEB </w:t>
            </w:r>
            <w:proofErr w:type="spellStart"/>
            <w:r>
              <w:t>bankas</w:t>
            </w:r>
            <w:proofErr w:type="spellEnd"/>
            <w:r>
              <w:t xml:space="preserve"> 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2" w:space="0" w:color="FFFFFF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5291">
        <w:trPr>
          <w:trHeight w:val="2602"/>
        </w:trPr>
        <w:tc>
          <w:tcPr>
            <w:tcW w:w="4534" w:type="dxa"/>
            <w:tcBorders>
              <w:top w:val="single" w:sz="2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97" w:type="dxa"/>
            <w:gridSpan w:val="3"/>
            <w:tcBorders>
              <w:top w:val="single" w:sz="2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t>Pareigos</w:t>
            </w:r>
            <w:proofErr w:type="spellEnd"/>
            <w:r>
              <w:t>/</w:t>
            </w:r>
            <w:proofErr w:type="spellStart"/>
            <w:r>
              <w:t>Parašas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proofErr w:type="spellStart"/>
            <w:r>
              <w:rPr>
                <w:b/>
              </w:rPr>
              <w:t>Direktorius</w:t>
            </w:r>
            <w:proofErr w:type="spellEnd"/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Irina </w:t>
            </w:r>
            <w:proofErr w:type="spellStart"/>
            <w:r>
              <w:rPr>
                <w:b/>
              </w:rPr>
              <w:t>Tomaševič</w:t>
            </w:r>
            <w:proofErr w:type="spellEnd"/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92" w:right="0" w:firstLine="0"/>
              <w:jc w:val="left"/>
            </w:pPr>
            <w:r>
              <w:t xml:space="preserve">A.V.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1"/>
              <w:bottom w:val="nil"/>
              <w:right w:val="nil"/>
            </w:tcBorders>
          </w:tcPr>
          <w:p w:rsidR="00995291" w:rsidRDefault="0099529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95291" w:rsidRDefault="00D9288E">
      <w:pPr>
        <w:spacing w:after="0" w:line="259" w:lineRule="auto"/>
        <w:ind w:left="16" w:right="0" w:firstLine="0"/>
        <w:jc w:val="left"/>
      </w:pPr>
      <w:r>
        <w:rPr>
          <w:b/>
          <w:sz w:val="16"/>
        </w:rPr>
        <w:t xml:space="preserve"> </w:t>
      </w:r>
    </w:p>
    <w:p w:rsidR="00995291" w:rsidRDefault="00D9288E">
      <w:pPr>
        <w:spacing w:after="0" w:line="259" w:lineRule="auto"/>
        <w:ind w:left="0" w:right="51" w:firstLine="0"/>
        <w:jc w:val="center"/>
      </w:pPr>
      <w:r>
        <w:rPr>
          <w:b/>
        </w:rPr>
        <w:t xml:space="preserve">PRIEDAS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 </w:t>
      </w:r>
    </w:p>
    <w:p w:rsidR="00995291" w:rsidRDefault="00D9288E">
      <w:pPr>
        <w:pStyle w:val="Heading2"/>
        <w:ind w:left="2527"/>
      </w:pPr>
      <w:proofErr w:type="spellStart"/>
      <w:r>
        <w:t>Priedas</w:t>
      </w:r>
      <w:proofErr w:type="spellEnd"/>
      <w:r>
        <w:t xml:space="preserve"> 2025 m. </w:t>
      </w:r>
      <w:proofErr w:type="spellStart"/>
      <w:r>
        <w:t>gruodžio</w:t>
      </w:r>
      <w:proofErr w:type="spellEnd"/>
      <w:r>
        <w:t xml:space="preserve"> 17 d.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SEL </w:t>
      </w:r>
      <w:r>
        <w:t>–</w:t>
      </w:r>
      <w:r>
        <w:t xml:space="preserve"> 202518 </w:t>
      </w:r>
    </w:p>
    <w:p w:rsidR="00995291" w:rsidRDefault="00D9288E">
      <w:pPr>
        <w:spacing w:after="0" w:line="259" w:lineRule="auto"/>
        <w:ind w:left="7" w:right="0" w:firstLine="0"/>
        <w:jc w:val="center"/>
      </w:pPr>
      <w:r>
        <w:rPr>
          <w:b/>
        </w:rPr>
        <w:t xml:space="preserve"> </w:t>
      </w:r>
    </w:p>
    <w:p w:rsidR="00995291" w:rsidRDefault="00D9288E">
      <w:pPr>
        <w:spacing w:after="0" w:line="259" w:lineRule="auto"/>
        <w:ind w:left="0" w:right="44" w:firstLine="0"/>
        <w:jc w:val="center"/>
      </w:pPr>
      <w:proofErr w:type="spellStart"/>
      <w:r>
        <w:rPr>
          <w:b/>
        </w:rPr>
        <w:lastRenderedPageBreak/>
        <w:t>Darbų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sąrašas</w:t>
      </w:r>
      <w:proofErr w:type="spellEnd"/>
      <w:r>
        <w:rPr>
          <w:b/>
        </w:rPr>
        <w:t xml:space="preserve">: </w:t>
      </w:r>
    </w:p>
    <w:p w:rsidR="00995291" w:rsidRDefault="00D9288E">
      <w:pPr>
        <w:spacing w:after="0" w:line="259" w:lineRule="auto"/>
        <w:ind w:left="12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071" w:type="dxa"/>
        <w:tblInd w:w="-96" w:type="dxa"/>
        <w:tblCellMar>
          <w:top w:w="48" w:type="dxa"/>
          <w:left w:w="9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33"/>
        <w:gridCol w:w="3433"/>
        <w:gridCol w:w="992"/>
        <w:gridCol w:w="848"/>
        <w:gridCol w:w="1137"/>
        <w:gridCol w:w="2128"/>
      </w:tblGrid>
      <w:tr w:rsidR="00995291">
        <w:trPr>
          <w:trHeight w:val="700"/>
        </w:trPr>
        <w:tc>
          <w:tcPr>
            <w:tcW w:w="533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Nr</w:t>
            </w:r>
            <w:proofErr w:type="spellEnd"/>
            <w: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</w:tcPr>
          <w:p w:rsidR="00995291" w:rsidRDefault="00D9288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t>Matas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</w:tcPr>
          <w:p w:rsidR="00995291" w:rsidRDefault="00D9288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56" w:right="0" w:firstLine="0"/>
              <w:jc w:val="left"/>
            </w:pPr>
            <w:proofErr w:type="spellStart"/>
            <w:r>
              <w:t>Kiekis</w:t>
            </w:r>
            <w:proofErr w:type="spellEnd"/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48" w:right="0" w:firstLine="0"/>
              <w:jc w:val="left"/>
            </w:pPr>
            <w:proofErr w:type="spellStart"/>
            <w:proofErr w:type="gramStart"/>
            <w:r>
              <w:t>Kaina</w:t>
            </w:r>
            <w:proofErr w:type="spellEnd"/>
            <w:r>
              <w:t xml:space="preserve">  </w:t>
            </w:r>
            <w:proofErr w:type="spellStart"/>
            <w:r>
              <w:t>su</w:t>
            </w:r>
            <w:proofErr w:type="spellEnd"/>
            <w:proofErr w:type="gramEnd"/>
            <w:r>
              <w:t xml:space="preserve"> </w:t>
            </w:r>
          </w:p>
          <w:p w:rsidR="00995291" w:rsidRDefault="00D9288E">
            <w:pPr>
              <w:spacing w:after="0" w:line="259" w:lineRule="auto"/>
              <w:ind w:left="12" w:right="0" w:firstLine="0"/>
            </w:pPr>
            <w:r>
              <w:t>PVM EUR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A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748" w:right="0" w:hanging="628"/>
              <w:jc w:val="left"/>
            </w:pP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EUR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95291">
        <w:trPr>
          <w:trHeight w:val="1084"/>
        </w:trPr>
        <w:tc>
          <w:tcPr>
            <w:tcW w:w="533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56" w:firstLine="0"/>
              <w:jc w:val="center"/>
            </w:pPr>
            <w:r>
              <w:t xml:space="preserve">1. </w:t>
            </w:r>
          </w:p>
        </w:tc>
        <w:tc>
          <w:tcPr>
            <w:tcW w:w="3433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</w:tcPr>
          <w:p w:rsidR="00995291" w:rsidRDefault="00D9288E">
            <w:pPr>
              <w:spacing w:after="4" w:line="274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T-A013A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Daugiafunkcinis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kompleksas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transportavimo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sumontavimo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darbais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95291" w:rsidRDefault="00D9288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Vnt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  <w:r>
              <w:t xml:space="preserve"> </w:t>
            </w:r>
          </w:p>
        </w:tc>
        <w:tc>
          <w:tcPr>
            <w:tcW w:w="848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t xml:space="preserve"> </w:t>
            </w:r>
          </w:p>
        </w:tc>
        <w:tc>
          <w:tcPr>
            <w:tcW w:w="1137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7334,53</w:t>
            </w:r>
            <w:r>
              <w:t xml:space="preserve"> </w:t>
            </w:r>
          </w:p>
        </w:tc>
        <w:tc>
          <w:tcPr>
            <w:tcW w:w="2128" w:type="dxa"/>
            <w:tcBorders>
              <w:top w:val="single" w:sz="2" w:space="0" w:color="FFFFFF"/>
              <w:left w:val="single" w:sz="3" w:space="0" w:color="00000A"/>
              <w:bottom w:val="single" w:sz="2" w:space="0" w:color="FFFFFF"/>
              <w:right w:val="single" w:sz="3" w:space="0" w:color="00000A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7334,53</w:t>
            </w:r>
            <w:r>
              <w:t xml:space="preserve"> </w:t>
            </w:r>
          </w:p>
        </w:tc>
      </w:tr>
      <w:tr w:rsidR="00995291">
        <w:trPr>
          <w:trHeight w:val="582"/>
        </w:trPr>
        <w:tc>
          <w:tcPr>
            <w:tcW w:w="533" w:type="dxa"/>
            <w:tcBorders>
              <w:top w:val="single" w:sz="2" w:space="0" w:color="FFFFFF"/>
              <w:left w:val="nil"/>
              <w:bottom w:val="nil"/>
              <w:right w:val="nil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3433" w:type="dxa"/>
            <w:tcBorders>
              <w:top w:val="single" w:sz="2" w:space="0" w:color="FFFFFF"/>
              <w:left w:val="nil"/>
              <w:bottom w:val="nil"/>
              <w:right w:val="nil"/>
            </w:tcBorders>
            <w:vAlign w:val="center"/>
          </w:tcPr>
          <w:p w:rsidR="00995291" w:rsidRDefault="00D9288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FFFFFF"/>
              <w:left w:val="nil"/>
              <w:bottom w:val="nil"/>
              <w:right w:val="nil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2" w:space="0" w:color="FFFFFF"/>
              <w:left w:val="nil"/>
              <w:bottom w:val="nil"/>
              <w:right w:val="nil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FFFFFF"/>
              <w:left w:val="nil"/>
              <w:bottom w:val="nil"/>
              <w:right w:val="single" w:sz="3" w:space="0" w:color="000000"/>
            </w:tcBorders>
          </w:tcPr>
          <w:p w:rsidR="00995291" w:rsidRDefault="00D9288E">
            <w:pPr>
              <w:spacing w:after="0" w:line="259" w:lineRule="auto"/>
              <w:ind w:left="0" w:right="57" w:firstLine="0"/>
              <w:jc w:val="righ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Viso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95291" w:rsidRDefault="00D9288E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PVM </w:t>
            </w:r>
          </w:p>
        </w:tc>
        <w:tc>
          <w:tcPr>
            <w:tcW w:w="2128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91" w:rsidRDefault="00D9288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7334,53 </w:t>
            </w:r>
          </w:p>
        </w:tc>
      </w:tr>
    </w:tbl>
    <w:p w:rsidR="00995291" w:rsidRPr="00D9288E" w:rsidRDefault="00D9288E">
      <w:pPr>
        <w:spacing w:after="16" w:line="259" w:lineRule="auto"/>
        <w:ind w:left="16" w:right="0" w:firstLine="0"/>
        <w:jc w:val="left"/>
        <w:rPr>
          <w:lang w:val="pl-PL"/>
        </w:rPr>
      </w:pPr>
      <w:r w:rsidRPr="00D9288E">
        <w:rPr>
          <w:lang w:val="pl-PL"/>
        </w:rPr>
        <w:t xml:space="preserve"> </w:t>
      </w:r>
    </w:p>
    <w:p w:rsidR="00995291" w:rsidRPr="00D9288E" w:rsidRDefault="00D9288E">
      <w:pPr>
        <w:ind w:left="11" w:right="59"/>
        <w:rPr>
          <w:lang w:val="pl-PL"/>
        </w:rPr>
      </w:pPr>
      <w:r w:rsidRPr="00D9288E">
        <w:rPr>
          <w:lang w:val="pl-PL"/>
        </w:rPr>
        <w:t xml:space="preserve">Bendra </w:t>
      </w:r>
      <w:r w:rsidRPr="00D9288E">
        <w:rPr>
          <w:lang w:val="pl-PL"/>
        </w:rPr>
        <w:t>darbų</w:t>
      </w:r>
      <w:r w:rsidRPr="00D9288E">
        <w:rPr>
          <w:b/>
          <w:lang w:val="pl-PL"/>
        </w:rPr>
        <w:t xml:space="preserve"> </w:t>
      </w:r>
      <w:r w:rsidRPr="00D9288E">
        <w:rPr>
          <w:lang w:val="pl-PL"/>
        </w:rPr>
        <w:t>kaina :</w:t>
      </w:r>
      <w:r w:rsidRPr="00D9288E">
        <w:rPr>
          <w:b/>
          <w:lang w:val="pl-PL"/>
        </w:rPr>
        <w:t xml:space="preserve"> </w:t>
      </w:r>
      <w:r w:rsidRPr="00D9288E">
        <w:rPr>
          <w:b/>
          <w:lang w:val="pl-PL"/>
        </w:rPr>
        <w:t>7 334,63 EUR 00 ct.</w:t>
      </w:r>
      <w:r w:rsidRPr="00D9288E">
        <w:rPr>
          <w:lang w:val="pl-PL"/>
        </w:rPr>
        <w:t xml:space="preserve"> </w:t>
      </w:r>
      <w:r w:rsidRPr="00D9288E">
        <w:rPr>
          <w:lang w:val="pl-PL"/>
        </w:rPr>
        <w:t xml:space="preserve">(septyni tūkstančiai trys šimtai trisdešimt keturi eur. ir 63 ct.) </w:t>
      </w:r>
      <w:r w:rsidRPr="00D9288E">
        <w:rPr>
          <w:lang w:val="pl-PL"/>
        </w:rPr>
        <w:t xml:space="preserve">su PVM </w:t>
      </w:r>
    </w:p>
    <w:p w:rsidR="00995291" w:rsidRPr="00D9288E" w:rsidRDefault="00D9288E">
      <w:pPr>
        <w:spacing w:after="16" w:line="259" w:lineRule="auto"/>
        <w:ind w:left="16" w:right="0" w:firstLine="0"/>
        <w:jc w:val="left"/>
        <w:rPr>
          <w:lang w:val="pl-PL"/>
        </w:rPr>
      </w:pPr>
      <w:r w:rsidRPr="00D9288E">
        <w:rPr>
          <w:lang w:val="pl-PL"/>
        </w:rPr>
        <w:t xml:space="preserve"> </w:t>
      </w:r>
    </w:p>
    <w:p w:rsidR="00995291" w:rsidRDefault="00D9288E">
      <w:pPr>
        <w:spacing w:after="18" w:line="259" w:lineRule="auto"/>
        <w:ind w:left="11" w:right="0"/>
        <w:jc w:val="left"/>
      </w:pPr>
      <w:r>
        <w:rPr>
          <w:b/>
        </w:rPr>
        <w:t xml:space="preserve">JURIDINIAI ŠALIŲ ADRESAI IR PARAŠAI: </w:t>
      </w:r>
    </w:p>
    <w:p w:rsidR="00995291" w:rsidRDefault="00D9288E">
      <w:pPr>
        <w:spacing w:after="0" w:line="259" w:lineRule="auto"/>
        <w:ind w:left="16" w:right="0" w:firstLine="0"/>
        <w:jc w:val="left"/>
      </w:pPr>
      <w:r>
        <w:rPr>
          <w:b/>
        </w:rPr>
        <w:t xml:space="preserve"> </w:t>
      </w:r>
    </w:p>
    <w:p w:rsidR="00995291" w:rsidRDefault="00D9288E">
      <w:pPr>
        <w:spacing w:after="0" w:line="259" w:lineRule="auto"/>
        <w:ind w:left="-106" w:right="0" w:firstLine="0"/>
        <w:jc w:val="left"/>
      </w:pPr>
      <w:bookmarkStart w:id="0" w:name="_GoBack"/>
      <w:bookmarkEnd w:id="0"/>
      <w:r>
        <w:t xml:space="preserve"> </w:t>
      </w:r>
    </w:p>
    <w:p w:rsidR="00995291" w:rsidRDefault="00D9288E">
      <w:pPr>
        <w:spacing w:after="0" w:line="259" w:lineRule="auto"/>
        <w:ind w:left="16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95291">
      <w:pgSz w:w="11908" w:h="16836"/>
      <w:pgMar w:top="720" w:right="655" w:bottom="890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267"/>
    <w:multiLevelType w:val="hybridMultilevel"/>
    <w:tmpl w:val="A86EF862"/>
    <w:lvl w:ilvl="0" w:tplc="7460FA9E">
      <w:start w:val="3"/>
      <w:numFmt w:val="decimal"/>
      <w:lvlText w:val="%1."/>
      <w:lvlJc w:val="left"/>
      <w:pPr>
        <w:ind w:left="225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4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9E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EE2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8A6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E93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41C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E28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5A22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91"/>
    <w:rsid w:val="00995291"/>
    <w:rsid w:val="00D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60B44-B733-44DC-BB12-E2318AB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0" w:lineRule="auto"/>
      <w:ind w:left="26" w:right="62" w:hanging="10"/>
      <w:jc w:val="both"/>
    </w:pPr>
    <w:rPr>
      <w:rFonts w:ascii="Arial" w:eastAsia="Arial" w:hAnsi="Arial" w:cs="Arial"/>
      <w:color w:val="00000A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"/>
      <w:ind w:left="26" w:hanging="10"/>
      <w:outlineLvl w:val="0"/>
    </w:pPr>
    <w:rPr>
      <w:rFonts w:ascii="Arial" w:eastAsia="Arial" w:hAnsi="Arial" w:cs="Arial"/>
      <w:b/>
      <w:color w:val="00000A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/>
      <w:ind w:left="26" w:hanging="10"/>
      <w:outlineLvl w:val="1"/>
    </w:pPr>
    <w:rPr>
      <w:rFonts w:ascii="Arial" w:eastAsia="Arial" w:hAnsi="Arial" w:cs="Arial"/>
      <w:b/>
      <w:color w:val="00000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A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A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- PARDAVIMO SUTARTIS  Nr</dc:title>
  <dc:subject/>
  <dc:creator>MEM</dc:creator>
  <cp:keywords/>
  <cp:lastModifiedBy>Liudmila</cp:lastModifiedBy>
  <cp:revision>2</cp:revision>
  <dcterms:created xsi:type="dcterms:W3CDTF">2025-12-18T13:20:00Z</dcterms:created>
  <dcterms:modified xsi:type="dcterms:W3CDTF">2025-12-18T13:20:00Z</dcterms:modified>
</cp:coreProperties>
</file>