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85" w:rsidRPr="00430B04" w:rsidRDefault="00EF4D85" w:rsidP="00BE5187">
      <w:pPr>
        <w:rPr>
          <w:rStyle w:val="Rykuspabrauktasis"/>
        </w:rPr>
      </w:pPr>
    </w:p>
    <w:p w:rsidR="00EF4D85" w:rsidRPr="00264142" w:rsidRDefault="00EF4D85" w:rsidP="00BE5187">
      <w:pPr>
        <w:jc w:val="center"/>
        <w:rPr>
          <w:b/>
          <w:szCs w:val="24"/>
        </w:rPr>
      </w:pPr>
      <w:r w:rsidRPr="00264142">
        <w:rPr>
          <w:b/>
          <w:szCs w:val="24"/>
        </w:rPr>
        <w:t>PIRKIMO – PARDAVIMO SUTARTIS Nr. LS-</w:t>
      </w:r>
      <w:r w:rsidR="00D7273A">
        <w:rPr>
          <w:b/>
          <w:szCs w:val="24"/>
        </w:rPr>
        <w:t>74</w:t>
      </w:r>
    </w:p>
    <w:p w:rsidR="00EF4D85" w:rsidRPr="00264142" w:rsidRDefault="00EF4D85" w:rsidP="00BE5187">
      <w:pPr>
        <w:jc w:val="center"/>
        <w:rPr>
          <w:szCs w:val="24"/>
        </w:rPr>
      </w:pPr>
    </w:p>
    <w:p w:rsidR="00EF4D85" w:rsidRPr="00264142" w:rsidRDefault="00EF4D85" w:rsidP="00BE5187">
      <w:pPr>
        <w:jc w:val="center"/>
        <w:rPr>
          <w:szCs w:val="24"/>
        </w:rPr>
      </w:pPr>
      <w:r w:rsidRPr="00264142">
        <w:rPr>
          <w:szCs w:val="24"/>
        </w:rPr>
        <w:t>202</w:t>
      </w:r>
      <w:r w:rsidR="0026029D">
        <w:rPr>
          <w:szCs w:val="24"/>
        </w:rPr>
        <w:t>5</w:t>
      </w:r>
      <w:r w:rsidRPr="00264142">
        <w:rPr>
          <w:szCs w:val="24"/>
        </w:rPr>
        <w:t xml:space="preserve"> m. </w:t>
      </w:r>
      <w:r w:rsidR="0026029D">
        <w:rPr>
          <w:szCs w:val="24"/>
        </w:rPr>
        <w:t>liepos</w:t>
      </w:r>
      <w:r w:rsidRPr="00264142">
        <w:rPr>
          <w:szCs w:val="24"/>
        </w:rPr>
        <w:t xml:space="preserve"> mėn. </w:t>
      </w:r>
      <w:r w:rsidR="00D06613">
        <w:rPr>
          <w:szCs w:val="24"/>
        </w:rPr>
        <w:t>9</w:t>
      </w:r>
      <w:r w:rsidRPr="00264142">
        <w:rPr>
          <w:szCs w:val="24"/>
        </w:rPr>
        <w:t xml:space="preserve"> d.</w:t>
      </w:r>
    </w:p>
    <w:p w:rsidR="00EF4D85" w:rsidRPr="00264142" w:rsidRDefault="00EF4D85" w:rsidP="00BE5187">
      <w:pPr>
        <w:jc w:val="center"/>
        <w:rPr>
          <w:szCs w:val="24"/>
        </w:rPr>
      </w:pPr>
      <w:r w:rsidRPr="00264142">
        <w:rPr>
          <w:szCs w:val="24"/>
        </w:rPr>
        <w:t>Alytus</w:t>
      </w:r>
    </w:p>
    <w:p w:rsidR="00EF4D85" w:rsidRPr="00264142" w:rsidRDefault="00EF4D85" w:rsidP="00BE5187">
      <w:pPr>
        <w:jc w:val="both"/>
        <w:rPr>
          <w:szCs w:val="24"/>
        </w:rPr>
      </w:pPr>
    </w:p>
    <w:p w:rsidR="00EF4D85" w:rsidRPr="00264142" w:rsidRDefault="00EF4D85" w:rsidP="00BE5187">
      <w:pPr>
        <w:jc w:val="both"/>
        <w:rPr>
          <w:szCs w:val="24"/>
        </w:rPr>
      </w:pPr>
      <w:r w:rsidRPr="00264142">
        <w:rPr>
          <w:b/>
          <w:szCs w:val="24"/>
        </w:rPr>
        <w:t>UAB “D</w:t>
      </w:r>
      <w:r w:rsidR="002A66FB" w:rsidRPr="00264142">
        <w:rPr>
          <w:b/>
          <w:szCs w:val="24"/>
        </w:rPr>
        <w:t>iagnostinės sistemos</w:t>
      </w:r>
      <w:r w:rsidRPr="00264142">
        <w:rPr>
          <w:b/>
          <w:szCs w:val="24"/>
        </w:rPr>
        <w:t>”,</w:t>
      </w:r>
      <w:r w:rsidRPr="00264142">
        <w:rPr>
          <w:szCs w:val="24"/>
        </w:rPr>
        <w:t xml:space="preserve">  toliau  vadinama  </w:t>
      </w:r>
      <w:r w:rsidRPr="00264142">
        <w:rPr>
          <w:b/>
          <w:szCs w:val="24"/>
        </w:rPr>
        <w:t xml:space="preserve">„Pardavėju“, </w:t>
      </w:r>
      <w:r w:rsidRPr="00264142">
        <w:rPr>
          <w:szCs w:val="24"/>
        </w:rPr>
        <w:t>juridinio asmens kodas</w:t>
      </w:r>
      <w:r w:rsidR="002A66FB" w:rsidRPr="00264142">
        <w:rPr>
          <w:szCs w:val="24"/>
        </w:rPr>
        <w:t xml:space="preserve"> 122263421</w:t>
      </w:r>
      <w:r w:rsidRPr="00264142">
        <w:rPr>
          <w:szCs w:val="24"/>
          <w:shd w:val="clear" w:color="auto" w:fill="FFFFFF"/>
        </w:rPr>
        <w:t xml:space="preserve">, </w:t>
      </w:r>
      <w:r w:rsidRPr="00264142">
        <w:rPr>
          <w:szCs w:val="24"/>
        </w:rPr>
        <w:t>atstovaujama direktoriaus</w:t>
      </w:r>
      <w:r w:rsidR="0026029D">
        <w:rPr>
          <w:szCs w:val="24"/>
        </w:rPr>
        <w:t xml:space="preserve"> </w:t>
      </w:r>
      <w:r w:rsidR="00264142" w:rsidRPr="00264142">
        <w:rPr>
          <w:szCs w:val="24"/>
        </w:rPr>
        <w:t>prof. Juliaus Ptašeko</w:t>
      </w:r>
      <w:r w:rsidRPr="00264142">
        <w:rPr>
          <w:szCs w:val="24"/>
        </w:rPr>
        <w:t xml:space="preserve">, veikiančio pagal bendrovės įstatus, ir VšĮ Alytaus apskrities S. Kudirkos ligoninė, toliau vadinama </w:t>
      </w:r>
      <w:r w:rsidRPr="00264142">
        <w:rPr>
          <w:b/>
          <w:szCs w:val="24"/>
        </w:rPr>
        <w:t>„Pirkėju“</w:t>
      </w:r>
      <w:r w:rsidRPr="00264142">
        <w:rPr>
          <w:szCs w:val="24"/>
        </w:rPr>
        <w:t xml:space="preserve">, juridinio asmens kodas 190272175, atstovaujama direktoriaus </w:t>
      </w:r>
      <w:r w:rsidR="000D0F72">
        <w:rPr>
          <w:szCs w:val="24"/>
        </w:rPr>
        <w:t>Svajūno Žukausko</w:t>
      </w:r>
      <w:r w:rsidRPr="00264142">
        <w:rPr>
          <w:szCs w:val="24"/>
        </w:rPr>
        <w:t>, veikiančio pagal įstaigos įstatus, toliau Sutartyje Pirkėjas ir Pardavėjas kartu vadinami Šalimis, o atskirai – Šalimi</w:t>
      </w:r>
      <w:r w:rsidR="0026029D">
        <w:rPr>
          <w:szCs w:val="24"/>
        </w:rPr>
        <w:t xml:space="preserve"> </w:t>
      </w:r>
      <w:r w:rsidRPr="00264142">
        <w:rPr>
          <w:szCs w:val="24"/>
        </w:rPr>
        <w:t>sudarė šią sutartį (toliau – Sutartis)</w:t>
      </w:r>
      <w:r w:rsidR="00D33004">
        <w:rPr>
          <w:szCs w:val="24"/>
        </w:rPr>
        <w:t>.</w:t>
      </w:r>
    </w:p>
    <w:p w:rsidR="00EF4D85" w:rsidRPr="00264142" w:rsidRDefault="00EF4D85" w:rsidP="00BE5187">
      <w:pPr>
        <w:jc w:val="both"/>
        <w:rPr>
          <w:szCs w:val="24"/>
        </w:rPr>
      </w:pPr>
    </w:p>
    <w:p w:rsidR="00EF4D85" w:rsidRPr="00D33004" w:rsidRDefault="00D33004" w:rsidP="00D33004">
      <w:pPr>
        <w:jc w:val="both"/>
        <w:rPr>
          <w:b/>
        </w:rPr>
      </w:pPr>
      <w:r w:rsidRPr="00D33004">
        <w:rPr>
          <w:b/>
        </w:rPr>
        <w:t>1.</w:t>
      </w:r>
      <w:r>
        <w:rPr>
          <w:b/>
        </w:rPr>
        <w:t xml:space="preserve"> </w:t>
      </w:r>
      <w:r w:rsidR="00EF4D85" w:rsidRPr="00D33004">
        <w:rPr>
          <w:b/>
        </w:rPr>
        <w:t xml:space="preserve">SUTARTIES OBJEKTAS </w:t>
      </w:r>
    </w:p>
    <w:p w:rsidR="00EF4D85" w:rsidRPr="00D33004" w:rsidRDefault="00D33004" w:rsidP="00D33004">
      <w:pPr>
        <w:tabs>
          <w:tab w:val="left" w:pos="0"/>
        </w:tabs>
        <w:contextualSpacing/>
        <w:jc w:val="both"/>
      </w:pPr>
      <w:r>
        <w:t xml:space="preserve">1.1. </w:t>
      </w:r>
      <w:r w:rsidR="00EF4D85" w:rsidRPr="00D33004">
        <w:t xml:space="preserve">Pardavėjas įsipareigoja parduoti (perduoti Pirkėjo nuosavybėn) Pirkėjo užsakytas prekes (toliau – Prekės), o Pirkėjas priimti ir sumokėti už Prekes. </w:t>
      </w:r>
    </w:p>
    <w:p w:rsidR="00EF4D85" w:rsidRPr="00D33004" w:rsidRDefault="00D33004" w:rsidP="00D33004">
      <w:pPr>
        <w:tabs>
          <w:tab w:val="left" w:pos="0"/>
        </w:tabs>
        <w:contextualSpacing/>
        <w:jc w:val="both"/>
        <w:rPr>
          <w:u w:val="single"/>
        </w:rPr>
      </w:pPr>
      <w:r>
        <w:t xml:space="preserve">1.2. </w:t>
      </w:r>
      <w:r w:rsidR="00EF4D85" w:rsidRPr="00D33004">
        <w:t>Prekių specifikacija ir kainos yra nurodytos šios Sutarties Priede Nr. 1, kuris yra neatsiejama Sutarties dalis.</w:t>
      </w:r>
    </w:p>
    <w:p w:rsidR="00EF4D85" w:rsidRPr="00264142" w:rsidRDefault="00EF4D85" w:rsidP="00BE5187">
      <w:pPr>
        <w:pStyle w:val="Sraopastraipa"/>
        <w:tabs>
          <w:tab w:val="left" w:pos="0"/>
        </w:tabs>
        <w:suppressAutoHyphens w:val="0"/>
        <w:ind w:left="0"/>
        <w:contextualSpacing/>
        <w:jc w:val="both"/>
        <w:rPr>
          <w:lang w:val="lt-LT"/>
        </w:rPr>
      </w:pPr>
    </w:p>
    <w:p w:rsidR="00EF4D85" w:rsidRPr="00264142" w:rsidRDefault="00EF4D85" w:rsidP="00BE5187">
      <w:pPr>
        <w:pStyle w:val="Sraopastraipa"/>
        <w:tabs>
          <w:tab w:val="left" w:pos="0"/>
        </w:tabs>
        <w:suppressAutoHyphens w:val="0"/>
        <w:ind w:left="0"/>
        <w:contextualSpacing/>
        <w:jc w:val="both"/>
        <w:rPr>
          <w:u w:val="single"/>
          <w:lang w:val="lt-LT"/>
        </w:rPr>
      </w:pPr>
      <w:r w:rsidRPr="00264142">
        <w:rPr>
          <w:b/>
          <w:lang w:val="lt-LT"/>
        </w:rPr>
        <w:t xml:space="preserve">2.  PREKIŲ UŽSAKYMO, PRISTATYMO, PERDAVIMO IR PRIĖMIMO TVARKA </w:t>
      </w:r>
    </w:p>
    <w:p w:rsidR="00EF4D85" w:rsidRPr="00264142" w:rsidRDefault="00EF4D85" w:rsidP="00BE5187">
      <w:pPr>
        <w:pStyle w:val="MediumGrid21"/>
        <w:jc w:val="both"/>
        <w:rPr>
          <w:rFonts w:ascii="Times New Roman" w:hAnsi="Times New Roman"/>
          <w:lang w:val="lt-LT"/>
        </w:rPr>
      </w:pPr>
      <w:r w:rsidRPr="00264142">
        <w:rPr>
          <w:rFonts w:ascii="Times New Roman" w:hAnsi="Times New Roman"/>
          <w:lang w:val="lt-LT"/>
        </w:rPr>
        <w:t xml:space="preserve">2.1. Prekės yra užsakomos Pirkėjui pateikiant užsakymą Pardavėjo atstovui. Užsakymas gali būti pateikiamas </w:t>
      </w:r>
      <w:r w:rsidR="002A66FB" w:rsidRPr="00264142">
        <w:rPr>
          <w:rFonts w:ascii="Times New Roman" w:hAnsi="Times New Roman"/>
          <w:lang w:val="lt-LT"/>
        </w:rPr>
        <w:t xml:space="preserve">telefonu, </w:t>
      </w:r>
      <w:r w:rsidRPr="00264142">
        <w:rPr>
          <w:rFonts w:ascii="Times New Roman" w:hAnsi="Times New Roman"/>
          <w:lang w:val="lt-LT"/>
        </w:rPr>
        <w:t xml:space="preserve">faksu arba elektroniniu paštu. Laikoma, kad užsakymas yra patvirtintas ir pradedamas vykdyti kitą darbo dieną po jo gavimo, išskyrus tuos atvejus, kai Pardavėjas faksu ar elektroniniu paštu per protingą terminą nuo Užsakymo gavimo informuoja Pirkėją apie tai, kad jis nepatvirtina užsakymo. Šalių susitarimu Pardavėjas turi teisę nepatvirtinti užsakymo, jei negalės jo įvykdyti pagal šią sutartį, apie tai per protingą laiką nuo Užsakymo gavimo informuodamas Pirkėją. </w:t>
      </w:r>
    </w:p>
    <w:p w:rsidR="00EF4D85" w:rsidRPr="00264142" w:rsidRDefault="00EF4D85" w:rsidP="00BE5187">
      <w:pPr>
        <w:jc w:val="both"/>
        <w:rPr>
          <w:szCs w:val="24"/>
        </w:rPr>
      </w:pPr>
      <w:r w:rsidRPr="00264142">
        <w:rPr>
          <w:szCs w:val="24"/>
        </w:rPr>
        <w:t xml:space="preserve">2.2. Pardavėjas įsipareigoja pristatyti užsakytas Prekes savo transportu ne vėliau kaip per </w:t>
      </w:r>
      <w:r w:rsidR="002A66FB" w:rsidRPr="00264142">
        <w:rPr>
          <w:szCs w:val="24"/>
        </w:rPr>
        <w:t>2</w:t>
      </w:r>
      <w:r w:rsidRPr="00264142">
        <w:rPr>
          <w:szCs w:val="24"/>
        </w:rPr>
        <w:t xml:space="preserve"> darbo dienas nuo Pirkėjo užsakymo pateikimo. </w:t>
      </w:r>
      <w:r w:rsidRPr="00264142">
        <w:rPr>
          <w:bCs/>
          <w:szCs w:val="24"/>
        </w:rPr>
        <w:t xml:space="preserve">Prekės </w:t>
      </w:r>
      <w:r w:rsidRPr="00264142">
        <w:rPr>
          <w:szCs w:val="24"/>
        </w:rPr>
        <w:t>pristatomos Pirkėjui adresu Ligoninės g.</w:t>
      </w:r>
      <w:r w:rsidR="00D33004">
        <w:rPr>
          <w:szCs w:val="24"/>
        </w:rPr>
        <w:t xml:space="preserve"> </w:t>
      </w:r>
      <w:r w:rsidRPr="00264142">
        <w:rPr>
          <w:szCs w:val="24"/>
        </w:rPr>
        <w:t xml:space="preserve">12, LT-62114 Alytus.  </w:t>
      </w:r>
    </w:p>
    <w:p w:rsidR="00EF4D85" w:rsidRPr="00264142" w:rsidRDefault="00EF4D85" w:rsidP="00BE5187">
      <w:pPr>
        <w:jc w:val="both"/>
        <w:rPr>
          <w:szCs w:val="24"/>
        </w:rPr>
      </w:pPr>
      <w:r w:rsidRPr="00264142">
        <w:rPr>
          <w:szCs w:val="24"/>
        </w:rPr>
        <w:t xml:space="preserve">2.3. Prekių perdavimo – priėmimo faktą patvirtina Pirkėjo įgalioto atstovo pasirašyta PVM sąskaita–faktūra ar kitas dokumentas, kuriame galima nustatyti Prekes bei jų kiekį. Pirkėjo įgaliotas atstovas, pasirašydamas PVM sąskaitą faktūrą ar kitą Prekių perdavimo – priėmimo faktą patvirtinantį dokumentą nurodo savo pareigas, vardą ir pavardę.  </w:t>
      </w:r>
    </w:p>
    <w:p w:rsidR="00EF4D85" w:rsidRPr="00264142" w:rsidRDefault="00EF4D85" w:rsidP="00BE5187">
      <w:pPr>
        <w:jc w:val="both"/>
        <w:rPr>
          <w:szCs w:val="24"/>
        </w:rPr>
      </w:pPr>
      <w:r w:rsidRPr="00264142">
        <w:rPr>
          <w:szCs w:val="24"/>
        </w:rPr>
        <w:t xml:space="preserve">2.5. Nuosavybės teisė į parduodamą Prekę pereina Pirkėjui nuo tos Prekės perdavimo Pirkėjui momento. </w:t>
      </w:r>
    </w:p>
    <w:p w:rsidR="00EF4D85" w:rsidRPr="00264142" w:rsidRDefault="00EF4D85" w:rsidP="00BE5187">
      <w:pPr>
        <w:jc w:val="both"/>
        <w:rPr>
          <w:szCs w:val="24"/>
        </w:rPr>
      </w:pPr>
    </w:p>
    <w:p w:rsidR="00EF4D85" w:rsidRPr="00264142" w:rsidRDefault="00EF4D85" w:rsidP="00BE5187">
      <w:pPr>
        <w:tabs>
          <w:tab w:val="num" w:pos="360"/>
        </w:tabs>
        <w:jc w:val="both"/>
        <w:rPr>
          <w:b/>
          <w:szCs w:val="24"/>
        </w:rPr>
      </w:pPr>
      <w:r w:rsidRPr="00264142">
        <w:rPr>
          <w:b/>
          <w:szCs w:val="24"/>
        </w:rPr>
        <w:t xml:space="preserve">3.  PREKIŲ IR PASLAUGŲ KAINOS, ATSISKAITYMŲ IR MOKĖJIMŲ TVARKA </w:t>
      </w:r>
    </w:p>
    <w:p w:rsidR="00EF4D85" w:rsidRDefault="00EF4D85" w:rsidP="00D73D9A">
      <w:pPr>
        <w:jc w:val="both"/>
        <w:rPr>
          <w:szCs w:val="24"/>
        </w:rPr>
      </w:pPr>
      <w:r w:rsidRPr="00264142">
        <w:rPr>
          <w:szCs w:val="24"/>
        </w:rPr>
        <w:t xml:space="preserve">3.1. </w:t>
      </w:r>
      <w:r w:rsidR="00D73D9A" w:rsidRPr="00864EB0">
        <w:rPr>
          <w:rFonts w:ascii="Joost" w:hAnsi="Joost"/>
          <w:kern w:val="2"/>
          <w:sz w:val="23"/>
          <w:szCs w:val="23"/>
        </w:rPr>
        <w:t xml:space="preserve">Pradinės Sutarties vertė yra </w:t>
      </w:r>
      <w:r w:rsidR="00D33004">
        <w:rPr>
          <w:kern w:val="2"/>
          <w:szCs w:val="24"/>
        </w:rPr>
        <w:t>7468,85</w:t>
      </w:r>
      <w:r w:rsidR="00D73D9A" w:rsidRPr="00D73D9A">
        <w:rPr>
          <w:kern w:val="2"/>
          <w:szCs w:val="24"/>
        </w:rPr>
        <w:t xml:space="preserve"> </w:t>
      </w:r>
      <w:proofErr w:type="spellStart"/>
      <w:r w:rsidR="00D73D9A" w:rsidRPr="00D73D9A">
        <w:rPr>
          <w:kern w:val="2"/>
          <w:szCs w:val="24"/>
        </w:rPr>
        <w:t>Eur</w:t>
      </w:r>
      <w:proofErr w:type="spellEnd"/>
      <w:r w:rsidR="00D73D9A" w:rsidRPr="00D73D9A">
        <w:rPr>
          <w:kern w:val="2"/>
          <w:szCs w:val="24"/>
        </w:rPr>
        <w:t>, (</w:t>
      </w:r>
      <w:r w:rsidR="00D33004">
        <w:rPr>
          <w:kern w:val="2"/>
          <w:szCs w:val="24"/>
        </w:rPr>
        <w:t>septyni tūkstančiai keturi šimtai šešiasdešimt aštuoni eurai ir aštuoniasdešimt penki centai</w:t>
      </w:r>
      <w:r w:rsidR="00D73D9A" w:rsidRPr="00864EB0">
        <w:rPr>
          <w:rFonts w:ascii="Joost" w:hAnsi="Joost"/>
          <w:color w:val="4472C4"/>
          <w:kern w:val="2"/>
          <w:sz w:val="23"/>
          <w:szCs w:val="23"/>
        </w:rPr>
        <w:t>)</w:t>
      </w:r>
      <w:r w:rsidR="00D73D9A" w:rsidRPr="00864EB0">
        <w:rPr>
          <w:rFonts w:ascii="Joost" w:hAnsi="Joost"/>
          <w:kern w:val="2"/>
          <w:sz w:val="23"/>
          <w:szCs w:val="23"/>
        </w:rPr>
        <w:t xml:space="preserve"> be pridėtinės vertės mokesčio (toliau – PVM). PVM sudaro </w:t>
      </w:r>
      <w:r w:rsidR="00D33004">
        <w:rPr>
          <w:kern w:val="2"/>
          <w:szCs w:val="24"/>
        </w:rPr>
        <w:t>373,44</w:t>
      </w:r>
      <w:r w:rsidR="00D73D9A" w:rsidRPr="00D73D9A">
        <w:rPr>
          <w:kern w:val="2"/>
          <w:szCs w:val="24"/>
        </w:rPr>
        <w:t xml:space="preserve"> </w:t>
      </w:r>
      <w:proofErr w:type="spellStart"/>
      <w:r w:rsidR="00D73D9A" w:rsidRPr="00D73D9A">
        <w:rPr>
          <w:kern w:val="2"/>
          <w:szCs w:val="24"/>
        </w:rPr>
        <w:t>Eur</w:t>
      </w:r>
      <w:proofErr w:type="spellEnd"/>
      <w:r w:rsidR="00D73D9A" w:rsidRPr="00D73D9A">
        <w:rPr>
          <w:kern w:val="2"/>
          <w:szCs w:val="24"/>
        </w:rPr>
        <w:t xml:space="preserve">, </w:t>
      </w:r>
      <w:r w:rsidR="007A0233">
        <w:rPr>
          <w:kern w:val="2"/>
          <w:szCs w:val="24"/>
        </w:rPr>
        <w:t>(</w:t>
      </w:r>
      <w:r w:rsidR="00D33004">
        <w:rPr>
          <w:kern w:val="2"/>
          <w:szCs w:val="24"/>
        </w:rPr>
        <w:t>trys šimtai septyniasdešimt trys eurai ir keturiasdešimt keturi centai</w:t>
      </w:r>
      <w:r w:rsidR="00D73D9A" w:rsidRPr="00D73D9A">
        <w:rPr>
          <w:kern w:val="2"/>
          <w:szCs w:val="24"/>
        </w:rPr>
        <w:t>).</w:t>
      </w:r>
      <w:r w:rsidR="00D73D9A">
        <w:rPr>
          <w:kern w:val="2"/>
          <w:szCs w:val="24"/>
        </w:rPr>
        <w:t xml:space="preserve"> </w:t>
      </w:r>
      <w:r w:rsidR="00D73D9A" w:rsidRPr="00864EB0">
        <w:rPr>
          <w:rFonts w:ascii="Joost" w:hAnsi="Joost"/>
          <w:kern w:val="2"/>
          <w:sz w:val="23"/>
          <w:szCs w:val="23"/>
        </w:rPr>
        <w:t xml:space="preserve">Sutarties kaina yra </w:t>
      </w:r>
      <w:r w:rsidR="00D33004">
        <w:rPr>
          <w:kern w:val="2"/>
          <w:szCs w:val="24"/>
        </w:rPr>
        <w:t xml:space="preserve">7842,29 </w:t>
      </w:r>
      <w:proofErr w:type="spellStart"/>
      <w:r w:rsidR="00D33004">
        <w:rPr>
          <w:kern w:val="2"/>
          <w:szCs w:val="24"/>
        </w:rPr>
        <w:t>Eur</w:t>
      </w:r>
      <w:proofErr w:type="spellEnd"/>
      <w:r w:rsidR="00D33004">
        <w:rPr>
          <w:kern w:val="2"/>
          <w:szCs w:val="24"/>
        </w:rPr>
        <w:t>, (septyni tūkstančiai</w:t>
      </w:r>
      <w:r w:rsidR="007B68F4">
        <w:rPr>
          <w:kern w:val="2"/>
          <w:szCs w:val="24"/>
        </w:rPr>
        <w:t xml:space="preserve"> aštuoni šimtai keturiasdešimt du eurai ir dvidešimt devyni centai</w:t>
      </w:r>
      <w:r w:rsidR="00D73D9A" w:rsidRPr="00D73D9A">
        <w:rPr>
          <w:kern w:val="2"/>
          <w:szCs w:val="24"/>
        </w:rPr>
        <w:t xml:space="preserve">) </w:t>
      </w:r>
      <w:proofErr w:type="spellStart"/>
      <w:r w:rsidR="00D73D9A" w:rsidRPr="00D73D9A">
        <w:rPr>
          <w:kern w:val="2"/>
          <w:szCs w:val="24"/>
        </w:rPr>
        <w:t>Eur</w:t>
      </w:r>
      <w:proofErr w:type="spellEnd"/>
      <w:r w:rsidR="00D73D9A" w:rsidRPr="00D73D9A">
        <w:rPr>
          <w:kern w:val="2"/>
          <w:szCs w:val="24"/>
        </w:rPr>
        <w:t xml:space="preserve"> su PVM.</w:t>
      </w:r>
      <w:r w:rsidR="00813CB5">
        <w:rPr>
          <w:kern w:val="2"/>
          <w:szCs w:val="24"/>
        </w:rPr>
        <w:t xml:space="preserve"> </w:t>
      </w:r>
      <w:r w:rsidR="00813CB5" w:rsidRPr="00864EB0">
        <w:rPr>
          <w:rFonts w:ascii="Joost" w:hAnsi="Joost"/>
          <w:color w:val="000000"/>
          <w:kern w:val="2"/>
          <w:sz w:val="23"/>
          <w:szCs w:val="23"/>
        </w:rPr>
        <w:t>Šioje Sutartyje Pradinės Sutarties vertė yra lygi </w:t>
      </w:r>
      <w:r w:rsidR="00813CB5" w:rsidRPr="00864EB0">
        <w:rPr>
          <w:rFonts w:ascii="Joost" w:hAnsi="Joost"/>
          <w:b/>
          <w:bCs/>
          <w:color w:val="000000"/>
          <w:kern w:val="2"/>
          <w:sz w:val="23"/>
          <w:szCs w:val="23"/>
        </w:rPr>
        <w:t>maksimaliai pirkimui skirtai lėšų sumai be PVM</w:t>
      </w:r>
      <w:r w:rsidR="00813CB5">
        <w:rPr>
          <w:rFonts w:ascii="Joost" w:hAnsi="Joost"/>
          <w:b/>
          <w:bCs/>
          <w:color w:val="000000"/>
          <w:kern w:val="2"/>
          <w:sz w:val="23"/>
          <w:szCs w:val="23"/>
        </w:rPr>
        <w:t>.</w:t>
      </w:r>
      <w:r w:rsidR="00813CB5" w:rsidRPr="00864EB0">
        <w:rPr>
          <w:rFonts w:ascii="Joost" w:hAnsi="Joost"/>
          <w:color w:val="000000"/>
          <w:kern w:val="2"/>
          <w:sz w:val="23"/>
          <w:szCs w:val="23"/>
        </w:rPr>
        <w:t> Pirkėjas perka Prekes pagal poreikį Sutartyje arba jos priede Nr.</w:t>
      </w:r>
      <w:r w:rsidR="007B68F4">
        <w:rPr>
          <w:rFonts w:ascii="Joost" w:hAnsi="Joost"/>
          <w:color w:val="000000"/>
          <w:kern w:val="2"/>
          <w:sz w:val="23"/>
          <w:szCs w:val="23"/>
        </w:rPr>
        <w:t xml:space="preserve"> </w:t>
      </w:r>
      <w:r w:rsidR="00272E6D">
        <w:rPr>
          <w:rFonts w:ascii="Joost" w:hAnsi="Joost"/>
          <w:color w:val="000000"/>
          <w:kern w:val="2"/>
          <w:sz w:val="23"/>
          <w:szCs w:val="23"/>
        </w:rPr>
        <w:t>1</w:t>
      </w:r>
      <w:r w:rsidR="00813CB5">
        <w:rPr>
          <w:rFonts w:ascii="Joost" w:hAnsi="Joost"/>
          <w:kern w:val="2"/>
          <w:sz w:val="23"/>
          <w:szCs w:val="23"/>
        </w:rPr>
        <w:t xml:space="preserve"> </w:t>
      </w:r>
      <w:r w:rsidR="00813CB5" w:rsidRPr="00864EB0">
        <w:rPr>
          <w:rFonts w:ascii="Joost" w:hAnsi="Joost"/>
          <w:color w:val="000000"/>
          <w:kern w:val="2"/>
          <w:sz w:val="23"/>
          <w:szCs w:val="23"/>
        </w:rPr>
        <w:t xml:space="preserve">nurodytais įkainiais, neviršijant bendros Sutarties kainos. Sutartyje nurodytas Prekių kiekis gali </w:t>
      </w:r>
      <w:r w:rsidR="00813CB5" w:rsidRPr="00237053">
        <w:rPr>
          <w:rFonts w:ascii="Joost" w:hAnsi="Joost"/>
          <w:color w:val="000000"/>
          <w:kern w:val="2"/>
          <w:sz w:val="23"/>
          <w:szCs w:val="23"/>
        </w:rPr>
        <w:t>būti keičiamas (didėti ar mažėti).</w:t>
      </w:r>
      <w:r w:rsidR="00272E6D">
        <w:rPr>
          <w:rFonts w:ascii="Joost" w:hAnsi="Joost"/>
          <w:color w:val="000000"/>
          <w:kern w:val="2"/>
          <w:sz w:val="23"/>
          <w:szCs w:val="23"/>
        </w:rPr>
        <w:t xml:space="preserve"> </w:t>
      </w:r>
      <w:r w:rsidR="00D118BF" w:rsidRPr="00D118BF">
        <w:rPr>
          <w:szCs w:val="24"/>
        </w:rPr>
        <w:t>Į Sutarties vertę įskaičiuotos visos išlaidos (prekių įpakavimas, atvežimas, iškrovimas ir pan.) ir visi mokesčiai.</w:t>
      </w:r>
    </w:p>
    <w:p w:rsidR="00D118BF" w:rsidRDefault="00D118BF" w:rsidP="00D118BF">
      <w:pPr>
        <w:tabs>
          <w:tab w:val="num" w:pos="360"/>
        </w:tabs>
        <w:jc w:val="both"/>
        <w:rPr>
          <w:szCs w:val="24"/>
        </w:rPr>
      </w:pPr>
      <w:r>
        <w:rPr>
          <w:szCs w:val="24"/>
        </w:rPr>
        <w:t xml:space="preserve">3.2. </w:t>
      </w:r>
      <w:r w:rsidRPr="00D118BF">
        <w:rPr>
          <w:szCs w:val="24"/>
        </w:rPr>
        <w:t>Perkamų Prekių vienetų įkainiai ir savybės nurodyti Sutarties 1 priede.</w:t>
      </w:r>
    </w:p>
    <w:p w:rsidR="00D118BF" w:rsidRPr="00D118BF" w:rsidRDefault="00D118BF" w:rsidP="00D118BF">
      <w:pPr>
        <w:tabs>
          <w:tab w:val="num" w:pos="360"/>
        </w:tabs>
        <w:jc w:val="both"/>
        <w:rPr>
          <w:szCs w:val="24"/>
        </w:rPr>
      </w:pPr>
      <w:r>
        <w:rPr>
          <w:szCs w:val="24"/>
        </w:rPr>
        <w:t xml:space="preserve">3.3. </w:t>
      </w:r>
      <w:r w:rsidRPr="00D118BF">
        <w:rPr>
          <w:szCs w:val="24"/>
        </w:rPr>
        <w:t>Šios sutarties kainos apskaičiavimo būdas – fiksuoto įkainio su galima peržiūra. Galutinė kaina, kurią Pirkėjas turės sumokėti Pardavėjui, priklausys nuo vykdant sutartį pristatyto Prekių kiekio.</w:t>
      </w:r>
    </w:p>
    <w:p w:rsidR="00D118BF" w:rsidRPr="00D118BF" w:rsidRDefault="00D118BF" w:rsidP="00D118BF">
      <w:pPr>
        <w:tabs>
          <w:tab w:val="num" w:pos="360"/>
        </w:tabs>
        <w:jc w:val="both"/>
        <w:rPr>
          <w:szCs w:val="24"/>
        </w:rPr>
      </w:pPr>
      <w:r>
        <w:rPr>
          <w:szCs w:val="24"/>
        </w:rPr>
        <w:t>3</w:t>
      </w:r>
      <w:r w:rsidRPr="00D118BF">
        <w:rPr>
          <w:szCs w:val="24"/>
        </w:rPr>
        <w:t>.4.</w:t>
      </w:r>
      <w:r w:rsidR="007B68F4">
        <w:rPr>
          <w:szCs w:val="24"/>
        </w:rPr>
        <w:t xml:space="preserve"> </w:t>
      </w:r>
      <w:r w:rsidRPr="00D118BF">
        <w:rPr>
          <w:szCs w:val="24"/>
        </w:rPr>
        <w:t>Sutarties kainos peržiūra – sutarties kainos pakeitimas, gali būti atliekamas dėl kainų lygio pokyčio, mokesčių pasikeitimo bei kitų objektyvių aplinkybių, kurios nebuvo žinomos Sutarties pasirašymo metu:</w:t>
      </w:r>
    </w:p>
    <w:p w:rsidR="00D118BF" w:rsidRPr="00D118BF" w:rsidRDefault="00D118BF" w:rsidP="00D118BF">
      <w:pPr>
        <w:tabs>
          <w:tab w:val="num" w:pos="360"/>
        </w:tabs>
        <w:jc w:val="both"/>
        <w:rPr>
          <w:szCs w:val="24"/>
        </w:rPr>
      </w:pPr>
      <w:r>
        <w:rPr>
          <w:szCs w:val="24"/>
        </w:rPr>
        <w:t>3</w:t>
      </w:r>
      <w:r w:rsidRPr="00D118BF">
        <w:rPr>
          <w:szCs w:val="24"/>
        </w:rPr>
        <w:t>.4.1. pasikeitus Lietuvos Respublikos pridėtinės vertės mokesčio dydžiui:</w:t>
      </w:r>
    </w:p>
    <w:p w:rsidR="00D118BF" w:rsidRDefault="00D118BF" w:rsidP="00D118BF">
      <w:pPr>
        <w:tabs>
          <w:tab w:val="num" w:pos="360"/>
        </w:tabs>
        <w:jc w:val="both"/>
        <w:rPr>
          <w:szCs w:val="24"/>
        </w:rPr>
      </w:pPr>
      <w:r>
        <w:rPr>
          <w:szCs w:val="24"/>
        </w:rPr>
        <w:t>3</w:t>
      </w:r>
      <w:r w:rsidRPr="00D118BF">
        <w:rPr>
          <w:szCs w:val="24"/>
        </w:rPr>
        <w:t>.4.1.1. Padidėjus arba sumažėjus pridėtinės vertės mokesčio (PVM) tarifui Sutarties kaina atitinkamai didinama arba mažinama. Kainos perskaičiavimo formulė pasikeitus PVM tarifui:</w:t>
      </w:r>
    </w:p>
    <w:p w:rsidR="00D118BF" w:rsidRPr="00D118BF" w:rsidRDefault="00D118BF" w:rsidP="00D118BF">
      <w:pPr>
        <w:tabs>
          <w:tab w:val="num" w:pos="360"/>
        </w:tabs>
        <w:ind w:firstLine="360"/>
        <w:jc w:val="both"/>
        <w:rPr>
          <w:szCs w:val="24"/>
        </w:rPr>
      </w:pPr>
      <w:r w:rsidRPr="006161B7">
        <w:rPr>
          <w:sz w:val="22"/>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6.8pt" o:ole="">
            <v:imagedata r:id="rId5" o:title=""/>
          </v:shape>
          <o:OLEObject Type="Embed" ProgID="Equation.3" ShapeID="_x0000_i1025" DrawAspect="Content" ObjectID="_1816425349" r:id="rId6"/>
        </w:object>
      </w:r>
    </w:p>
    <w:p w:rsidR="00D118BF" w:rsidRPr="00D118BF" w:rsidRDefault="00D118BF" w:rsidP="00D118BF">
      <w:pPr>
        <w:tabs>
          <w:tab w:val="num" w:pos="360"/>
        </w:tabs>
        <w:jc w:val="both"/>
        <w:rPr>
          <w:szCs w:val="24"/>
        </w:rPr>
      </w:pPr>
      <w:r w:rsidRPr="00D118BF">
        <w:rPr>
          <w:szCs w:val="24"/>
        </w:rPr>
        <w:tab/>
        <w:t xml:space="preserve">  - Perskaičiuota Sutarties kaina (su PVM)</w:t>
      </w:r>
    </w:p>
    <w:p w:rsidR="00D118BF" w:rsidRPr="00D118BF" w:rsidRDefault="00D118BF" w:rsidP="00D118BF">
      <w:pPr>
        <w:tabs>
          <w:tab w:val="num" w:pos="360"/>
        </w:tabs>
        <w:jc w:val="both"/>
        <w:rPr>
          <w:szCs w:val="24"/>
        </w:rPr>
      </w:pPr>
      <w:r w:rsidRPr="00D118BF">
        <w:rPr>
          <w:szCs w:val="24"/>
        </w:rPr>
        <w:lastRenderedPageBreak/>
        <w:tab/>
        <w:t xml:space="preserve">  - Sutarties kaina (su PVM) iki perskaičiavimo</w:t>
      </w:r>
    </w:p>
    <w:p w:rsidR="00D118BF" w:rsidRPr="00D118BF" w:rsidRDefault="00D118BF" w:rsidP="00D118BF">
      <w:pPr>
        <w:tabs>
          <w:tab w:val="num" w:pos="360"/>
        </w:tabs>
        <w:jc w:val="both"/>
        <w:rPr>
          <w:szCs w:val="24"/>
        </w:rPr>
      </w:pPr>
      <w:r w:rsidRPr="00D118BF">
        <w:rPr>
          <w:szCs w:val="24"/>
        </w:rPr>
        <w:tab/>
        <w:t>A – pristatytų Prekių kaina (su PVM) iki perskaičiavimo</w:t>
      </w:r>
    </w:p>
    <w:p w:rsidR="00D118BF" w:rsidRPr="00D118BF" w:rsidRDefault="00D118BF" w:rsidP="00D118BF">
      <w:pPr>
        <w:tabs>
          <w:tab w:val="num" w:pos="360"/>
        </w:tabs>
        <w:jc w:val="both"/>
        <w:rPr>
          <w:szCs w:val="24"/>
        </w:rPr>
      </w:pPr>
      <w:r w:rsidRPr="00D118BF">
        <w:rPr>
          <w:szCs w:val="24"/>
        </w:rPr>
        <w:tab/>
        <w:t xml:space="preserve">  - senas PVM tarifas (procentais)</w:t>
      </w:r>
    </w:p>
    <w:p w:rsidR="00D118BF" w:rsidRPr="00D118BF" w:rsidRDefault="00D118BF" w:rsidP="00D118BF">
      <w:pPr>
        <w:tabs>
          <w:tab w:val="num" w:pos="360"/>
        </w:tabs>
        <w:jc w:val="both"/>
        <w:rPr>
          <w:szCs w:val="24"/>
        </w:rPr>
      </w:pPr>
      <w:r w:rsidRPr="00D118BF">
        <w:rPr>
          <w:szCs w:val="24"/>
        </w:rPr>
        <w:tab/>
        <w:t xml:space="preserve">  - naujas PVM tarifas (procentais)</w:t>
      </w:r>
    </w:p>
    <w:p w:rsidR="00D118BF" w:rsidRPr="00D118BF" w:rsidRDefault="00D118BF" w:rsidP="00D118BF">
      <w:pPr>
        <w:tabs>
          <w:tab w:val="num" w:pos="360"/>
        </w:tabs>
        <w:jc w:val="both"/>
        <w:rPr>
          <w:szCs w:val="24"/>
        </w:rPr>
      </w:pPr>
    </w:p>
    <w:p w:rsidR="00D118BF" w:rsidRPr="00D118BF" w:rsidRDefault="00D118BF" w:rsidP="00D118BF">
      <w:pPr>
        <w:tabs>
          <w:tab w:val="num" w:pos="360"/>
        </w:tabs>
        <w:jc w:val="both"/>
        <w:rPr>
          <w:szCs w:val="24"/>
        </w:rPr>
      </w:pPr>
      <w:r>
        <w:rPr>
          <w:szCs w:val="24"/>
        </w:rPr>
        <w:t>3</w:t>
      </w:r>
      <w:r w:rsidRPr="00D118BF">
        <w:rPr>
          <w:szCs w:val="24"/>
        </w:rPr>
        <w:t xml:space="preserve">.4.1.3. perskaičiuota Sutarties kaina (įkainis) įforminama papildomu Sutarties šalių rašytiniu susitarimu. </w:t>
      </w:r>
    </w:p>
    <w:p w:rsidR="00D118BF" w:rsidRPr="00D118BF" w:rsidRDefault="00D118BF" w:rsidP="00D118BF">
      <w:pPr>
        <w:tabs>
          <w:tab w:val="num" w:pos="360"/>
        </w:tabs>
        <w:jc w:val="both"/>
        <w:rPr>
          <w:szCs w:val="24"/>
        </w:rPr>
      </w:pPr>
      <w:r>
        <w:rPr>
          <w:szCs w:val="24"/>
        </w:rPr>
        <w:t>3</w:t>
      </w:r>
      <w:r w:rsidRPr="00D118BF">
        <w:rPr>
          <w:szCs w:val="24"/>
        </w:rPr>
        <w:t xml:space="preserve">.4.1.4. Sutarties </w:t>
      </w:r>
      <w:r>
        <w:rPr>
          <w:szCs w:val="24"/>
        </w:rPr>
        <w:t>3</w:t>
      </w:r>
      <w:r w:rsidRPr="00D118BF">
        <w:rPr>
          <w:szCs w:val="24"/>
        </w:rPr>
        <w:t>.4.1 punkto pagrindu perskaičiuota Sutarties kaina (įkainis) įsigalioja nuo pasikeitusio pridėtinės vertės mokesčio įsigaliojimo dienos;</w:t>
      </w:r>
    </w:p>
    <w:p w:rsidR="00D118BF" w:rsidRPr="00D118BF" w:rsidRDefault="00D118BF" w:rsidP="00D118BF">
      <w:pPr>
        <w:tabs>
          <w:tab w:val="num" w:pos="360"/>
        </w:tabs>
        <w:jc w:val="both"/>
        <w:rPr>
          <w:szCs w:val="24"/>
        </w:rPr>
      </w:pPr>
      <w:r>
        <w:rPr>
          <w:szCs w:val="24"/>
        </w:rPr>
        <w:t>3</w:t>
      </w:r>
      <w:r w:rsidRPr="00D118BF">
        <w:rPr>
          <w:szCs w:val="24"/>
        </w:rPr>
        <w:t>.4.2. pasikeitus Sutartyje nurodytų Prekių kainų (įkainių) lygiui. Šiuo atveju Sutarties Prekių kaina (įkainiai) gali būti perskaičiuojami ne dažniau kaip vieną kartą per 12 mėnesių ir ne anksčiau kaip po 12 mėnesių nuo sutarties sudarymo dienos. Praėjus 12 (dvylikai) mėnesių po Sutarties įsigaliojimo, sekančio kalendorinio mėnesio pirmąją dieną prekių įkainiai perskaičiuojami pagal paskutinį Statistikos departamento prie Lietuvos Respublikos Vyriausybės paskelbtą panašių prekių kainų indekso pokytį už 12 (dvylika) kalendorinių mėnesių. Įkainiai perskaičiuojami kas 12 (dvylika) kalendorinių mėnesių Sutarties galiojimo metu. Nauji įkainiai apskaičiuojami, Sutarties įkainius dauginant iš perskaičiavimo koeficiento. Perskaičiavimo koeficientas - paskutinio paskelbto einamųjų metų panašių prekių kainų indekso santykis su prieš tai buvusių metų atitinkamo mėnesio kainų indeksu.</w:t>
      </w:r>
    </w:p>
    <w:p w:rsidR="00D118BF" w:rsidRPr="007A0233" w:rsidRDefault="00D118BF" w:rsidP="00D118BF">
      <w:pPr>
        <w:tabs>
          <w:tab w:val="num" w:pos="360"/>
        </w:tabs>
        <w:jc w:val="both"/>
        <w:rPr>
          <w:szCs w:val="24"/>
        </w:rPr>
      </w:pPr>
      <w:r>
        <w:rPr>
          <w:szCs w:val="24"/>
        </w:rPr>
        <w:t>3</w:t>
      </w:r>
      <w:r w:rsidRPr="00D118BF">
        <w:rPr>
          <w:szCs w:val="24"/>
        </w:rPr>
        <w:t xml:space="preserve">.4.2.1. </w:t>
      </w:r>
      <w:r w:rsidRPr="007A0233">
        <w:rPr>
          <w:szCs w:val="24"/>
        </w:rPr>
        <w:t xml:space="preserve">Sutarties 3.4.2. punkte nustatytu atveju Sutarties Prekių kaina (įkainis) gali būti perskaičiuojama, jeigu </w:t>
      </w:r>
      <w:r w:rsidR="00571A1C" w:rsidRPr="007A0233">
        <w:rPr>
          <w:szCs w:val="24"/>
        </w:rPr>
        <w:t xml:space="preserve">pagal vartotojų kainų indeksą (0612 KITI MEDICINOS GAMINIAI) </w:t>
      </w:r>
      <w:r w:rsidRPr="007A0233">
        <w:rPr>
          <w:szCs w:val="24"/>
        </w:rPr>
        <w:t xml:space="preserve"> Prekių kainų (įkainio) lygio skirtumas, lyginant einamųjų metų atitinkamo mėnesio kainas su praėjusių metų atitinkamo mėnesio kainomis, yra didesnis arba mažesnis daugiau kaip </w:t>
      </w:r>
      <w:r w:rsidR="00586899" w:rsidRPr="007A0233">
        <w:rPr>
          <w:szCs w:val="24"/>
        </w:rPr>
        <w:t>8</w:t>
      </w:r>
      <w:r w:rsidRPr="007A0233">
        <w:rPr>
          <w:szCs w:val="24"/>
        </w:rPr>
        <w:t xml:space="preserve"> (</w:t>
      </w:r>
      <w:r w:rsidR="00586899" w:rsidRPr="007A0233">
        <w:rPr>
          <w:szCs w:val="24"/>
        </w:rPr>
        <w:t>aštuoni</w:t>
      </w:r>
      <w:r w:rsidRPr="007A0233">
        <w:rPr>
          <w:szCs w:val="24"/>
        </w:rPr>
        <w:t>) procent</w:t>
      </w:r>
      <w:r w:rsidR="00586899" w:rsidRPr="007A0233">
        <w:rPr>
          <w:szCs w:val="24"/>
        </w:rPr>
        <w:t>ai</w:t>
      </w:r>
      <w:r w:rsidRPr="007A0233">
        <w:rPr>
          <w:szCs w:val="24"/>
        </w:rPr>
        <w:t>;</w:t>
      </w:r>
    </w:p>
    <w:p w:rsidR="00D118BF" w:rsidRPr="00D118BF" w:rsidRDefault="00586899" w:rsidP="00D118BF">
      <w:pPr>
        <w:tabs>
          <w:tab w:val="num" w:pos="360"/>
        </w:tabs>
        <w:jc w:val="both"/>
        <w:rPr>
          <w:szCs w:val="24"/>
        </w:rPr>
      </w:pPr>
      <w:r>
        <w:rPr>
          <w:szCs w:val="24"/>
        </w:rPr>
        <w:t>3</w:t>
      </w:r>
      <w:r w:rsidR="00D118BF" w:rsidRPr="00D118BF">
        <w:rPr>
          <w:szCs w:val="24"/>
        </w:rPr>
        <w:t xml:space="preserve">.4.2.2. Sutarties šalis, inicijuojanti Sutarties Prekių kainos (įkainio) perskaičiavimą dėl sutarties 2.4.2. punkte nurodytų aplinkybių, turi tokias aplinkybes įrodyti, t.y. pateikti Statistikos departamento prie Lietuvos Respublikos Vyriausybės arba kitos kompetentingos ir įgaliotos įstaigos išduotą dokumentą, patvirtinantį panašių Prekių kainų pokyčio dydį per atitinkamą laikotarpį. </w:t>
      </w:r>
    </w:p>
    <w:p w:rsidR="00D118BF" w:rsidRPr="00264142" w:rsidRDefault="00586899" w:rsidP="00D118BF">
      <w:pPr>
        <w:tabs>
          <w:tab w:val="num" w:pos="360"/>
        </w:tabs>
        <w:jc w:val="both"/>
        <w:rPr>
          <w:szCs w:val="24"/>
        </w:rPr>
      </w:pPr>
      <w:r>
        <w:rPr>
          <w:szCs w:val="24"/>
        </w:rPr>
        <w:t>3</w:t>
      </w:r>
      <w:r w:rsidR="00D118BF" w:rsidRPr="00D118BF">
        <w:rPr>
          <w:szCs w:val="24"/>
        </w:rPr>
        <w:t xml:space="preserve">.4.2.3. Sutarties </w:t>
      </w:r>
      <w:r>
        <w:rPr>
          <w:szCs w:val="24"/>
        </w:rPr>
        <w:t>3</w:t>
      </w:r>
      <w:r w:rsidR="00D118BF" w:rsidRPr="00D118BF">
        <w:rPr>
          <w:szCs w:val="24"/>
        </w:rPr>
        <w:t>.4.2 punkto pagrindu perskaičiuota Sutarties kaina (įkainis) įsigalioja nuo papildomo susitarimo pasirašymo dienos;</w:t>
      </w:r>
    </w:p>
    <w:p w:rsidR="00EF4D85" w:rsidRPr="00264142" w:rsidRDefault="00EF4D85" w:rsidP="00BE5187">
      <w:pPr>
        <w:tabs>
          <w:tab w:val="num" w:pos="360"/>
        </w:tabs>
        <w:jc w:val="both"/>
        <w:rPr>
          <w:szCs w:val="24"/>
        </w:rPr>
      </w:pPr>
      <w:r w:rsidRPr="00264142">
        <w:rPr>
          <w:szCs w:val="24"/>
        </w:rPr>
        <w:t>3.</w:t>
      </w:r>
      <w:r w:rsidR="00586899">
        <w:rPr>
          <w:szCs w:val="24"/>
        </w:rPr>
        <w:t>5</w:t>
      </w:r>
      <w:r w:rsidRPr="00264142">
        <w:rPr>
          <w:szCs w:val="24"/>
        </w:rPr>
        <w:t xml:space="preserve">. Pirkėjas įsipareigoja atsiskaityti už jam pristatytas Prekes per </w:t>
      </w:r>
      <w:r w:rsidR="005E1D37">
        <w:rPr>
          <w:szCs w:val="24"/>
        </w:rPr>
        <w:t>6</w:t>
      </w:r>
      <w:r w:rsidRPr="00264142">
        <w:rPr>
          <w:szCs w:val="24"/>
        </w:rPr>
        <w:t xml:space="preserve">0 kalendorinių dienų </w:t>
      </w:r>
      <w:r w:rsidR="00586899">
        <w:rPr>
          <w:szCs w:val="24"/>
        </w:rPr>
        <w:t xml:space="preserve">nuo </w:t>
      </w:r>
      <w:r w:rsidR="00586899" w:rsidRPr="00586899">
        <w:rPr>
          <w:szCs w:val="24"/>
        </w:rPr>
        <w:t xml:space="preserve">prekių ir sąskaitos faktūros už Prekes </w:t>
      </w:r>
      <w:r w:rsidR="004231F8" w:rsidRPr="00586899">
        <w:rPr>
          <w:szCs w:val="24"/>
        </w:rPr>
        <w:t>gavimo dienos</w:t>
      </w:r>
      <w:r w:rsidR="004231F8">
        <w:rPr>
          <w:szCs w:val="24"/>
        </w:rPr>
        <w:t xml:space="preserve">. </w:t>
      </w:r>
      <w:r w:rsidR="004231F8" w:rsidRPr="004231F8">
        <w:rPr>
          <w:szCs w:val="24"/>
        </w:rPr>
        <w:t xml:space="preserve">PVM sąskaitos-faktūros, kreditiniai ir debetiniai dokumentai bei avansinės sąskaitos jei tokių būtų turi būti teikiami naudojantis informacinės sistemos </w:t>
      </w:r>
      <w:r w:rsidR="00586899" w:rsidRPr="00586899">
        <w:rPr>
          <w:szCs w:val="24"/>
        </w:rPr>
        <w:t>„</w:t>
      </w:r>
      <w:r w:rsidR="00586899">
        <w:rPr>
          <w:szCs w:val="24"/>
        </w:rPr>
        <w:t>SABIS</w:t>
      </w:r>
      <w:r w:rsidR="00586899" w:rsidRPr="00586899">
        <w:rPr>
          <w:szCs w:val="24"/>
        </w:rPr>
        <w:t>“ priemonėmis</w:t>
      </w:r>
      <w:r w:rsidR="00586899">
        <w:rPr>
          <w:szCs w:val="24"/>
        </w:rPr>
        <w:t>.</w:t>
      </w:r>
    </w:p>
    <w:p w:rsidR="00EF4D85" w:rsidRPr="00264142" w:rsidRDefault="00EF4D85" w:rsidP="00BE5187">
      <w:pPr>
        <w:tabs>
          <w:tab w:val="num" w:pos="360"/>
        </w:tabs>
        <w:jc w:val="both"/>
        <w:rPr>
          <w:b/>
          <w:szCs w:val="24"/>
        </w:rPr>
      </w:pPr>
    </w:p>
    <w:p w:rsidR="00EF4D85" w:rsidRPr="00264142" w:rsidRDefault="00EF4D85" w:rsidP="00BE5187">
      <w:pPr>
        <w:tabs>
          <w:tab w:val="num" w:pos="360"/>
        </w:tabs>
        <w:jc w:val="both"/>
        <w:rPr>
          <w:b/>
          <w:szCs w:val="24"/>
          <w:u w:val="single"/>
        </w:rPr>
      </w:pPr>
      <w:r w:rsidRPr="00264142">
        <w:rPr>
          <w:b/>
          <w:szCs w:val="24"/>
        </w:rPr>
        <w:t xml:space="preserve">4. PREKIŲ KOKYBĖ </w:t>
      </w:r>
    </w:p>
    <w:p w:rsidR="00EF4D85" w:rsidRPr="00264142" w:rsidRDefault="00EF4D85" w:rsidP="00BE5187">
      <w:pPr>
        <w:jc w:val="both"/>
        <w:rPr>
          <w:szCs w:val="24"/>
        </w:rPr>
      </w:pPr>
      <w:r w:rsidRPr="00264142">
        <w:rPr>
          <w:szCs w:val="24"/>
        </w:rPr>
        <w:t xml:space="preserve">4.1. Pardavėjas garantuoja, kad parduodamos Prekės atitinka įprastus tokio pobūdžio gaminiams keliamus kokybės reikalavimus. </w:t>
      </w:r>
    </w:p>
    <w:p w:rsidR="00EF4D85" w:rsidRPr="00264142" w:rsidRDefault="00EF4D85" w:rsidP="00BE5187">
      <w:pPr>
        <w:jc w:val="both"/>
        <w:rPr>
          <w:szCs w:val="24"/>
        </w:rPr>
      </w:pPr>
      <w:r w:rsidRPr="00264142">
        <w:rPr>
          <w:szCs w:val="24"/>
        </w:rPr>
        <w:t>4.2.  Prekių kokybės dokumentai (gamintojo sertifikatai) saugomi pas Pardavėją, o Pirkėjui kartu su Prekių siuntomis, pateikiamos jų kopijos. Prekių atstovo pasirašymas ant PVM sąskaitos – faktūros ar kito dokumento, patvirtinantis, kad Prekės buvo perduotos Pirkėjui kartu reiškia, kad su Prekėmis Pirkėjui buvo perduota visa būtina dokumentacija (Prekių atitikties sertifikatai, pažymėjimai ir kiti dokumentai).</w:t>
      </w:r>
    </w:p>
    <w:p w:rsidR="00EF4D85" w:rsidRPr="00264142" w:rsidRDefault="00EF4D85" w:rsidP="00BE5187">
      <w:pPr>
        <w:jc w:val="both"/>
        <w:rPr>
          <w:szCs w:val="24"/>
        </w:rPr>
      </w:pPr>
      <w:r w:rsidRPr="00264142">
        <w:rPr>
          <w:szCs w:val="24"/>
        </w:rPr>
        <w:t>4.3.  Pristačius netinkamos kokybės prekes, Pirkėjas per 7 dienas nuo prekių priėmimo turi teisę pareikšti pretenziją Pardavėjui.</w:t>
      </w:r>
    </w:p>
    <w:p w:rsidR="00EF4D85" w:rsidRPr="00264142" w:rsidRDefault="00EF4D85" w:rsidP="00BE5187">
      <w:pPr>
        <w:tabs>
          <w:tab w:val="left" w:pos="0"/>
        </w:tabs>
        <w:jc w:val="both"/>
        <w:rPr>
          <w:szCs w:val="24"/>
        </w:rPr>
      </w:pPr>
      <w:r w:rsidRPr="00264142">
        <w:rPr>
          <w:szCs w:val="24"/>
        </w:rPr>
        <w:t>4.4. Pardavėjas, per 10 dienų nuo pretenzijos gavimo dienos, privalo išnagrinėti pretenziją iš esmės ir pateikti Pirkėjui atsakymą. Pripažinęs, kad pretenzija teisėta, Pardavėjas privalo priimti netinkamas Prekes atgal arba ištaisyti pretenzijoje nurodytus trūkumus savo sąskaita. Tokiu atveju Prekės grąžinamos Pirkėjui, išrašant grąžinimo aktą, nurodant tokias pačias Prekių kainas, kokiomis šios buvo pirktos iš Pardavėjo, bei PVM sąskaitos faktūros datą ir numerį.</w:t>
      </w:r>
    </w:p>
    <w:p w:rsidR="00EF4D85" w:rsidRPr="00264142" w:rsidRDefault="00EF4D85" w:rsidP="00BE5187">
      <w:pPr>
        <w:tabs>
          <w:tab w:val="left" w:pos="0"/>
        </w:tabs>
        <w:jc w:val="both"/>
        <w:rPr>
          <w:szCs w:val="24"/>
        </w:rPr>
      </w:pPr>
      <w:r w:rsidRPr="00264142">
        <w:rPr>
          <w:szCs w:val="24"/>
        </w:rPr>
        <w:t xml:space="preserve">4.5. Šalys susitaria, kad Prekių kokybei pablogėjus dėl netinkamų Prekių laikymo sąlygų po to, kai jos buvo perduotos Pirkėjui, Pardavėjas už tokį Prekių kokybės pablogėjimą neatsako. Šalys taip pat susitaria ir patvirtina, kad Pirkėjo patvirtinimas bet kokia forma, kad Prekės jam buvo perduotos (Pirkėjo atstovo parašu ant PVM sąskaitos faktūros ar kita forma) taip pat reiškia pavirtinimą, kad Prekių perdavimo metu Pirkėjas buvo tinkamai informuotas apie visas Prekių laikymo sąlygas.   </w:t>
      </w:r>
    </w:p>
    <w:p w:rsidR="00EF4D85" w:rsidRPr="00264142" w:rsidRDefault="00EF4D85" w:rsidP="00BE5187">
      <w:pPr>
        <w:tabs>
          <w:tab w:val="left" w:pos="0"/>
        </w:tabs>
        <w:jc w:val="both"/>
        <w:rPr>
          <w:szCs w:val="24"/>
        </w:rPr>
      </w:pPr>
    </w:p>
    <w:p w:rsidR="00EF4D85" w:rsidRPr="00264142" w:rsidRDefault="00EF4D85" w:rsidP="00BE5187">
      <w:pPr>
        <w:tabs>
          <w:tab w:val="left" w:pos="0"/>
        </w:tabs>
        <w:jc w:val="both"/>
        <w:rPr>
          <w:szCs w:val="24"/>
        </w:rPr>
      </w:pPr>
      <w:r w:rsidRPr="00264142">
        <w:rPr>
          <w:b/>
          <w:szCs w:val="24"/>
        </w:rPr>
        <w:t>5. SUTARTIES GALIOJIMO TERMINAS IR NUTRAUKIMAS</w:t>
      </w:r>
    </w:p>
    <w:p w:rsidR="00EF4D85" w:rsidRPr="00264142" w:rsidRDefault="00EF4D85" w:rsidP="00BE5187">
      <w:pPr>
        <w:tabs>
          <w:tab w:val="left" w:pos="0"/>
        </w:tabs>
        <w:jc w:val="both"/>
        <w:rPr>
          <w:szCs w:val="24"/>
        </w:rPr>
      </w:pPr>
      <w:r w:rsidRPr="00264142">
        <w:rPr>
          <w:szCs w:val="24"/>
        </w:rPr>
        <w:t xml:space="preserve">5.1. Sutartis įsigalioja nuo jų sudarymo momento. </w:t>
      </w:r>
    </w:p>
    <w:p w:rsidR="00EF4D85" w:rsidRPr="00130E6F" w:rsidRDefault="00EF4D85" w:rsidP="00BE5187">
      <w:pPr>
        <w:numPr>
          <w:ilvl w:val="1"/>
          <w:numId w:val="0"/>
        </w:numPr>
        <w:tabs>
          <w:tab w:val="num" w:pos="360"/>
          <w:tab w:val="num" w:pos="450"/>
        </w:tabs>
        <w:jc w:val="both"/>
        <w:rPr>
          <w:szCs w:val="24"/>
        </w:rPr>
      </w:pPr>
      <w:r w:rsidRPr="00264142">
        <w:rPr>
          <w:szCs w:val="24"/>
        </w:rPr>
        <w:lastRenderedPageBreak/>
        <w:t>5.2. Sutartis galioja iki</w:t>
      </w:r>
      <w:r w:rsidR="00130E6F">
        <w:rPr>
          <w:szCs w:val="24"/>
        </w:rPr>
        <w:t xml:space="preserve"> </w:t>
      </w:r>
      <w:r w:rsidR="00395EA9" w:rsidRPr="00130E6F">
        <w:rPr>
          <w:szCs w:val="24"/>
        </w:rPr>
        <w:t>202</w:t>
      </w:r>
      <w:r w:rsidR="007B68F4">
        <w:rPr>
          <w:szCs w:val="24"/>
        </w:rPr>
        <w:t>8</w:t>
      </w:r>
      <w:r w:rsidR="00395EA9" w:rsidRPr="00130E6F">
        <w:rPr>
          <w:szCs w:val="24"/>
        </w:rPr>
        <w:t xml:space="preserve"> m. </w:t>
      </w:r>
      <w:r w:rsidR="007B68F4">
        <w:rPr>
          <w:szCs w:val="24"/>
        </w:rPr>
        <w:t xml:space="preserve">liepos </w:t>
      </w:r>
      <w:r w:rsidR="00D06613">
        <w:rPr>
          <w:szCs w:val="24"/>
        </w:rPr>
        <w:t>8</w:t>
      </w:r>
      <w:r w:rsidR="007B68F4">
        <w:rPr>
          <w:szCs w:val="24"/>
        </w:rPr>
        <w:t xml:space="preserve"> </w:t>
      </w:r>
      <w:r w:rsidR="00130E6F" w:rsidRPr="00130E6F">
        <w:rPr>
          <w:szCs w:val="24"/>
        </w:rPr>
        <w:t>d.</w:t>
      </w:r>
      <w:r w:rsidR="00130E6F" w:rsidRPr="00130E6F">
        <w:rPr>
          <w:sz w:val="22"/>
        </w:rPr>
        <w:t xml:space="preserve"> </w:t>
      </w:r>
      <w:r w:rsidR="00130E6F">
        <w:rPr>
          <w:sz w:val="22"/>
        </w:rPr>
        <w:t>A</w:t>
      </w:r>
      <w:r w:rsidR="00130E6F" w:rsidRPr="00130E6F">
        <w:rPr>
          <w:szCs w:val="24"/>
        </w:rPr>
        <w:t>tsiskaitymo už paslaugas terminas į šį terminą neįskaičiuotas</w:t>
      </w:r>
      <w:r w:rsidR="00130E6F">
        <w:rPr>
          <w:szCs w:val="24"/>
        </w:rPr>
        <w:t>.</w:t>
      </w:r>
    </w:p>
    <w:p w:rsidR="00220224" w:rsidRPr="00264142" w:rsidRDefault="00220224" w:rsidP="00BE5187">
      <w:pPr>
        <w:numPr>
          <w:ilvl w:val="1"/>
          <w:numId w:val="0"/>
        </w:numPr>
        <w:tabs>
          <w:tab w:val="num" w:pos="360"/>
          <w:tab w:val="num" w:pos="450"/>
        </w:tabs>
        <w:jc w:val="both"/>
        <w:rPr>
          <w:szCs w:val="24"/>
        </w:rPr>
      </w:pPr>
      <w:r w:rsidRPr="00130E6F">
        <w:rPr>
          <w:szCs w:val="24"/>
        </w:rPr>
        <w:t xml:space="preserve">5.3. Sutartis gali </w:t>
      </w:r>
      <w:r w:rsidR="006D3B47" w:rsidRPr="00130E6F">
        <w:rPr>
          <w:szCs w:val="24"/>
        </w:rPr>
        <w:t>būti pratęsta vieną kartą 12 mėn., jei Pirkėjas neišperka sutarties vertės.</w:t>
      </w:r>
    </w:p>
    <w:p w:rsidR="00EF4D85" w:rsidRPr="00264142" w:rsidRDefault="00EF4D85" w:rsidP="00BE5187">
      <w:pPr>
        <w:numPr>
          <w:ilvl w:val="1"/>
          <w:numId w:val="0"/>
        </w:numPr>
        <w:tabs>
          <w:tab w:val="num" w:pos="360"/>
        </w:tabs>
        <w:jc w:val="both"/>
        <w:rPr>
          <w:szCs w:val="24"/>
        </w:rPr>
      </w:pPr>
      <w:r w:rsidRPr="00264142">
        <w:rPr>
          <w:szCs w:val="24"/>
        </w:rPr>
        <w:t>5.</w:t>
      </w:r>
      <w:r w:rsidR="00220224">
        <w:rPr>
          <w:szCs w:val="24"/>
        </w:rPr>
        <w:t>4</w:t>
      </w:r>
      <w:r w:rsidRPr="00264142">
        <w:rPr>
          <w:szCs w:val="24"/>
        </w:rPr>
        <w:t xml:space="preserve">. Sutartis gali būti pakeista arba nutraukta abipusiu Šalių susitarimu. </w:t>
      </w:r>
    </w:p>
    <w:p w:rsidR="00EF4D85" w:rsidRPr="00264142" w:rsidRDefault="00EF4D85" w:rsidP="00BE5187">
      <w:pPr>
        <w:numPr>
          <w:ilvl w:val="1"/>
          <w:numId w:val="0"/>
        </w:numPr>
        <w:tabs>
          <w:tab w:val="num" w:pos="360"/>
        </w:tabs>
        <w:jc w:val="both"/>
        <w:rPr>
          <w:szCs w:val="24"/>
        </w:rPr>
      </w:pPr>
      <w:r w:rsidRPr="00264142">
        <w:rPr>
          <w:szCs w:val="24"/>
        </w:rPr>
        <w:t>5.</w:t>
      </w:r>
      <w:r w:rsidR="00220224">
        <w:rPr>
          <w:szCs w:val="24"/>
        </w:rPr>
        <w:t>5</w:t>
      </w:r>
      <w:r w:rsidRPr="00264142">
        <w:rPr>
          <w:szCs w:val="24"/>
        </w:rPr>
        <w:t xml:space="preserve">. Pardavėjas turi teisę vienašališkai ne teismo tvarka nutraukti sutartį jei Pirkėjas pažeidžia šia sutartimi prisiimtus įsipareigojimus tinkamai priimti Prekes ir už jas atsiskaityti, įspėjęs apie tai Pirkėją ne vėliau nei likus 3 kalendorinėms dienoms iki jos nutraukimo. </w:t>
      </w:r>
    </w:p>
    <w:p w:rsidR="00EF4D85" w:rsidRPr="00264142" w:rsidRDefault="00EF4D85" w:rsidP="00BE5187">
      <w:pPr>
        <w:numPr>
          <w:ilvl w:val="1"/>
          <w:numId w:val="0"/>
        </w:numPr>
        <w:tabs>
          <w:tab w:val="num" w:pos="360"/>
        </w:tabs>
        <w:jc w:val="both"/>
        <w:rPr>
          <w:szCs w:val="24"/>
        </w:rPr>
      </w:pPr>
      <w:r w:rsidRPr="00264142">
        <w:rPr>
          <w:szCs w:val="24"/>
        </w:rPr>
        <w:t>5.</w:t>
      </w:r>
      <w:r w:rsidR="00220224">
        <w:rPr>
          <w:szCs w:val="24"/>
        </w:rPr>
        <w:t>6</w:t>
      </w:r>
      <w:r w:rsidRPr="00264142">
        <w:rPr>
          <w:szCs w:val="24"/>
        </w:rPr>
        <w:t>. Pirkėjas turi teisę vienašališkai ne teismo tvarka nutraukti sutartį, jei Pardavėjas, po pakartotinio Pirkėjo raginimo, išimtinai dėl savo kaltės vėluoja pristatyti Pirkėjui Prekes ilgiau nei 14 kalendorinių dienų. Apie vienašališką sutarties nutraukimą Pirkėjas informuoja Pardavėją ne vėliau nei likus 3 kalendorinėms dienoms iki sutarties nutraukimo</w:t>
      </w:r>
    </w:p>
    <w:p w:rsidR="00EF4D85" w:rsidRDefault="00EF4D85" w:rsidP="00BE5187">
      <w:pPr>
        <w:numPr>
          <w:ilvl w:val="1"/>
          <w:numId w:val="0"/>
        </w:numPr>
        <w:tabs>
          <w:tab w:val="num" w:pos="360"/>
        </w:tabs>
        <w:jc w:val="both"/>
        <w:rPr>
          <w:szCs w:val="24"/>
        </w:rPr>
      </w:pPr>
      <w:r w:rsidRPr="00264142">
        <w:rPr>
          <w:szCs w:val="24"/>
        </w:rPr>
        <w:t>5.</w:t>
      </w:r>
      <w:r w:rsidR="00220224">
        <w:rPr>
          <w:szCs w:val="24"/>
        </w:rPr>
        <w:t>7</w:t>
      </w:r>
      <w:r w:rsidRPr="00264142">
        <w:rPr>
          <w:szCs w:val="24"/>
        </w:rPr>
        <w:t xml:space="preserve">. Kiekviena Šalis turi teisę raštu prieš 3 (tris) kalendorines dienas įspėjusi kitą Šalį, vienašališkai nutraukti šią sutartį, jeigu yra pradedamos kitos Šalies bankroto, restruktūrizavimo ar likvidavimo procedūros arba Šalis tampa nemoki. </w:t>
      </w:r>
    </w:p>
    <w:p w:rsidR="00571A1C" w:rsidRPr="00BC2CC8" w:rsidRDefault="00571A1C" w:rsidP="00BE5187">
      <w:pPr>
        <w:numPr>
          <w:ilvl w:val="1"/>
          <w:numId w:val="0"/>
        </w:numPr>
        <w:tabs>
          <w:tab w:val="num" w:pos="360"/>
        </w:tabs>
        <w:jc w:val="both"/>
        <w:rPr>
          <w:b/>
          <w:bCs/>
          <w:szCs w:val="24"/>
        </w:rPr>
      </w:pPr>
    </w:p>
    <w:p w:rsidR="00571A1C" w:rsidRPr="00BC2CC8" w:rsidRDefault="00571A1C" w:rsidP="00BE5187">
      <w:pPr>
        <w:numPr>
          <w:ilvl w:val="1"/>
          <w:numId w:val="0"/>
        </w:numPr>
        <w:tabs>
          <w:tab w:val="num" w:pos="360"/>
        </w:tabs>
        <w:jc w:val="both"/>
        <w:rPr>
          <w:b/>
          <w:bCs/>
          <w:szCs w:val="24"/>
        </w:rPr>
      </w:pPr>
      <w:r w:rsidRPr="00BC2CC8">
        <w:rPr>
          <w:b/>
          <w:bCs/>
          <w:szCs w:val="24"/>
        </w:rPr>
        <w:t>6. APLINKOSAUGINIAI KRITERIJAI</w:t>
      </w:r>
    </w:p>
    <w:p w:rsidR="00571A1C" w:rsidRDefault="00571A1C" w:rsidP="00BE5187">
      <w:pPr>
        <w:numPr>
          <w:ilvl w:val="1"/>
          <w:numId w:val="0"/>
        </w:numPr>
        <w:tabs>
          <w:tab w:val="num" w:pos="360"/>
        </w:tabs>
        <w:jc w:val="both"/>
        <w:rPr>
          <w:szCs w:val="24"/>
        </w:rPr>
      </w:pPr>
      <w:r>
        <w:rPr>
          <w:szCs w:val="24"/>
        </w:rPr>
        <w:t xml:space="preserve">6.1. </w:t>
      </w:r>
      <w:r w:rsidRPr="00571A1C">
        <w:rPr>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rsidR="00571A1C" w:rsidRPr="00264142" w:rsidRDefault="00571A1C" w:rsidP="00BE5187">
      <w:pPr>
        <w:numPr>
          <w:ilvl w:val="1"/>
          <w:numId w:val="0"/>
        </w:numPr>
        <w:tabs>
          <w:tab w:val="num" w:pos="360"/>
        </w:tabs>
        <w:jc w:val="both"/>
        <w:rPr>
          <w:szCs w:val="24"/>
        </w:rPr>
      </w:pPr>
      <w:r>
        <w:rPr>
          <w:szCs w:val="24"/>
        </w:rPr>
        <w:t xml:space="preserve">6.2. </w:t>
      </w:r>
      <w:r w:rsidR="00BC2CC8" w:rsidRPr="00BC2CC8">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BC2CC8" w:rsidRPr="00BC2CC8">
        <w:rPr>
          <w:szCs w:val="24"/>
        </w:rPr>
        <w:t>perdirbamumą</w:t>
      </w:r>
      <w:proofErr w:type="spellEnd"/>
      <w:r w:rsidR="00BC2CC8" w:rsidRPr="00BC2CC8">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p>
    <w:p w:rsidR="00EF4D85" w:rsidRPr="00264142" w:rsidRDefault="00EF4D85" w:rsidP="00BE5187">
      <w:pPr>
        <w:numPr>
          <w:ilvl w:val="1"/>
          <w:numId w:val="0"/>
        </w:numPr>
        <w:tabs>
          <w:tab w:val="num" w:pos="360"/>
        </w:tabs>
        <w:jc w:val="both"/>
        <w:rPr>
          <w:szCs w:val="24"/>
        </w:rPr>
      </w:pPr>
    </w:p>
    <w:p w:rsidR="00EF4D85" w:rsidRPr="00264142" w:rsidRDefault="00BC2CC8" w:rsidP="00BE5187">
      <w:pPr>
        <w:numPr>
          <w:ilvl w:val="1"/>
          <w:numId w:val="0"/>
        </w:numPr>
        <w:tabs>
          <w:tab w:val="num" w:pos="360"/>
        </w:tabs>
        <w:jc w:val="both"/>
        <w:rPr>
          <w:szCs w:val="24"/>
        </w:rPr>
      </w:pPr>
      <w:r>
        <w:rPr>
          <w:szCs w:val="24"/>
        </w:rPr>
        <w:t>7</w:t>
      </w:r>
      <w:r w:rsidR="00EF4D85" w:rsidRPr="00264142">
        <w:rPr>
          <w:szCs w:val="24"/>
        </w:rPr>
        <w:t xml:space="preserve">. </w:t>
      </w:r>
      <w:r w:rsidR="00EF4D85" w:rsidRPr="00264142">
        <w:rPr>
          <w:b/>
          <w:szCs w:val="24"/>
        </w:rPr>
        <w:t>Š</w:t>
      </w:r>
      <w:r w:rsidRPr="00264142">
        <w:rPr>
          <w:b/>
          <w:szCs w:val="24"/>
        </w:rPr>
        <w:t>ALIŲ TEISĖS, PAREIGOS IR ATSAKOMYBĖ</w:t>
      </w:r>
    </w:p>
    <w:p w:rsidR="00EF4D85" w:rsidRPr="00264142" w:rsidRDefault="00BC2CC8" w:rsidP="00BE5187">
      <w:pPr>
        <w:pStyle w:val="MediumGrid21"/>
        <w:jc w:val="both"/>
        <w:rPr>
          <w:rFonts w:ascii="Times New Roman" w:hAnsi="Times New Roman"/>
          <w:lang w:val="lt-LT"/>
        </w:rPr>
      </w:pPr>
      <w:r>
        <w:rPr>
          <w:rFonts w:ascii="Times New Roman" w:hAnsi="Times New Roman"/>
          <w:lang w:val="lt-LT"/>
        </w:rPr>
        <w:t>7</w:t>
      </w:r>
      <w:r w:rsidR="00EF4D85" w:rsidRPr="00264142">
        <w:rPr>
          <w:rFonts w:ascii="Times New Roman" w:hAnsi="Times New Roman"/>
          <w:lang w:val="lt-LT"/>
        </w:rPr>
        <w:t>.1. Pirkėjas, vėluojantis atlikti bet kokio dydžio mokėjimą pagal šią sutartį ar susijusį su šia sutartimi, Pardavėjui jo pareikalavimu privalo mokėti 0,02 proc. dydžio delspinigius nuo vėluojamos sumos už kiekvieną uždelstą atsiskaityti dieną. Delspinigių sumokėjimas neatleidžia Pirkėjo nuo tinkamo įsipareigojimų pagal šią sutartį vykdymo.</w:t>
      </w:r>
    </w:p>
    <w:p w:rsidR="00EF4D85" w:rsidRPr="00264142" w:rsidRDefault="00BC2CC8" w:rsidP="00BE5187">
      <w:pPr>
        <w:pStyle w:val="MediumGrid21"/>
        <w:jc w:val="both"/>
        <w:rPr>
          <w:rFonts w:ascii="Times New Roman" w:hAnsi="Times New Roman"/>
          <w:b/>
          <w:lang w:val="lt-LT"/>
        </w:rPr>
      </w:pPr>
      <w:r>
        <w:rPr>
          <w:rFonts w:ascii="Times New Roman" w:hAnsi="Times New Roman"/>
          <w:lang w:val="lt-LT"/>
        </w:rPr>
        <w:t>7</w:t>
      </w:r>
      <w:r w:rsidR="00EF4D85" w:rsidRPr="00264142">
        <w:rPr>
          <w:rFonts w:ascii="Times New Roman" w:hAnsi="Times New Roman"/>
          <w:lang w:val="lt-LT"/>
        </w:rPr>
        <w:t>.</w:t>
      </w:r>
      <w:r w:rsidR="005754A3" w:rsidRPr="00264142">
        <w:rPr>
          <w:rFonts w:ascii="Times New Roman" w:hAnsi="Times New Roman"/>
          <w:lang w:val="lt-LT"/>
        </w:rPr>
        <w:t>2</w:t>
      </w:r>
      <w:r w:rsidR="00EF4D85" w:rsidRPr="00264142">
        <w:rPr>
          <w:rFonts w:ascii="Times New Roman" w:hAnsi="Times New Roman"/>
          <w:lang w:val="lt-LT"/>
        </w:rPr>
        <w:t>. Tais atvejais, kai Pirkėjas pažeidžia šia sutartimi prisiimtus įsipareigojimus, Pardavėjas turi teisę netvirtinti jo teikiamų Prekių užsakymų ir neprivalo toliau pagal šią sutartį tiekti Prekių, kol nebus pašalinti pažeidimai, arba gali pasinaudoti savo teise vienašališkai nutraukti šią sutartį, kaip tai numatyta šios sutarties 5.4 punkte.</w:t>
      </w:r>
    </w:p>
    <w:p w:rsidR="00EF4D85" w:rsidRPr="00264142" w:rsidRDefault="00BC2CC8" w:rsidP="00BE5187">
      <w:pPr>
        <w:pStyle w:val="MediumGrid21"/>
        <w:jc w:val="both"/>
        <w:rPr>
          <w:rFonts w:ascii="Times New Roman" w:hAnsi="Times New Roman"/>
          <w:lang w:val="lt-LT"/>
        </w:rPr>
      </w:pPr>
      <w:r>
        <w:rPr>
          <w:rFonts w:ascii="Times New Roman" w:hAnsi="Times New Roman"/>
          <w:lang w:val="lt-LT"/>
        </w:rPr>
        <w:t>7</w:t>
      </w:r>
      <w:r w:rsidR="00EF4D85" w:rsidRPr="00264142">
        <w:rPr>
          <w:rFonts w:ascii="Times New Roman" w:hAnsi="Times New Roman"/>
          <w:lang w:val="lt-LT"/>
        </w:rPr>
        <w:t>.</w:t>
      </w:r>
      <w:r>
        <w:rPr>
          <w:rFonts w:ascii="Times New Roman" w:hAnsi="Times New Roman"/>
          <w:lang w:val="lt-LT"/>
        </w:rPr>
        <w:t>3</w:t>
      </w:r>
      <w:r w:rsidR="00EF4D85" w:rsidRPr="00264142">
        <w:rPr>
          <w:rFonts w:ascii="Times New Roman" w:hAnsi="Times New Roman"/>
          <w:lang w:val="lt-LT"/>
        </w:rPr>
        <w:t>. Šalis atleidžiama nuo atsakomybės už sutarties neįvykdymą, jei ji įrodo, kad sutartis neįvykdyta dėl force majeure (nenugalimos jėgos) aplinkybių. Santykiams, atsirandantiems dėl force majeure aplinkybių, taikomos Lietuvos Respublikos teisės aktų, reglamentuojančių šias aplinkybes, nuostatos. Šalys įsipareigoja apie tokias aplinkybes pranešti viena kitai ne vėliau kaip per 10 (dešimt) dienų nuo tokių aplinkybių atsiradimo dienos. Jei šios aplinkybės trunka daugiau kaip 1 mėnesį, kiekviena Šalis turi teisę nutraukti Sutartį, ir nei viena iš jų neturi teisės pareikalauti iš kitos Šalies padengti nuostolius.</w:t>
      </w:r>
    </w:p>
    <w:p w:rsidR="00EF4D85" w:rsidRPr="00264142" w:rsidRDefault="00BC2CC8" w:rsidP="00584ABF">
      <w:pPr>
        <w:pStyle w:val="MediumGrid21"/>
        <w:jc w:val="both"/>
        <w:rPr>
          <w:rFonts w:ascii="Times New Roman" w:hAnsi="Times New Roman"/>
          <w:lang w:val="lt-LT"/>
        </w:rPr>
      </w:pPr>
      <w:r>
        <w:rPr>
          <w:rFonts w:ascii="Times New Roman" w:hAnsi="Times New Roman"/>
          <w:lang w:val="lt-LT"/>
        </w:rPr>
        <w:t>7</w:t>
      </w:r>
      <w:r w:rsidR="00EF4D85" w:rsidRPr="00264142">
        <w:rPr>
          <w:rFonts w:ascii="Times New Roman" w:hAnsi="Times New Roman"/>
          <w:lang w:val="lt-LT"/>
        </w:rPr>
        <w:t>.</w:t>
      </w:r>
      <w:r>
        <w:rPr>
          <w:rFonts w:ascii="Times New Roman" w:hAnsi="Times New Roman"/>
          <w:lang w:val="lt-LT"/>
        </w:rPr>
        <w:t>4</w:t>
      </w:r>
      <w:r w:rsidR="00EF4D85" w:rsidRPr="00264142">
        <w:rPr>
          <w:rFonts w:ascii="Times New Roman" w:hAnsi="Times New Roman"/>
          <w:lang w:val="lt-LT"/>
        </w:rPr>
        <w:t>. Pardavėjas patvirtina, kad į parduodamas Prekes tretieji asmenys neturi jokių teisių ar pretenzijų.</w:t>
      </w:r>
    </w:p>
    <w:p w:rsidR="00EF4D85" w:rsidRPr="00264142" w:rsidRDefault="00EF4D85" w:rsidP="00BE5187">
      <w:pPr>
        <w:pStyle w:val="MediumGrid21"/>
        <w:tabs>
          <w:tab w:val="left" w:pos="142"/>
        </w:tabs>
        <w:jc w:val="both"/>
        <w:rPr>
          <w:rFonts w:ascii="Times New Roman" w:hAnsi="Times New Roman"/>
          <w:lang w:val="lt-LT"/>
        </w:rPr>
      </w:pPr>
    </w:p>
    <w:p w:rsidR="00EF4D85" w:rsidRPr="00264142" w:rsidRDefault="00BC2CC8" w:rsidP="00BE5187">
      <w:pPr>
        <w:pStyle w:val="MediumGrid21"/>
        <w:tabs>
          <w:tab w:val="left" w:pos="0"/>
        </w:tabs>
        <w:jc w:val="both"/>
        <w:rPr>
          <w:rFonts w:ascii="Times New Roman" w:hAnsi="Times New Roman"/>
          <w:b/>
          <w:lang w:val="lt-LT"/>
        </w:rPr>
      </w:pPr>
      <w:r>
        <w:rPr>
          <w:rFonts w:ascii="Times New Roman" w:hAnsi="Times New Roman"/>
          <w:b/>
          <w:lang w:val="lt-LT"/>
        </w:rPr>
        <w:t>8</w:t>
      </w:r>
      <w:r w:rsidR="00EF4D85" w:rsidRPr="00264142">
        <w:rPr>
          <w:rFonts w:ascii="Times New Roman" w:hAnsi="Times New Roman"/>
          <w:b/>
          <w:lang w:val="lt-LT"/>
        </w:rPr>
        <w:t>. K</w:t>
      </w:r>
      <w:r w:rsidRPr="00264142">
        <w:rPr>
          <w:rFonts w:ascii="Times New Roman" w:hAnsi="Times New Roman"/>
          <w:b/>
          <w:lang w:val="lt-LT"/>
        </w:rPr>
        <w:t>ITOS SĄLYGOS</w:t>
      </w:r>
    </w:p>
    <w:p w:rsidR="00EF4D85" w:rsidRPr="00264142" w:rsidRDefault="00BC2CC8" w:rsidP="00BE5187">
      <w:pPr>
        <w:pStyle w:val="MediumGrid21"/>
        <w:tabs>
          <w:tab w:val="left" w:pos="0"/>
        </w:tabs>
        <w:jc w:val="both"/>
        <w:rPr>
          <w:rFonts w:ascii="Times New Roman" w:hAnsi="Times New Roman"/>
          <w:lang w:val="lt-LT"/>
        </w:rPr>
      </w:pPr>
      <w:r>
        <w:rPr>
          <w:rFonts w:ascii="Times New Roman" w:hAnsi="Times New Roman"/>
          <w:lang w:val="lt-LT"/>
        </w:rPr>
        <w:t>8</w:t>
      </w:r>
      <w:r w:rsidR="00EF4D85" w:rsidRPr="00264142">
        <w:rPr>
          <w:rFonts w:ascii="Times New Roman" w:hAnsi="Times New Roman"/>
          <w:lang w:val="lt-LT"/>
        </w:rPr>
        <w:t xml:space="preserve">.1. Visi šioje sutartyje numatyti ar kiti, su šios sutarties vykdymu susiję pranešimai yra teikiami raštu, t. y. įteikiami tiesiogiai Šalies atstovui pasirašytinai, paštu – siunčiant registruotu laišku, elektroniniu paštu, siunčiant adresais nurodytais specialiosiose šios sutarties sąlygose, arba faksu. </w:t>
      </w:r>
    </w:p>
    <w:p w:rsidR="00EF4D85" w:rsidRPr="00264142" w:rsidRDefault="00BC2CC8" w:rsidP="00BE5187">
      <w:pPr>
        <w:pStyle w:val="MediumGrid21"/>
        <w:tabs>
          <w:tab w:val="left" w:pos="0"/>
        </w:tabs>
        <w:jc w:val="both"/>
        <w:rPr>
          <w:rFonts w:ascii="Times New Roman" w:hAnsi="Times New Roman"/>
          <w:lang w:val="lt-LT"/>
        </w:rPr>
      </w:pPr>
      <w:r>
        <w:rPr>
          <w:rFonts w:ascii="Times New Roman" w:hAnsi="Times New Roman"/>
          <w:lang w:val="lt-LT"/>
        </w:rPr>
        <w:t>8</w:t>
      </w:r>
      <w:r w:rsidR="00EF4D85" w:rsidRPr="00264142">
        <w:rPr>
          <w:rFonts w:ascii="Times New Roman" w:hAnsi="Times New Roman"/>
          <w:lang w:val="lt-LT"/>
        </w:rPr>
        <w:t xml:space="preserve">.2. Šiai sutarčiai taikoma Lietuvos Respublikos teisė. </w:t>
      </w:r>
    </w:p>
    <w:p w:rsidR="00EF4D85" w:rsidRPr="00264142" w:rsidRDefault="00BC2CC8" w:rsidP="00BE5187">
      <w:pPr>
        <w:pStyle w:val="MediumGrid21"/>
        <w:tabs>
          <w:tab w:val="left" w:pos="0"/>
        </w:tabs>
        <w:jc w:val="both"/>
        <w:rPr>
          <w:rFonts w:ascii="Times New Roman" w:hAnsi="Times New Roman"/>
          <w:lang w:val="lt-LT"/>
        </w:rPr>
      </w:pPr>
      <w:r>
        <w:rPr>
          <w:rFonts w:ascii="Times New Roman" w:hAnsi="Times New Roman"/>
          <w:lang w:val="lt-LT"/>
        </w:rPr>
        <w:t>8</w:t>
      </w:r>
      <w:r w:rsidR="00EF4D85" w:rsidRPr="00264142">
        <w:rPr>
          <w:rFonts w:ascii="Times New Roman" w:hAnsi="Times New Roman"/>
          <w:lang w:val="lt-LT"/>
        </w:rPr>
        <w:t>.3. Bet kokie ginčai, nesutarimai ar reikalavimai, kylantys iš šios sutarties ar susiję su šia sutartimi, yra sprendžiami tarpusavio derybų būdu. Šalims nepavykus išspręsti ginčo tarpusavio derybų būdu, ginčai galutinai sprendžiami teisme, pagal Pardavėjo buveinės vietą.</w:t>
      </w:r>
    </w:p>
    <w:p w:rsidR="00EF4D85" w:rsidRPr="00264142" w:rsidRDefault="00BC2CC8" w:rsidP="00BE5187">
      <w:pPr>
        <w:pStyle w:val="MediumGrid21"/>
        <w:tabs>
          <w:tab w:val="left" w:pos="0"/>
        </w:tabs>
        <w:jc w:val="both"/>
        <w:rPr>
          <w:rFonts w:ascii="Times New Roman" w:hAnsi="Times New Roman"/>
          <w:lang w:val="lt-LT"/>
        </w:rPr>
      </w:pPr>
      <w:r>
        <w:rPr>
          <w:rFonts w:ascii="Times New Roman" w:hAnsi="Times New Roman"/>
          <w:lang w:val="lt-LT"/>
        </w:rPr>
        <w:t>8</w:t>
      </w:r>
      <w:r w:rsidR="00EF4D85" w:rsidRPr="00264142">
        <w:rPr>
          <w:rFonts w:ascii="Times New Roman" w:hAnsi="Times New Roman"/>
          <w:lang w:val="lt-LT"/>
        </w:rPr>
        <w:t>.4.</w:t>
      </w:r>
      <w:r w:rsidR="00EF4D85" w:rsidRPr="00264142">
        <w:rPr>
          <w:rStyle w:val="Emfaz"/>
          <w:rFonts w:ascii="Times New Roman" w:hAnsi="Times New Roman"/>
          <w:lang w:val="lt-LT"/>
        </w:rPr>
        <w:t xml:space="preserve"> Šalys susitaria, jog visa informacija, kurią bet kuriuo būdu (raštu, žodžiu, vizualiai ar elektronine forma) Šalys viena iš kitos gavo šios Sutarties sudarymo ir / ar vykdymo metu, laikoma konfidencialia </w:t>
      </w:r>
      <w:r w:rsidR="00EF4D85" w:rsidRPr="00264142">
        <w:rPr>
          <w:rStyle w:val="Emfaz"/>
          <w:rFonts w:ascii="Times New Roman" w:hAnsi="Times New Roman"/>
          <w:lang w:val="lt-LT"/>
        </w:rPr>
        <w:lastRenderedPageBreak/>
        <w:t>nuo jos sužinojimo momento (toliau – „</w:t>
      </w:r>
      <w:r w:rsidR="00EF4D85" w:rsidRPr="00264142">
        <w:rPr>
          <w:rStyle w:val="Emfaz"/>
          <w:rFonts w:ascii="Times New Roman" w:hAnsi="Times New Roman"/>
          <w:b/>
          <w:lang w:val="lt-LT"/>
        </w:rPr>
        <w:t>Konfidenciali informacija</w:t>
      </w:r>
      <w:r w:rsidR="00EF4D85" w:rsidRPr="00264142">
        <w:rPr>
          <w:rStyle w:val="Emfaz"/>
          <w:rFonts w:ascii="Times New Roman" w:hAnsi="Times New Roman"/>
          <w:lang w:val="lt-LT"/>
        </w:rPr>
        <w:t xml:space="preserve">“). Aiškumo dėlei Šalys pažymi, kad Konfidencialia informacija, be kita ko, laikomi bet kokie duomenys apie Pardavėją ir jo verslo partnerius (įskaitant, bet neapsiribojant, jų pavadinimai, adresai, telefonai, kita kontaktinė informacija), bet kokie duomenys apie Pardavėjo ir jo verslo partnerių finansinę padėtį, gaminamas prekes, produktus, teikiamas paslaugas ir kt., taip pat bet kokia kita informacija, kuri turi vertę dėl to, kad jos nežino tretieji asmenys. Konfidencialumo pareigos Šalys įsipareigoja laikytis neribotą laiką, t. y. tiek sutarties sudarymo, tiek jos vykdymo metu, tiek ir sutarčiai pasibaigus. </w:t>
      </w:r>
    </w:p>
    <w:p w:rsidR="00EF4D85" w:rsidRPr="00264142" w:rsidRDefault="00BC2CC8" w:rsidP="00BE5187">
      <w:pPr>
        <w:pStyle w:val="MediumGrid21"/>
        <w:tabs>
          <w:tab w:val="left" w:pos="142"/>
        </w:tabs>
        <w:jc w:val="both"/>
        <w:rPr>
          <w:rFonts w:ascii="Times New Roman" w:hAnsi="Times New Roman"/>
          <w:lang w:val="lt-LT"/>
        </w:rPr>
      </w:pPr>
      <w:r>
        <w:rPr>
          <w:rStyle w:val="Emfaz"/>
          <w:rFonts w:ascii="Times New Roman" w:hAnsi="Times New Roman"/>
          <w:lang w:val="lt-LT"/>
        </w:rPr>
        <w:t>8</w:t>
      </w:r>
      <w:r w:rsidR="00EF4D85" w:rsidRPr="00264142">
        <w:rPr>
          <w:rStyle w:val="Emfaz"/>
          <w:rFonts w:ascii="Times New Roman" w:hAnsi="Times New Roman"/>
          <w:lang w:val="lt-LT"/>
        </w:rPr>
        <w:t>.5. Jei bet kuri iš šioje sutartyje minimų nuostatų taps negaliojančia ar neįgyvendinama, tai ji Šalių susitarimu nedelsiant turi būti pakeista į naują nuostatą, artimiausią savo prasme ir turiniu.</w:t>
      </w:r>
      <w:r w:rsidR="00EF4D85" w:rsidRPr="00264142">
        <w:rPr>
          <w:rFonts w:ascii="Times New Roman" w:hAnsi="Times New Roman"/>
          <w:lang w:val="lt-LT"/>
        </w:rPr>
        <w:t xml:space="preserve"> Vienos iš sutarties sąlygų negaliojimas nedaro kitų šios sutarties sąlygų negaliojančiomis.</w:t>
      </w:r>
    </w:p>
    <w:p w:rsidR="00EF4D85" w:rsidRPr="00264142" w:rsidRDefault="00BC2CC8" w:rsidP="00BE5187">
      <w:pPr>
        <w:pStyle w:val="MediumGrid21"/>
        <w:tabs>
          <w:tab w:val="left" w:pos="142"/>
        </w:tabs>
        <w:jc w:val="both"/>
        <w:rPr>
          <w:rFonts w:ascii="Times New Roman" w:hAnsi="Times New Roman"/>
          <w:lang w:val="lt-LT"/>
        </w:rPr>
      </w:pPr>
      <w:r>
        <w:rPr>
          <w:rStyle w:val="Emfaz"/>
          <w:rFonts w:ascii="Times New Roman" w:hAnsi="Times New Roman"/>
          <w:lang w:val="lt-LT"/>
        </w:rPr>
        <w:t>8</w:t>
      </w:r>
      <w:r w:rsidR="00EF4D85" w:rsidRPr="00264142">
        <w:rPr>
          <w:rStyle w:val="Emfaz"/>
          <w:rFonts w:ascii="Times New Roman" w:hAnsi="Times New Roman"/>
          <w:lang w:val="lt-LT"/>
        </w:rPr>
        <w:t>.</w:t>
      </w:r>
      <w:r w:rsidR="00EF4D85" w:rsidRPr="00264142">
        <w:rPr>
          <w:rFonts w:ascii="Times New Roman" w:hAnsi="Times New Roman"/>
          <w:lang w:val="lt-LT"/>
        </w:rPr>
        <w:t xml:space="preserve">6. Šalys įsipareigoja nedelsdamos raštu pranešti kitai Šaliai apie bet kokių savo duomenų (pavadinimo, adreso, atsiskaitomosios sąskaitos rekvizitų ir pan.) pasikeitimą. </w:t>
      </w:r>
    </w:p>
    <w:p w:rsidR="00EF4D85" w:rsidRDefault="00BC2CC8" w:rsidP="00BE5187">
      <w:pPr>
        <w:pStyle w:val="MediumGrid21"/>
        <w:tabs>
          <w:tab w:val="left" w:pos="142"/>
        </w:tabs>
        <w:jc w:val="both"/>
        <w:rPr>
          <w:rFonts w:ascii="Times New Roman" w:hAnsi="Times New Roman"/>
          <w:lang w:val="lt-LT"/>
        </w:rPr>
      </w:pPr>
      <w:r>
        <w:rPr>
          <w:rFonts w:ascii="Times New Roman" w:hAnsi="Times New Roman"/>
          <w:lang w:val="lt-LT"/>
        </w:rPr>
        <w:t>8</w:t>
      </w:r>
      <w:r w:rsidR="00EF4D85" w:rsidRPr="00264142">
        <w:rPr>
          <w:rFonts w:ascii="Times New Roman" w:hAnsi="Times New Roman"/>
          <w:lang w:val="lt-LT"/>
        </w:rPr>
        <w:t>.7. Ši sutartis pasirašyta dviem egzemplioriais – po vieną egzempliorių įteikiama kiekvienai šaliai.</w:t>
      </w:r>
    </w:p>
    <w:p w:rsidR="009F54E3" w:rsidRPr="009F54E3" w:rsidRDefault="009F54E3" w:rsidP="009F54E3">
      <w:pPr>
        <w:jc w:val="both"/>
        <w:rPr>
          <w:szCs w:val="24"/>
        </w:rPr>
      </w:pPr>
      <w:r>
        <w:t xml:space="preserve">8.8. </w:t>
      </w:r>
      <w:r w:rsidRPr="009F54E3">
        <w:rPr>
          <w:szCs w:val="24"/>
        </w:rPr>
        <w:t>Už sutarties vykdymą atsakingi asmenys:</w:t>
      </w:r>
    </w:p>
    <w:p w:rsidR="009F54E3" w:rsidRPr="00E84FE5" w:rsidRDefault="009F54E3" w:rsidP="00242C47">
      <w:pPr>
        <w:pStyle w:val="Betarp"/>
        <w:jc w:val="both"/>
        <w:rPr>
          <w:color w:val="FF0000"/>
          <w:szCs w:val="24"/>
        </w:rPr>
      </w:pPr>
      <w:r w:rsidRPr="009F54E3">
        <w:rPr>
          <w:szCs w:val="24"/>
        </w:rPr>
        <w:t>Tiekėjo:</w:t>
      </w:r>
      <w:r w:rsidR="00242C47">
        <w:rPr>
          <w:szCs w:val="24"/>
        </w:rPr>
        <w:t xml:space="preserve"> </w:t>
      </w:r>
      <w:r w:rsidR="00242C47" w:rsidRPr="00242C47">
        <w:t>Produkto specialistė</w:t>
      </w:r>
      <w:r w:rsidRPr="00242C47">
        <w:t xml:space="preserve"> </w:t>
      </w:r>
      <w:r w:rsidR="00E84FE5" w:rsidRPr="00C62CFD">
        <w:rPr>
          <w:highlight w:val="black"/>
        </w:rPr>
        <w:t xml:space="preserve">Rasa </w:t>
      </w:r>
      <w:proofErr w:type="spellStart"/>
      <w:r w:rsidR="00E84FE5" w:rsidRPr="00C62CFD">
        <w:rPr>
          <w:highlight w:val="black"/>
        </w:rPr>
        <w:t>Varienė</w:t>
      </w:r>
      <w:proofErr w:type="spellEnd"/>
      <w:r w:rsidR="00E84FE5">
        <w:t xml:space="preserve">, tel. </w:t>
      </w:r>
      <w:r w:rsidR="00E84FE5" w:rsidRPr="00C62CFD">
        <w:rPr>
          <w:highlight w:val="black"/>
        </w:rPr>
        <w:t>+37065918114</w:t>
      </w:r>
      <w:r w:rsidR="00E84FE5">
        <w:t xml:space="preserve">, el. p. </w:t>
      </w:r>
      <w:proofErr w:type="spellStart"/>
      <w:r w:rsidR="00E84FE5" w:rsidRPr="00C62CFD">
        <w:rPr>
          <w:highlight w:val="black"/>
        </w:rPr>
        <w:t>rasa.variene</w:t>
      </w:r>
      <w:proofErr w:type="spellEnd"/>
      <w:r w:rsidR="00E84FE5" w:rsidRPr="00C62CFD">
        <w:rPr>
          <w:highlight w:val="black"/>
          <w:lang w:val="en-GB"/>
        </w:rPr>
        <w:t>@</w:t>
      </w:r>
      <w:r w:rsidR="00E84FE5" w:rsidRPr="00C62CFD">
        <w:rPr>
          <w:highlight w:val="black"/>
        </w:rPr>
        <w:t>diagsis.com</w:t>
      </w:r>
      <w:r w:rsidR="00E84FE5">
        <w:t>.</w:t>
      </w:r>
    </w:p>
    <w:p w:rsidR="009F54E3" w:rsidRPr="009F54E3" w:rsidRDefault="009F54E3" w:rsidP="009F54E3">
      <w:pPr>
        <w:jc w:val="both"/>
        <w:rPr>
          <w:szCs w:val="24"/>
        </w:rPr>
      </w:pPr>
      <w:r w:rsidRPr="009F54E3">
        <w:rPr>
          <w:szCs w:val="24"/>
        </w:rPr>
        <w:t xml:space="preserve">Pirkėjo: </w:t>
      </w:r>
      <w:r w:rsidR="00E84FE5">
        <w:rPr>
          <w:szCs w:val="24"/>
        </w:rPr>
        <w:t xml:space="preserve">Klinikinės-diagnostinės laboratorijos vedėja </w:t>
      </w:r>
      <w:r w:rsidR="00E84FE5" w:rsidRPr="00C62CFD">
        <w:rPr>
          <w:szCs w:val="24"/>
          <w:highlight w:val="black"/>
        </w:rPr>
        <w:t xml:space="preserve">Gražina </w:t>
      </w:r>
      <w:proofErr w:type="spellStart"/>
      <w:r w:rsidR="00E84FE5" w:rsidRPr="00C62CFD">
        <w:rPr>
          <w:szCs w:val="24"/>
          <w:highlight w:val="black"/>
        </w:rPr>
        <w:t>Jusienė</w:t>
      </w:r>
      <w:proofErr w:type="spellEnd"/>
      <w:r w:rsidRPr="009F54E3">
        <w:rPr>
          <w:szCs w:val="24"/>
        </w:rPr>
        <w:t xml:space="preserve">, tel. </w:t>
      </w:r>
      <w:r w:rsidRPr="00C62CFD">
        <w:rPr>
          <w:szCs w:val="24"/>
          <w:highlight w:val="black"/>
        </w:rPr>
        <w:t>+370 315 56 </w:t>
      </w:r>
      <w:r w:rsidR="00EB0427" w:rsidRPr="00C62CFD">
        <w:rPr>
          <w:szCs w:val="24"/>
          <w:highlight w:val="black"/>
        </w:rPr>
        <w:t>3</w:t>
      </w:r>
      <w:r w:rsidR="00E84FE5" w:rsidRPr="00C62CFD">
        <w:rPr>
          <w:szCs w:val="24"/>
          <w:highlight w:val="black"/>
        </w:rPr>
        <w:t>74</w:t>
      </w:r>
      <w:r w:rsidRPr="009F54E3">
        <w:rPr>
          <w:szCs w:val="24"/>
        </w:rPr>
        <w:t xml:space="preserve">, el. p. </w:t>
      </w:r>
      <w:r w:rsidR="00E84FE5" w:rsidRPr="00430B04">
        <w:rPr>
          <w:szCs w:val="24"/>
          <w:highlight w:val="black"/>
        </w:rPr>
        <w:t>g.jusiene@ligonine.lt</w:t>
      </w:r>
      <w:r w:rsidRPr="00430B04">
        <w:rPr>
          <w:szCs w:val="24"/>
          <w:highlight w:val="black"/>
        </w:rPr>
        <w:t>.</w:t>
      </w:r>
      <w:r w:rsidRPr="009F54E3">
        <w:rPr>
          <w:szCs w:val="24"/>
        </w:rPr>
        <w:t xml:space="preserve">  </w:t>
      </w:r>
      <w:r w:rsidRPr="009F54E3">
        <w:rPr>
          <w:noProof/>
          <w:szCs w:val="24"/>
        </w:rPr>
        <w:t xml:space="preserve">Pirkėjo paskirtas asmuo, atsakingas už Sutarties ir pakeitimų paskelbimą pagal Viešųjų pirkimų įstatymo 86 straipsnio 9 dalies nuostatas yra Viešųjų pirkimų organizatorė </w:t>
      </w:r>
      <w:r w:rsidR="00E84FE5" w:rsidRPr="00C62CFD">
        <w:rPr>
          <w:noProof/>
          <w:szCs w:val="24"/>
          <w:highlight w:val="black"/>
        </w:rPr>
        <w:t>Gabrielė Packevičiūtė</w:t>
      </w:r>
      <w:r w:rsidRPr="009F54E3">
        <w:rPr>
          <w:noProof/>
          <w:szCs w:val="24"/>
        </w:rPr>
        <w:t xml:space="preserve">, tel. </w:t>
      </w:r>
      <w:r w:rsidRPr="00C62CFD">
        <w:rPr>
          <w:noProof/>
          <w:szCs w:val="24"/>
          <w:highlight w:val="black"/>
        </w:rPr>
        <w:t>+370 315 56 315</w:t>
      </w:r>
      <w:r w:rsidRPr="009F54E3">
        <w:rPr>
          <w:noProof/>
          <w:szCs w:val="24"/>
        </w:rPr>
        <w:t xml:space="preserve">, el. paštas </w:t>
      </w:r>
      <w:r w:rsidR="00E84FE5" w:rsidRPr="00430B04">
        <w:rPr>
          <w:noProof/>
          <w:szCs w:val="24"/>
          <w:highlight w:val="black"/>
        </w:rPr>
        <w:t>g.packeviciute</w:t>
      </w:r>
      <w:r w:rsidR="00E84FE5" w:rsidRPr="00430B04">
        <w:rPr>
          <w:szCs w:val="24"/>
          <w:highlight w:val="black"/>
        </w:rPr>
        <w:t>@</w:t>
      </w:r>
      <w:proofErr w:type="spellStart"/>
      <w:r w:rsidR="00E84FE5" w:rsidRPr="00430B04">
        <w:rPr>
          <w:szCs w:val="24"/>
          <w:highlight w:val="black"/>
        </w:rPr>
        <w:t>ligonine.lt</w:t>
      </w:r>
      <w:proofErr w:type="spellEnd"/>
      <w:r w:rsidRPr="00430B04">
        <w:rPr>
          <w:szCs w:val="24"/>
          <w:highlight w:val="black"/>
        </w:rPr>
        <w:t>.</w:t>
      </w:r>
    </w:p>
    <w:p w:rsidR="009F54E3" w:rsidRPr="00264142" w:rsidRDefault="009F54E3" w:rsidP="00BE5187">
      <w:pPr>
        <w:pStyle w:val="MediumGrid21"/>
        <w:tabs>
          <w:tab w:val="left" w:pos="142"/>
        </w:tabs>
        <w:jc w:val="both"/>
        <w:rPr>
          <w:rFonts w:ascii="Times New Roman" w:hAnsi="Times New Roman"/>
          <w:lang w:val="lt-LT"/>
        </w:rPr>
      </w:pPr>
    </w:p>
    <w:p w:rsidR="00EF4D85" w:rsidRPr="00264142" w:rsidRDefault="00BC2CC8" w:rsidP="00BE5187">
      <w:pPr>
        <w:pStyle w:val="MediumGrid21"/>
        <w:tabs>
          <w:tab w:val="left" w:pos="142"/>
        </w:tabs>
        <w:jc w:val="both"/>
        <w:rPr>
          <w:rFonts w:ascii="Times New Roman" w:hAnsi="Times New Roman"/>
          <w:lang w:val="lt-LT"/>
        </w:rPr>
      </w:pPr>
      <w:r>
        <w:rPr>
          <w:rFonts w:ascii="Times New Roman" w:hAnsi="Times New Roman"/>
          <w:lang w:val="lt-LT"/>
        </w:rPr>
        <w:t>8</w:t>
      </w:r>
      <w:r w:rsidR="00EF4D85" w:rsidRPr="00264142">
        <w:rPr>
          <w:rFonts w:ascii="Times New Roman" w:hAnsi="Times New Roman"/>
          <w:lang w:val="lt-LT"/>
        </w:rPr>
        <w:t xml:space="preserve">.8. Sutarties priedas Nr. 1 - Prekių specifikacija ir kainos, laikomas neatskiriama šios sutarties dalimi. </w:t>
      </w:r>
    </w:p>
    <w:p w:rsidR="00EF4D85" w:rsidRPr="00264142" w:rsidRDefault="00EF4D85" w:rsidP="00BE5187">
      <w:pPr>
        <w:pStyle w:val="MediumGrid21"/>
        <w:tabs>
          <w:tab w:val="left" w:pos="142"/>
        </w:tabs>
        <w:jc w:val="both"/>
        <w:rPr>
          <w:rFonts w:ascii="Times New Roman" w:hAnsi="Times New Roman"/>
          <w:lang w:val="lt-LT"/>
        </w:rPr>
      </w:pPr>
    </w:p>
    <w:p w:rsidR="00EF4D85" w:rsidRPr="00264142" w:rsidRDefault="00EF4D85" w:rsidP="00BE5187">
      <w:pPr>
        <w:pStyle w:val="MediumGrid21"/>
        <w:tabs>
          <w:tab w:val="left" w:pos="142"/>
        </w:tabs>
        <w:jc w:val="both"/>
        <w:rPr>
          <w:rFonts w:ascii="Times New Roman" w:hAnsi="Times New Roman"/>
          <w:lang w:val="lt-LT"/>
        </w:rPr>
      </w:pPr>
    </w:p>
    <w:p w:rsidR="00EF4D85" w:rsidRPr="00264142" w:rsidRDefault="00EF4D85" w:rsidP="00BE5187">
      <w:pPr>
        <w:pStyle w:val="MediumGrid21"/>
        <w:tabs>
          <w:tab w:val="left" w:pos="142"/>
        </w:tabs>
        <w:jc w:val="both"/>
        <w:rPr>
          <w:rFonts w:ascii="Times New Roman" w:hAnsi="Times New Roman"/>
          <w:b/>
          <w:lang w:val="lt-LT"/>
        </w:rPr>
      </w:pPr>
      <w:r w:rsidRPr="00264142">
        <w:rPr>
          <w:rFonts w:ascii="Times New Roman" w:hAnsi="Times New Roman"/>
          <w:b/>
          <w:lang w:val="lt-LT"/>
        </w:rPr>
        <w:t>Šalių rekvizitai:</w:t>
      </w:r>
    </w:p>
    <w:p w:rsidR="00EF4D85" w:rsidRPr="00264142" w:rsidRDefault="00EF4D85" w:rsidP="00BE5187">
      <w:pPr>
        <w:jc w:val="both"/>
        <w:rPr>
          <w:b/>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5103"/>
      </w:tblGrid>
      <w:tr w:rsidR="002A66FB" w:rsidRPr="00264142" w:rsidTr="009B6BB0">
        <w:tc>
          <w:tcPr>
            <w:tcW w:w="4962" w:type="dxa"/>
            <w:shd w:val="clear" w:color="auto" w:fill="auto"/>
          </w:tcPr>
          <w:p w:rsidR="002A66FB" w:rsidRPr="00264142" w:rsidRDefault="002A66FB" w:rsidP="00BE5187">
            <w:pPr>
              <w:pStyle w:val="Betarp"/>
              <w:rPr>
                <w:b/>
                <w:szCs w:val="24"/>
              </w:rPr>
            </w:pPr>
            <w:r w:rsidRPr="00264142">
              <w:rPr>
                <w:b/>
                <w:szCs w:val="24"/>
              </w:rPr>
              <w:t xml:space="preserve">UAB „Diagnostinės sistemos“ </w:t>
            </w:r>
          </w:p>
          <w:p w:rsidR="002A66FB" w:rsidRPr="00264142" w:rsidRDefault="002A66FB" w:rsidP="00BE5187">
            <w:pPr>
              <w:rPr>
                <w:iCs/>
                <w:szCs w:val="24"/>
              </w:rPr>
            </w:pPr>
            <w:r w:rsidRPr="00264142">
              <w:rPr>
                <w:iCs/>
                <w:szCs w:val="24"/>
              </w:rPr>
              <w:t>Kalvarijų sodų 1-oji g. 2,  Vilnius</w:t>
            </w:r>
          </w:p>
          <w:p w:rsidR="002A66FB" w:rsidRPr="00264142" w:rsidRDefault="002A66FB" w:rsidP="00BE5187">
            <w:pPr>
              <w:rPr>
                <w:szCs w:val="24"/>
              </w:rPr>
            </w:pPr>
            <w:r w:rsidRPr="00264142">
              <w:rPr>
                <w:szCs w:val="24"/>
              </w:rPr>
              <w:t>Įm. k. 122263421</w:t>
            </w:r>
          </w:p>
          <w:p w:rsidR="002A66FB" w:rsidRPr="00264142" w:rsidRDefault="002A66FB" w:rsidP="00BE5187">
            <w:pPr>
              <w:rPr>
                <w:szCs w:val="24"/>
              </w:rPr>
            </w:pPr>
            <w:r w:rsidRPr="00264142">
              <w:rPr>
                <w:szCs w:val="24"/>
              </w:rPr>
              <w:t>PVM kodas: LT222634219</w:t>
            </w:r>
          </w:p>
          <w:p w:rsidR="002A66FB" w:rsidRPr="00264142" w:rsidRDefault="002A66FB" w:rsidP="00BE5187">
            <w:pPr>
              <w:rPr>
                <w:szCs w:val="24"/>
              </w:rPr>
            </w:pPr>
            <w:r w:rsidRPr="00264142">
              <w:rPr>
                <w:szCs w:val="24"/>
              </w:rPr>
              <w:t>AB SEB bankas</w:t>
            </w:r>
          </w:p>
          <w:p w:rsidR="002A66FB" w:rsidRPr="00264142" w:rsidRDefault="002A66FB" w:rsidP="00BE5187">
            <w:pPr>
              <w:rPr>
                <w:szCs w:val="24"/>
              </w:rPr>
            </w:pPr>
            <w:r w:rsidRPr="00264142">
              <w:rPr>
                <w:szCs w:val="24"/>
              </w:rPr>
              <w:t>Banko kodas: 70440</w:t>
            </w:r>
          </w:p>
          <w:p w:rsidR="002A66FB" w:rsidRPr="00264142" w:rsidRDefault="002A66FB" w:rsidP="00BE5187">
            <w:pPr>
              <w:rPr>
                <w:szCs w:val="24"/>
              </w:rPr>
            </w:pPr>
            <w:proofErr w:type="spellStart"/>
            <w:r w:rsidRPr="00264142">
              <w:rPr>
                <w:szCs w:val="24"/>
              </w:rPr>
              <w:t>A.s</w:t>
            </w:r>
            <w:proofErr w:type="spellEnd"/>
            <w:r w:rsidRPr="00264142">
              <w:rPr>
                <w:szCs w:val="24"/>
              </w:rPr>
              <w:t>. LT907044060001121835</w:t>
            </w:r>
          </w:p>
          <w:p w:rsidR="002A66FB" w:rsidRPr="00264142" w:rsidRDefault="002A66FB" w:rsidP="00BE5187">
            <w:pPr>
              <w:rPr>
                <w:szCs w:val="24"/>
              </w:rPr>
            </w:pPr>
            <w:r w:rsidRPr="00264142">
              <w:rPr>
                <w:szCs w:val="24"/>
              </w:rPr>
              <w:t xml:space="preserve">Tel. </w:t>
            </w:r>
            <w:r w:rsidR="00E84FE5">
              <w:rPr>
                <w:szCs w:val="24"/>
              </w:rPr>
              <w:t>0</w:t>
            </w:r>
            <w:r w:rsidRPr="00264142">
              <w:rPr>
                <w:szCs w:val="24"/>
              </w:rPr>
              <w:t xml:space="preserve"> 5</w:t>
            </w:r>
            <w:r w:rsidR="00E84FE5">
              <w:rPr>
                <w:szCs w:val="24"/>
              </w:rPr>
              <w:t> </w:t>
            </w:r>
            <w:r w:rsidRPr="00264142">
              <w:rPr>
                <w:szCs w:val="24"/>
              </w:rPr>
              <w:t>274</w:t>
            </w:r>
            <w:r w:rsidR="00E84FE5">
              <w:rPr>
                <w:szCs w:val="24"/>
              </w:rPr>
              <w:t xml:space="preserve"> </w:t>
            </w:r>
            <w:r w:rsidRPr="00264142">
              <w:rPr>
                <w:szCs w:val="24"/>
              </w:rPr>
              <w:t>0494</w:t>
            </w:r>
          </w:p>
          <w:p w:rsidR="002A66FB" w:rsidRPr="00264142" w:rsidRDefault="002A66FB" w:rsidP="00BE5187">
            <w:pPr>
              <w:rPr>
                <w:szCs w:val="24"/>
              </w:rPr>
            </w:pPr>
            <w:r w:rsidRPr="00264142">
              <w:rPr>
                <w:szCs w:val="24"/>
              </w:rPr>
              <w:t xml:space="preserve">Faksas: </w:t>
            </w:r>
            <w:r w:rsidR="00E84FE5">
              <w:rPr>
                <w:szCs w:val="24"/>
              </w:rPr>
              <w:t>0 5 277 7</w:t>
            </w:r>
            <w:r w:rsidRPr="00264142">
              <w:rPr>
                <w:szCs w:val="24"/>
              </w:rPr>
              <w:t>620</w:t>
            </w:r>
          </w:p>
          <w:p w:rsidR="002A66FB" w:rsidRPr="00264142" w:rsidRDefault="002A66FB" w:rsidP="00BE5187">
            <w:r w:rsidRPr="00264142">
              <w:rPr>
                <w:szCs w:val="24"/>
              </w:rPr>
              <w:t>El. paštas:diagnostines.sistemos@diagsis.</w:t>
            </w:r>
            <w:r w:rsidR="002225DE" w:rsidRPr="00264142">
              <w:rPr>
                <w:szCs w:val="24"/>
              </w:rPr>
              <w:t>com</w:t>
            </w:r>
          </w:p>
        </w:tc>
        <w:tc>
          <w:tcPr>
            <w:tcW w:w="5103" w:type="dxa"/>
            <w:shd w:val="clear" w:color="auto" w:fill="auto"/>
          </w:tcPr>
          <w:p w:rsidR="002A66FB" w:rsidRPr="00264142" w:rsidRDefault="002A66FB" w:rsidP="00BE5187">
            <w:pPr>
              <w:jc w:val="both"/>
              <w:rPr>
                <w:szCs w:val="24"/>
              </w:rPr>
            </w:pPr>
            <w:r w:rsidRPr="00264142">
              <w:rPr>
                <w:b/>
                <w:szCs w:val="24"/>
              </w:rPr>
              <w:t>Pirkėjas</w:t>
            </w:r>
          </w:p>
          <w:p w:rsidR="002A66FB" w:rsidRPr="00264142" w:rsidRDefault="002A66FB" w:rsidP="00BE5187">
            <w:pPr>
              <w:jc w:val="both"/>
              <w:rPr>
                <w:szCs w:val="24"/>
              </w:rPr>
            </w:pPr>
            <w:r w:rsidRPr="00264142">
              <w:rPr>
                <w:szCs w:val="24"/>
              </w:rPr>
              <w:t>VšĮ Alytaus apskrities S. Kudirkos ligoninė</w:t>
            </w:r>
          </w:p>
          <w:p w:rsidR="002A66FB" w:rsidRPr="00264142" w:rsidRDefault="002A66FB" w:rsidP="00BE5187">
            <w:pPr>
              <w:jc w:val="both"/>
              <w:rPr>
                <w:szCs w:val="24"/>
              </w:rPr>
            </w:pPr>
            <w:r w:rsidRPr="00264142">
              <w:rPr>
                <w:szCs w:val="24"/>
              </w:rPr>
              <w:t>Įmonės kodas 190272175</w:t>
            </w:r>
          </w:p>
          <w:p w:rsidR="002A66FB" w:rsidRPr="00264142" w:rsidRDefault="002A66FB" w:rsidP="00E84FE5">
            <w:pPr>
              <w:rPr>
                <w:szCs w:val="24"/>
              </w:rPr>
            </w:pPr>
            <w:r w:rsidRPr="00264142">
              <w:rPr>
                <w:szCs w:val="24"/>
              </w:rPr>
              <w:t>Buveinės adresas Ligoninės g.</w:t>
            </w:r>
            <w:r w:rsidR="00E84FE5">
              <w:rPr>
                <w:szCs w:val="24"/>
              </w:rPr>
              <w:t xml:space="preserve"> </w:t>
            </w:r>
            <w:r w:rsidRPr="00264142">
              <w:rPr>
                <w:szCs w:val="24"/>
              </w:rPr>
              <w:t>12, LT-62114</w:t>
            </w:r>
            <w:r w:rsidR="00E84FE5">
              <w:rPr>
                <w:szCs w:val="24"/>
              </w:rPr>
              <w:t>,</w:t>
            </w:r>
            <w:r w:rsidRPr="00264142">
              <w:rPr>
                <w:szCs w:val="24"/>
              </w:rPr>
              <w:t xml:space="preserve"> Alytus</w:t>
            </w:r>
          </w:p>
          <w:p w:rsidR="002A66FB" w:rsidRPr="00264142" w:rsidRDefault="002A66FB" w:rsidP="00BE5187">
            <w:pPr>
              <w:jc w:val="both"/>
              <w:rPr>
                <w:szCs w:val="24"/>
              </w:rPr>
            </w:pPr>
            <w:r w:rsidRPr="00264142">
              <w:rPr>
                <w:szCs w:val="24"/>
              </w:rPr>
              <w:t xml:space="preserve">Telefonas </w:t>
            </w:r>
            <w:r w:rsidR="00E84FE5">
              <w:rPr>
                <w:szCs w:val="24"/>
              </w:rPr>
              <w:t>0</w:t>
            </w:r>
            <w:r w:rsidRPr="00264142">
              <w:rPr>
                <w:szCs w:val="24"/>
              </w:rPr>
              <w:t> 315 56 301</w:t>
            </w:r>
          </w:p>
          <w:p w:rsidR="002A66FB" w:rsidRPr="00264142" w:rsidRDefault="002A66FB" w:rsidP="00BE5187">
            <w:pPr>
              <w:jc w:val="both"/>
              <w:rPr>
                <w:color w:val="000000" w:themeColor="text1"/>
              </w:rPr>
            </w:pPr>
            <w:r w:rsidRPr="00264142">
              <w:rPr>
                <w:color w:val="000000" w:themeColor="text1"/>
              </w:rPr>
              <w:t xml:space="preserve">Elektroninio pašto adresas </w:t>
            </w:r>
            <w:hyperlink r:id="rId7" w:history="1">
              <w:r w:rsidRPr="00264142">
                <w:rPr>
                  <w:rStyle w:val="Hipersaitas"/>
                </w:rPr>
                <w:t>alytus@ligonine.lt</w:t>
              </w:r>
            </w:hyperlink>
          </w:p>
          <w:p w:rsidR="002A66FB" w:rsidRPr="00264142" w:rsidRDefault="002A66FB" w:rsidP="00BE5187">
            <w:pPr>
              <w:jc w:val="both"/>
              <w:rPr>
                <w:color w:val="000000" w:themeColor="text1"/>
              </w:rPr>
            </w:pPr>
            <w:r w:rsidRPr="00264142">
              <w:rPr>
                <w:color w:val="000000" w:themeColor="text1"/>
              </w:rPr>
              <w:t xml:space="preserve">Faksas </w:t>
            </w:r>
            <w:r w:rsidR="00E84FE5">
              <w:rPr>
                <w:color w:val="000000" w:themeColor="text1"/>
              </w:rPr>
              <w:t>0</w:t>
            </w:r>
            <w:r w:rsidRPr="00264142">
              <w:rPr>
                <w:color w:val="000000" w:themeColor="text1"/>
              </w:rPr>
              <w:t> 315 75 530</w:t>
            </w:r>
          </w:p>
          <w:p w:rsidR="002A66FB" w:rsidRPr="00264142" w:rsidRDefault="002A66FB" w:rsidP="00BE5187">
            <w:pPr>
              <w:jc w:val="both"/>
              <w:rPr>
                <w:color w:val="000000" w:themeColor="text1"/>
              </w:rPr>
            </w:pPr>
            <w:r w:rsidRPr="00264142">
              <w:rPr>
                <w:color w:val="000000" w:themeColor="text1"/>
              </w:rPr>
              <w:t xml:space="preserve">Banko sąskaitos Nr. </w:t>
            </w:r>
            <w:r w:rsidRPr="00264142">
              <w:rPr>
                <w:iCs/>
                <w:szCs w:val="24"/>
              </w:rPr>
              <w:t>LT737300010091752982</w:t>
            </w:r>
          </w:p>
          <w:p w:rsidR="002A66FB" w:rsidRPr="00264142" w:rsidRDefault="002A66FB" w:rsidP="00BE5187">
            <w:pPr>
              <w:jc w:val="both"/>
              <w:rPr>
                <w:color w:val="000000" w:themeColor="text1"/>
              </w:rPr>
            </w:pPr>
            <w:r w:rsidRPr="00264142">
              <w:rPr>
                <w:color w:val="000000" w:themeColor="text1"/>
              </w:rPr>
              <w:t xml:space="preserve">Bankas </w:t>
            </w:r>
            <w:r w:rsidRPr="00264142">
              <w:rPr>
                <w:iCs/>
                <w:szCs w:val="24"/>
              </w:rPr>
              <w:t>AB Swedbank, banko kodas 73000</w:t>
            </w:r>
          </w:p>
          <w:p w:rsidR="002A66FB" w:rsidRPr="00264142" w:rsidRDefault="002A66FB" w:rsidP="00BE5187">
            <w:pPr>
              <w:jc w:val="both"/>
              <w:rPr>
                <w:szCs w:val="24"/>
              </w:rPr>
            </w:pPr>
          </w:p>
        </w:tc>
      </w:tr>
    </w:tbl>
    <w:p w:rsidR="00EF4D85" w:rsidRPr="00264142" w:rsidRDefault="00EF4D85" w:rsidP="00BE5187">
      <w:pPr>
        <w:tabs>
          <w:tab w:val="left" w:pos="284"/>
        </w:tabs>
        <w:jc w:val="both"/>
        <w:rPr>
          <w:b/>
          <w:szCs w:val="24"/>
        </w:rPr>
      </w:pPr>
    </w:p>
    <w:p w:rsidR="00EF4D85" w:rsidRPr="00264142" w:rsidRDefault="00EF4D85" w:rsidP="00BE5187">
      <w:pPr>
        <w:jc w:val="both"/>
        <w:rPr>
          <w:b/>
          <w:szCs w:val="24"/>
        </w:rPr>
      </w:pPr>
      <w:r w:rsidRPr="00264142">
        <w:rPr>
          <w:b/>
          <w:szCs w:val="24"/>
        </w:rPr>
        <w:t>Šalių (jų atstovų) parašai:</w:t>
      </w:r>
    </w:p>
    <w:p w:rsidR="00EF4D85" w:rsidRPr="00264142" w:rsidRDefault="00EF4D85" w:rsidP="00BE5187">
      <w:pPr>
        <w:ind w:firstLine="1146"/>
        <w:jc w:val="both"/>
        <w:rPr>
          <w:b/>
          <w:szCs w:val="24"/>
        </w:rPr>
      </w:pPr>
    </w:p>
    <w:p w:rsidR="00EF4D85" w:rsidRPr="00264142" w:rsidRDefault="00EF4D85" w:rsidP="00BE5187">
      <w:pPr>
        <w:ind w:firstLine="426"/>
        <w:jc w:val="both"/>
        <w:rPr>
          <w:szCs w:val="24"/>
        </w:rPr>
      </w:pPr>
      <w:r w:rsidRPr="00264142">
        <w:rPr>
          <w:szCs w:val="24"/>
        </w:rPr>
        <w:t>Pardavėjo vardu:</w:t>
      </w:r>
      <w:r w:rsidRPr="00264142">
        <w:rPr>
          <w:szCs w:val="24"/>
        </w:rPr>
        <w:tab/>
      </w:r>
      <w:r w:rsidRPr="00264142">
        <w:rPr>
          <w:szCs w:val="24"/>
        </w:rPr>
        <w:tab/>
      </w:r>
      <w:r w:rsidRPr="00264142">
        <w:rPr>
          <w:szCs w:val="24"/>
        </w:rPr>
        <w:tab/>
        <w:t>Pirkėjo vardu:</w:t>
      </w:r>
    </w:p>
    <w:p w:rsidR="00EF4D85" w:rsidRPr="00264142" w:rsidRDefault="002A66FB" w:rsidP="00BE5187">
      <w:pPr>
        <w:ind w:firstLine="426"/>
        <w:jc w:val="both"/>
        <w:rPr>
          <w:szCs w:val="24"/>
        </w:rPr>
      </w:pPr>
      <w:r w:rsidRPr="00264142">
        <w:rPr>
          <w:szCs w:val="24"/>
        </w:rPr>
        <w:t>Direktorius</w:t>
      </w:r>
      <w:r w:rsidR="00264142">
        <w:rPr>
          <w:szCs w:val="24"/>
        </w:rPr>
        <w:t xml:space="preserve"> prof. Julius Ptašekas</w:t>
      </w:r>
      <w:r w:rsidR="00264142">
        <w:rPr>
          <w:szCs w:val="24"/>
        </w:rPr>
        <w:tab/>
      </w:r>
      <w:r w:rsidRPr="00264142">
        <w:rPr>
          <w:szCs w:val="24"/>
        </w:rPr>
        <w:tab/>
      </w:r>
      <w:r w:rsidR="00EF4D85" w:rsidRPr="00264142">
        <w:rPr>
          <w:szCs w:val="24"/>
        </w:rPr>
        <w:t xml:space="preserve">Direktorius </w:t>
      </w:r>
      <w:r w:rsidR="00413AE7">
        <w:rPr>
          <w:szCs w:val="24"/>
        </w:rPr>
        <w:t>Svajūnas Žukauskas</w:t>
      </w:r>
    </w:p>
    <w:p w:rsidR="00EF4D85" w:rsidRPr="00264142" w:rsidRDefault="00EF4D85" w:rsidP="00BE5187">
      <w:pPr>
        <w:jc w:val="both"/>
        <w:rPr>
          <w:szCs w:val="24"/>
        </w:rPr>
      </w:pPr>
    </w:p>
    <w:p w:rsidR="00EF4D85" w:rsidRPr="00264142" w:rsidRDefault="00EF4D85" w:rsidP="00BE5187">
      <w:pPr>
        <w:jc w:val="both"/>
        <w:rPr>
          <w:szCs w:val="24"/>
        </w:rPr>
      </w:pPr>
    </w:p>
    <w:p w:rsidR="00EF4D85" w:rsidRPr="00264142" w:rsidRDefault="00EF4D85" w:rsidP="009B6BB0">
      <w:pPr>
        <w:jc w:val="both"/>
        <w:rPr>
          <w:szCs w:val="24"/>
        </w:rPr>
      </w:pPr>
      <w:r w:rsidRPr="00264142">
        <w:rPr>
          <w:szCs w:val="24"/>
        </w:rPr>
        <w:t>______________________________</w:t>
      </w:r>
      <w:r w:rsidRPr="00264142">
        <w:rPr>
          <w:szCs w:val="24"/>
        </w:rPr>
        <w:tab/>
      </w:r>
      <w:r w:rsidRPr="00264142">
        <w:rPr>
          <w:szCs w:val="24"/>
        </w:rPr>
        <w:tab/>
        <w:t>______________________________</w:t>
      </w:r>
    </w:p>
    <w:p w:rsidR="00EF4D85" w:rsidRPr="00264142" w:rsidRDefault="00EF4D85" w:rsidP="00BE5187">
      <w:pPr>
        <w:ind w:firstLine="426"/>
        <w:jc w:val="both"/>
        <w:rPr>
          <w:szCs w:val="24"/>
        </w:rPr>
      </w:pPr>
      <w:r w:rsidRPr="00264142">
        <w:rPr>
          <w:szCs w:val="24"/>
        </w:rPr>
        <w:t xml:space="preserve">(pareigos, vardas, pavardė, parašas) </w:t>
      </w:r>
      <w:r w:rsidRPr="00264142">
        <w:rPr>
          <w:szCs w:val="24"/>
        </w:rPr>
        <w:tab/>
        <w:t xml:space="preserve"> (pareigos, vardas, pavardė, parašas) </w:t>
      </w:r>
    </w:p>
    <w:p w:rsidR="00EF4D85" w:rsidRPr="00264142" w:rsidRDefault="00EF4D85" w:rsidP="00BE5187">
      <w:pPr>
        <w:rPr>
          <w:szCs w:val="24"/>
        </w:rPr>
      </w:pPr>
    </w:p>
    <w:p w:rsidR="00EF4D85" w:rsidRPr="00264142" w:rsidRDefault="00EF4D85" w:rsidP="00BE5187">
      <w:pPr>
        <w:rPr>
          <w:szCs w:val="24"/>
        </w:rPr>
      </w:pPr>
    </w:p>
    <w:p w:rsidR="00EF4D85" w:rsidRPr="00264142" w:rsidRDefault="00EF4D85" w:rsidP="00BE5187">
      <w:pPr>
        <w:rPr>
          <w:szCs w:val="24"/>
        </w:rPr>
      </w:pPr>
    </w:p>
    <w:p w:rsidR="00E84FE5" w:rsidRDefault="00E84FE5">
      <w:pPr>
        <w:spacing w:after="160" w:line="259" w:lineRule="auto"/>
        <w:rPr>
          <w:szCs w:val="24"/>
        </w:rPr>
        <w:sectPr w:rsidR="00E84FE5" w:rsidSect="008072A4">
          <w:pgSz w:w="11900" w:h="16840"/>
          <w:pgMar w:top="1134" w:right="567" w:bottom="567" w:left="1134" w:header="709" w:footer="709" w:gutter="0"/>
          <w:cols w:space="708"/>
          <w:docGrid w:linePitch="360"/>
        </w:sectPr>
      </w:pPr>
    </w:p>
    <w:p w:rsidR="006F07B5" w:rsidRPr="00264142" w:rsidRDefault="00EF4D85" w:rsidP="00E84FE5">
      <w:pPr>
        <w:jc w:val="right"/>
        <w:rPr>
          <w:b/>
        </w:rPr>
      </w:pPr>
      <w:r w:rsidRPr="00264142">
        <w:rPr>
          <w:b/>
        </w:rPr>
        <w:lastRenderedPageBreak/>
        <w:t xml:space="preserve">Sutarties priedas Nr. 1 </w:t>
      </w:r>
    </w:p>
    <w:p w:rsidR="006F07B5" w:rsidRPr="00264142" w:rsidRDefault="006F07B5" w:rsidP="00BE5187">
      <w:pPr>
        <w:rPr>
          <w:b/>
        </w:rPr>
      </w:pPr>
    </w:p>
    <w:p w:rsidR="006F07B5" w:rsidRPr="00264142" w:rsidRDefault="006F07B5" w:rsidP="00BE5187">
      <w:pPr>
        <w:rPr>
          <w:b/>
        </w:rPr>
      </w:pPr>
    </w:p>
    <w:p w:rsidR="00EF4D85" w:rsidRPr="00264142" w:rsidRDefault="00EF4D85" w:rsidP="00BE5187">
      <w:pPr>
        <w:jc w:val="center"/>
        <w:rPr>
          <w:b/>
          <w:sz w:val="28"/>
          <w:szCs w:val="28"/>
        </w:rPr>
      </w:pPr>
      <w:r w:rsidRPr="00264142">
        <w:rPr>
          <w:b/>
          <w:sz w:val="28"/>
          <w:szCs w:val="28"/>
        </w:rPr>
        <w:t>Prekių specifikacija ir kainos</w:t>
      </w:r>
    </w:p>
    <w:p w:rsidR="00EF4D85" w:rsidRPr="00264142" w:rsidRDefault="00EF4D85" w:rsidP="00BE5187">
      <w:pPr>
        <w:rPr>
          <w:b/>
        </w:rPr>
      </w:pPr>
    </w:p>
    <w:tbl>
      <w:tblPr>
        <w:tblStyle w:val="Lentelstinklelis"/>
        <w:tblW w:w="16143" w:type="dxa"/>
        <w:tblLook w:val="04A0"/>
      </w:tblPr>
      <w:tblGrid>
        <w:gridCol w:w="572"/>
        <w:gridCol w:w="2489"/>
        <w:gridCol w:w="1694"/>
        <w:gridCol w:w="2170"/>
        <w:gridCol w:w="1048"/>
        <w:gridCol w:w="1682"/>
        <w:gridCol w:w="1401"/>
        <w:gridCol w:w="1399"/>
        <w:gridCol w:w="1403"/>
        <w:gridCol w:w="2285"/>
      </w:tblGrid>
      <w:tr w:rsidR="00ED6A02" w:rsidRPr="00BC2CC8" w:rsidTr="00D23366">
        <w:tc>
          <w:tcPr>
            <w:tcW w:w="0" w:type="auto"/>
          </w:tcPr>
          <w:p w:rsidR="00D23366" w:rsidRPr="00BC2CC8" w:rsidRDefault="00D23366" w:rsidP="006059C7">
            <w:pPr>
              <w:jc w:val="center"/>
              <w:rPr>
                <w:szCs w:val="22"/>
              </w:rPr>
            </w:pPr>
            <w:r>
              <w:rPr>
                <w:szCs w:val="22"/>
              </w:rPr>
              <w:t>Eil. Nr.</w:t>
            </w:r>
          </w:p>
        </w:tc>
        <w:tc>
          <w:tcPr>
            <w:tcW w:w="0" w:type="auto"/>
          </w:tcPr>
          <w:p w:rsidR="00D23366" w:rsidRPr="00BC2CC8" w:rsidRDefault="00D23366" w:rsidP="006059C7">
            <w:pPr>
              <w:jc w:val="center"/>
              <w:rPr>
                <w:szCs w:val="22"/>
              </w:rPr>
            </w:pPr>
            <w:r w:rsidRPr="00BC2CC8">
              <w:rPr>
                <w:szCs w:val="22"/>
              </w:rPr>
              <w:t>Tyrimas</w:t>
            </w:r>
          </w:p>
        </w:tc>
        <w:tc>
          <w:tcPr>
            <w:tcW w:w="0" w:type="auto"/>
          </w:tcPr>
          <w:p w:rsidR="00D23366" w:rsidRPr="00BC2CC8" w:rsidRDefault="00D23366" w:rsidP="00E84FE5">
            <w:pPr>
              <w:jc w:val="center"/>
              <w:rPr>
                <w:szCs w:val="22"/>
              </w:rPr>
            </w:pPr>
            <w:r w:rsidRPr="00BC2CC8">
              <w:rPr>
                <w:szCs w:val="22"/>
              </w:rPr>
              <w:t>P</w:t>
            </w:r>
            <w:r>
              <w:rPr>
                <w:szCs w:val="22"/>
              </w:rPr>
              <w:t>reliminarus tyrimų skaičius 36 mėnesiams</w:t>
            </w:r>
          </w:p>
        </w:tc>
        <w:tc>
          <w:tcPr>
            <w:tcW w:w="0" w:type="auto"/>
          </w:tcPr>
          <w:p w:rsidR="00D23366" w:rsidRPr="00BC2CC8" w:rsidRDefault="00D23366" w:rsidP="008072A4">
            <w:pPr>
              <w:jc w:val="center"/>
              <w:rPr>
                <w:szCs w:val="22"/>
              </w:rPr>
            </w:pPr>
            <w:r>
              <w:rPr>
                <w:szCs w:val="22"/>
              </w:rPr>
              <w:t>Siūlomi kokybiniai ir techniniai parametrai</w:t>
            </w:r>
          </w:p>
        </w:tc>
        <w:tc>
          <w:tcPr>
            <w:tcW w:w="0" w:type="auto"/>
          </w:tcPr>
          <w:p w:rsidR="00D23366" w:rsidRPr="00BC2CC8" w:rsidRDefault="00D23366" w:rsidP="008072A4">
            <w:pPr>
              <w:jc w:val="center"/>
              <w:rPr>
                <w:szCs w:val="22"/>
              </w:rPr>
            </w:pPr>
            <w:r>
              <w:rPr>
                <w:szCs w:val="22"/>
              </w:rPr>
              <w:t>Siūloma pakuotė</w:t>
            </w:r>
          </w:p>
        </w:tc>
        <w:tc>
          <w:tcPr>
            <w:tcW w:w="0" w:type="auto"/>
          </w:tcPr>
          <w:p w:rsidR="00D23366" w:rsidRPr="00BC2CC8" w:rsidRDefault="00D23366" w:rsidP="008072A4">
            <w:pPr>
              <w:jc w:val="center"/>
              <w:rPr>
                <w:szCs w:val="22"/>
              </w:rPr>
            </w:pPr>
            <w:r>
              <w:rPr>
                <w:szCs w:val="22"/>
              </w:rPr>
              <w:t>Poreikis pakuotėmis pagal nurodytą tyrimų skaičių</w:t>
            </w:r>
          </w:p>
        </w:tc>
        <w:tc>
          <w:tcPr>
            <w:tcW w:w="0" w:type="auto"/>
          </w:tcPr>
          <w:p w:rsidR="00D23366" w:rsidRPr="00BC2CC8" w:rsidRDefault="00D23366" w:rsidP="008072A4">
            <w:pPr>
              <w:jc w:val="center"/>
              <w:rPr>
                <w:szCs w:val="22"/>
              </w:rPr>
            </w:pPr>
            <w:r>
              <w:rPr>
                <w:szCs w:val="22"/>
              </w:rPr>
              <w:t>Siūlomos pakuotės kaina, EUR be PVM</w:t>
            </w:r>
          </w:p>
        </w:tc>
        <w:tc>
          <w:tcPr>
            <w:tcW w:w="0" w:type="auto"/>
          </w:tcPr>
          <w:p w:rsidR="00D23366" w:rsidRPr="00BC2CC8" w:rsidRDefault="00D23366" w:rsidP="0031624E">
            <w:pPr>
              <w:jc w:val="center"/>
              <w:rPr>
                <w:szCs w:val="22"/>
              </w:rPr>
            </w:pPr>
            <w:r>
              <w:rPr>
                <w:szCs w:val="22"/>
              </w:rPr>
              <w:t>Siūlomos pakuotės kaina, EUR su PVM</w:t>
            </w:r>
          </w:p>
        </w:tc>
        <w:tc>
          <w:tcPr>
            <w:tcW w:w="1403" w:type="dxa"/>
          </w:tcPr>
          <w:p w:rsidR="00D23366" w:rsidRPr="00BC2CC8" w:rsidRDefault="00D23366" w:rsidP="0031624E">
            <w:pPr>
              <w:jc w:val="center"/>
              <w:rPr>
                <w:szCs w:val="22"/>
              </w:rPr>
            </w:pPr>
            <w:r>
              <w:rPr>
                <w:szCs w:val="22"/>
              </w:rPr>
              <w:t>Bendra suma EUR su PVM</w:t>
            </w:r>
          </w:p>
        </w:tc>
        <w:tc>
          <w:tcPr>
            <w:tcW w:w="2285" w:type="dxa"/>
          </w:tcPr>
          <w:p w:rsidR="00D23366" w:rsidRPr="00BC2CC8" w:rsidRDefault="00D23366" w:rsidP="0031624E">
            <w:pPr>
              <w:jc w:val="center"/>
              <w:rPr>
                <w:szCs w:val="22"/>
              </w:rPr>
            </w:pPr>
            <w:r>
              <w:rPr>
                <w:szCs w:val="22"/>
              </w:rPr>
              <w:t>Komercinis pavadinimas, gamintojas, pastabos</w:t>
            </w:r>
          </w:p>
        </w:tc>
      </w:tr>
      <w:tr w:rsidR="00ED6A02" w:rsidRPr="00395EA9" w:rsidTr="00D23366">
        <w:tc>
          <w:tcPr>
            <w:tcW w:w="0" w:type="auto"/>
          </w:tcPr>
          <w:p w:rsidR="00D23366" w:rsidRPr="00D23366" w:rsidRDefault="00D23366" w:rsidP="00D23366">
            <w:pPr>
              <w:jc w:val="center"/>
              <w:rPr>
                <w:b/>
                <w:szCs w:val="24"/>
              </w:rPr>
            </w:pPr>
            <w:r w:rsidRPr="00D23366">
              <w:rPr>
                <w:b/>
                <w:szCs w:val="24"/>
              </w:rPr>
              <w:t>1</w:t>
            </w:r>
          </w:p>
        </w:tc>
        <w:tc>
          <w:tcPr>
            <w:tcW w:w="0" w:type="auto"/>
            <w:vAlign w:val="center"/>
          </w:tcPr>
          <w:p w:rsidR="00D23366" w:rsidRPr="00D23366" w:rsidRDefault="00D23366" w:rsidP="00D23366">
            <w:pPr>
              <w:jc w:val="center"/>
              <w:rPr>
                <w:b/>
                <w:szCs w:val="24"/>
              </w:rPr>
            </w:pPr>
            <w:r w:rsidRPr="00D23366">
              <w:rPr>
                <w:b/>
                <w:szCs w:val="24"/>
              </w:rPr>
              <w:t>2</w:t>
            </w:r>
          </w:p>
        </w:tc>
        <w:tc>
          <w:tcPr>
            <w:tcW w:w="0" w:type="auto"/>
            <w:vAlign w:val="center"/>
          </w:tcPr>
          <w:p w:rsidR="00D23366" w:rsidRPr="00D23366" w:rsidRDefault="00D23366" w:rsidP="00D23366">
            <w:pPr>
              <w:jc w:val="center"/>
              <w:rPr>
                <w:b/>
                <w:szCs w:val="24"/>
              </w:rPr>
            </w:pPr>
            <w:r w:rsidRPr="00D23366">
              <w:rPr>
                <w:b/>
                <w:szCs w:val="24"/>
              </w:rPr>
              <w:t>3</w:t>
            </w:r>
          </w:p>
        </w:tc>
        <w:tc>
          <w:tcPr>
            <w:tcW w:w="0" w:type="auto"/>
            <w:vAlign w:val="center"/>
          </w:tcPr>
          <w:p w:rsidR="00D23366" w:rsidRPr="00D23366" w:rsidRDefault="00D23366" w:rsidP="00D23366">
            <w:pPr>
              <w:jc w:val="center"/>
              <w:rPr>
                <w:b/>
                <w:szCs w:val="24"/>
              </w:rPr>
            </w:pPr>
            <w:r w:rsidRPr="00D23366">
              <w:rPr>
                <w:b/>
                <w:szCs w:val="24"/>
              </w:rPr>
              <w:t>4</w:t>
            </w:r>
          </w:p>
        </w:tc>
        <w:tc>
          <w:tcPr>
            <w:tcW w:w="0" w:type="auto"/>
            <w:vAlign w:val="center"/>
          </w:tcPr>
          <w:p w:rsidR="00D23366" w:rsidRPr="00D23366" w:rsidRDefault="00D23366" w:rsidP="00D23366">
            <w:pPr>
              <w:jc w:val="center"/>
              <w:rPr>
                <w:b/>
                <w:szCs w:val="24"/>
              </w:rPr>
            </w:pPr>
            <w:r w:rsidRPr="00D23366">
              <w:rPr>
                <w:b/>
                <w:szCs w:val="24"/>
              </w:rPr>
              <w:t>5</w:t>
            </w:r>
          </w:p>
        </w:tc>
        <w:tc>
          <w:tcPr>
            <w:tcW w:w="0" w:type="auto"/>
            <w:vAlign w:val="center"/>
          </w:tcPr>
          <w:p w:rsidR="00D23366" w:rsidRPr="00D23366" w:rsidRDefault="00D23366" w:rsidP="00D23366">
            <w:pPr>
              <w:jc w:val="center"/>
              <w:rPr>
                <w:b/>
                <w:szCs w:val="24"/>
              </w:rPr>
            </w:pPr>
            <w:r w:rsidRPr="00D23366">
              <w:rPr>
                <w:b/>
                <w:szCs w:val="24"/>
              </w:rPr>
              <w:t>6</w:t>
            </w:r>
          </w:p>
        </w:tc>
        <w:tc>
          <w:tcPr>
            <w:tcW w:w="0" w:type="auto"/>
            <w:vAlign w:val="center"/>
          </w:tcPr>
          <w:p w:rsidR="00D23366" w:rsidRPr="00D23366" w:rsidRDefault="00D23366" w:rsidP="00D23366">
            <w:pPr>
              <w:jc w:val="center"/>
              <w:rPr>
                <w:b/>
                <w:szCs w:val="24"/>
              </w:rPr>
            </w:pPr>
            <w:r w:rsidRPr="00D23366">
              <w:rPr>
                <w:b/>
                <w:szCs w:val="24"/>
              </w:rPr>
              <w:t>7</w:t>
            </w:r>
          </w:p>
        </w:tc>
        <w:tc>
          <w:tcPr>
            <w:tcW w:w="0" w:type="auto"/>
          </w:tcPr>
          <w:p w:rsidR="00D23366" w:rsidRPr="00D23366" w:rsidRDefault="00D23366" w:rsidP="00D23366">
            <w:pPr>
              <w:jc w:val="center"/>
              <w:rPr>
                <w:b/>
                <w:szCs w:val="24"/>
              </w:rPr>
            </w:pPr>
            <w:r w:rsidRPr="00D23366">
              <w:rPr>
                <w:b/>
                <w:szCs w:val="24"/>
              </w:rPr>
              <w:t>8</w:t>
            </w:r>
          </w:p>
        </w:tc>
        <w:tc>
          <w:tcPr>
            <w:tcW w:w="1403" w:type="dxa"/>
          </w:tcPr>
          <w:p w:rsidR="00D23366" w:rsidRPr="00D23366" w:rsidRDefault="00D23366" w:rsidP="00D23366">
            <w:pPr>
              <w:jc w:val="center"/>
              <w:rPr>
                <w:b/>
                <w:szCs w:val="24"/>
              </w:rPr>
            </w:pPr>
            <w:r w:rsidRPr="00D23366">
              <w:rPr>
                <w:b/>
                <w:szCs w:val="24"/>
              </w:rPr>
              <w:t>9</w:t>
            </w:r>
          </w:p>
        </w:tc>
        <w:tc>
          <w:tcPr>
            <w:tcW w:w="2285" w:type="dxa"/>
          </w:tcPr>
          <w:p w:rsidR="00D23366" w:rsidRPr="00D23366" w:rsidRDefault="00D23366" w:rsidP="00D23366">
            <w:pPr>
              <w:jc w:val="center"/>
              <w:rPr>
                <w:b/>
                <w:szCs w:val="24"/>
              </w:rPr>
            </w:pPr>
            <w:r w:rsidRPr="00D23366">
              <w:rPr>
                <w:b/>
                <w:szCs w:val="24"/>
              </w:rPr>
              <w:t>10</w:t>
            </w:r>
          </w:p>
        </w:tc>
      </w:tr>
      <w:tr w:rsidR="00D23366" w:rsidRPr="00395EA9" w:rsidTr="00762FA0">
        <w:tc>
          <w:tcPr>
            <w:tcW w:w="0" w:type="auto"/>
          </w:tcPr>
          <w:p w:rsidR="00D23366" w:rsidRPr="00D23366" w:rsidRDefault="00D23366" w:rsidP="00D23366">
            <w:pPr>
              <w:jc w:val="center"/>
              <w:rPr>
                <w:b/>
                <w:szCs w:val="24"/>
              </w:rPr>
            </w:pPr>
            <w:r>
              <w:rPr>
                <w:b/>
                <w:szCs w:val="24"/>
              </w:rPr>
              <w:t>2</w:t>
            </w:r>
          </w:p>
        </w:tc>
        <w:tc>
          <w:tcPr>
            <w:tcW w:w="15522" w:type="dxa"/>
            <w:gridSpan w:val="9"/>
            <w:vAlign w:val="center"/>
          </w:tcPr>
          <w:p w:rsidR="00D23366" w:rsidRPr="00D23366" w:rsidRDefault="00D23366" w:rsidP="00D23366">
            <w:pPr>
              <w:jc w:val="center"/>
              <w:rPr>
                <w:b/>
                <w:szCs w:val="24"/>
              </w:rPr>
            </w:pPr>
            <w:r>
              <w:rPr>
                <w:b/>
                <w:szCs w:val="24"/>
              </w:rPr>
              <w:t>REAGENTAI ANTIAGREGANTŲ POVEIKIO NUSTATYMUI ATLIEKAMIEMS TYRIMAMS AUTOMATINIU ANALIZATORIUMI</w:t>
            </w:r>
          </w:p>
        </w:tc>
      </w:tr>
      <w:tr w:rsidR="00D23366" w:rsidRPr="00395EA9" w:rsidTr="00323ACE">
        <w:tc>
          <w:tcPr>
            <w:tcW w:w="16143" w:type="dxa"/>
            <w:gridSpan w:val="10"/>
          </w:tcPr>
          <w:p w:rsidR="00D23366" w:rsidRPr="00D23366" w:rsidRDefault="00D23366" w:rsidP="00D23366">
            <w:pPr>
              <w:jc w:val="center"/>
              <w:rPr>
                <w:b/>
                <w:szCs w:val="24"/>
              </w:rPr>
            </w:pPr>
          </w:p>
        </w:tc>
      </w:tr>
      <w:tr w:rsidR="00ED6A02" w:rsidRPr="00395EA9" w:rsidTr="00D23366">
        <w:tc>
          <w:tcPr>
            <w:tcW w:w="0" w:type="auto"/>
          </w:tcPr>
          <w:p w:rsidR="00D23366" w:rsidRDefault="00D23366" w:rsidP="00D23366">
            <w:pPr>
              <w:jc w:val="center"/>
              <w:rPr>
                <w:b/>
                <w:szCs w:val="24"/>
              </w:rPr>
            </w:pPr>
          </w:p>
        </w:tc>
        <w:tc>
          <w:tcPr>
            <w:tcW w:w="0" w:type="auto"/>
            <w:vAlign w:val="center"/>
          </w:tcPr>
          <w:p w:rsidR="00D23366" w:rsidRPr="00D23366" w:rsidRDefault="00D23366" w:rsidP="00D23366">
            <w:pPr>
              <w:rPr>
                <w:b/>
                <w:szCs w:val="24"/>
              </w:rPr>
            </w:pPr>
            <w:r>
              <w:rPr>
                <w:b/>
                <w:szCs w:val="24"/>
              </w:rPr>
              <w:t>Aspirino poveikio nustatymas</w:t>
            </w:r>
          </w:p>
        </w:tc>
        <w:tc>
          <w:tcPr>
            <w:tcW w:w="0" w:type="auto"/>
            <w:vAlign w:val="center"/>
          </w:tcPr>
          <w:p w:rsidR="00D23366" w:rsidRPr="00D23366" w:rsidRDefault="00D23366" w:rsidP="00D23366">
            <w:pPr>
              <w:jc w:val="center"/>
              <w:rPr>
                <w:szCs w:val="24"/>
              </w:rPr>
            </w:pPr>
            <w:r w:rsidRPr="00D23366">
              <w:rPr>
                <w:szCs w:val="24"/>
              </w:rPr>
              <w:t>120</w:t>
            </w:r>
          </w:p>
        </w:tc>
        <w:tc>
          <w:tcPr>
            <w:tcW w:w="0" w:type="auto"/>
            <w:vAlign w:val="center"/>
          </w:tcPr>
          <w:p w:rsidR="00D23366" w:rsidRPr="00D23366" w:rsidRDefault="00D23366" w:rsidP="00D23366">
            <w:pPr>
              <w:jc w:val="center"/>
              <w:rPr>
                <w:b/>
                <w:szCs w:val="24"/>
              </w:rPr>
            </w:pPr>
          </w:p>
        </w:tc>
        <w:tc>
          <w:tcPr>
            <w:tcW w:w="0" w:type="auto"/>
            <w:vAlign w:val="center"/>
          </w:tcPr>
          <w:p w:rsidR="00D23366" w:rsidRPr="00D23366" w:rsidRDefault="00D23366" w:rsidP="00D23366">
            <w:pPr>
              <w:jc w:val="center"/>
              <w:rPr>
                <w:b/>
                <w:szCs w:val="24"/>
              </w:rPr>
            </w:pPr>
          </w:p>
        </w:tc>
        <w:tc>
          <w:tcPr>
            <w:tcW w:w="0" w:type="auto"/>
            <w:vAlign w:val="center"/>
          </w:tcPr>
          <w:p w:rsidR="00D23366" w:rsidRPr="00D23366" w:rsidRDefault="00D23366" w:rsidP="00D23366">
            <w:pPr>
              <w:jc w:val="center"/>
              <w:rPr>
                <w:b/>
                <w:szCs w:val="24"/>
              </w:rPr>
            </w:pPr>
          </w:p>
        </w:tc>
        <w:tc>
          <w:tcPr>
            <w:tcW w:w="0" w:type="auto"/>
            <w:vAlign w:val="center"/>
          </w:tcPr>
          <w:p w:rsidR="00D23366" w:rsidRPr="00D23366" w:rsidRDefault="00D23366" w:rsidP="00D23366">
            <w:pPr>
              <w:jc w:val="center"/>
              <w:rPr>
                <w:b/>
                <w:szCs w:val="24"/>
              </w:rPr>
            </w:pPr>
          </w:p>
        </w:tc>
        <w:tc>
          <w:tcPr>
            <w:tcW w:w="0" w:type="auto"/>
          </w:tcPr>
          <w:p w:rsidR="00D23366" w:rsidRPr="00D23366" w:rsidRDefault="00D23366" w:rsidP="00D23366">
            <w:pPr>
              <w:jc w:val="center"/>
              <w:rPr>
                <w:b/>
                <w:szCs w:val="24"/>
              </w:rPr>
            </w:pPr>
          </w:p>
        </w:tc>
        <w:tc>
          <w:tcPr>
            <w:tcW w:w="1403" w:type="dxa"/>
          </w:tcPr>
          <w:p w:rsidR="00D23366" w:rsidRPr="00D23366" w:rsidRDefault="00D23366" w:rsidP="00D23366">
            <w:pPr>
              <w:jc w:val="center"/>
              <w:rPr>
                <w:b/>
                <w:szCs w:val="24"/>
              </w:rPr>
            </w:pPr>
          </w:p>
        </w:tc>
        <w:tc>
          <w:tcPr>
            <w:tcW w:w="2285" w:type="dxa"/>
          </w:tcPr>
          <w:p w:rsidR="00D23366" w:rsidRPr="00D23366" w:rsidRDefault="00D23366" w:rsidP="00D23366">
            <w:pPr>
              <w:jc w:val="center"/>
              <w:rPr>
                <w:b/>
                <w:szCs w:val="24"/>
              </w:rPr>
            </w:pPr>
          </w:p>
        </w:tc>
      </w:tr>
      <w:tr w:rsidR="00ED6A02" w:rsidRPr="00395EA9" w:rsidTr="00041971">
        <w:tc>
          <w:tcPr>
            <w:tcW w:w="0" w:type="auto"/>
          </w:tcPr>
          <w:p w:rsidR="00D23366" w:rsidRDefault="00D23366" w:rsidP="00D23366">
            <w:pPr>
              <w:jc w:val="center"/>
              <w:rPr>
                <w:b/>
                <w:szCs w:val="24"/>
              </w:rPr>
            </w:pPr>
          </w:p>
        </w:tc>
        <w:tc>
          <w:tcPr>
            <w:tcW w:w="0" w:type="auto"/>
            <w:vAlign w:val="center"/>
          </w:tcPr>
          <w:p w:rsidR="00D23366" w:rsidRPr="00D23366" w:rsidRDefault="00D23366" w:rsidP="00D23366">
            <w:pPr>
              <w:rPr>
                <w:szCs w:val="24"/>
              </w:rPr>
            </w:pPr>
            <w:r w:rsidRPr="00D23366">
              <w:rPr>
                <w:szCs w:val="24"/>
              </w:rPr>
              <w:t>Reagentai analizatoriui VERIFYNOW (arba lygia</w:t>
            </w:r>
            <w:r>
              <w:rPr>
                <w:szCs w:val="24"/>
              </w:rPr>
              <w:t>verčiam</w:t>
            </w:r>
            <w:r w:rsidRPr="00D23366">
              <w:rPr>
                <w:szCs w:val="24"/>
              </w:rPr>
              <w:t>) aspirinui rinkinys</w:t>
            </w:r>
          </w:p>
        </w:tc>
        <w:tc>
          <w:tcPr>
            <w:tcW w:w="0" w:type="auto"/>
            <w:vAlign w:val="center"/>
          </w:tcPr>
          <w:p w:rsidR="00D23366" w:rsidRPr="00D23366" w:rsidRDefault="00D23366" w:rsidP="00D23366">
            <w:pPr>
              <w:jc w:val="center"/>
              <w:rPr>
                <w:b/>
                <w:szCs w:val="24"/>
              </w:rPr>
            </w:pPr>
          </w:p>
        </w:tc>
        <w:tc>
          <w:tcPr>
            <w:tcW w:w="0" w:type="auto"/>
            <w:vAlign w:val="center"/>
          </w:tcPr>
          <w:p w:rsidR="00D23366" w:rsidRPr="00D23366" w:rsidRDefault="00D23366" w:rsidP="00D23366">
            <w:pPr>
              <w:rPr>
                <w:szCs w:val="24"/>
              </w:rPr>
            </w:pPr>
            <w:r w:rsidRPr="00D23366">
              <w:rPr>
                <w:szCs w:val="24"/>
              </w:rPr>
              <w:t>Vidinė kontrolė kasetėje, kliniškai nustatyta slenkstinė vertė.</w:t>
            </w:r>
          </w:p>
        </w:tc>
        <w:tc>
          <w:tcPr>
            <w:tcW w:w="0" w:type="auto"/>
            <w:vAlign w:val="center"/>
          </w:tcPr>
          <w:p w:rsidR="00D23366" w:rsidRPr="00D23366" w:rsidRDefault="00D23366" w:rsidP="00D23366">
            <w:pPr>
              <w:jc w:val="center"/>
              <w:rPr>
                <w:szCs w:val="24"/>
              </w:rPr>
            </w:pPr>
            <w:r w:rsidRPr="00D23366">
              <w:rPr>
                <w:szCs w:val="24"/>
              </w:rPr>
              <w:t>1 testas</w:t>
            </w:r>
          </w:p>
        </w:tc>
        <w:tc>
          <w:tcPr>
            <w:tcW w:w="0" w:type="auto"/>
            <w:vAlign w:val="center"/>
          </w:tcPr>
          <w:p w:rsidR="00D23366" w:rsidRPr="00D23366" w:rsidRDefault="00D23366" w:rsidP="00D23366">
            <w:pPr>
              <w:jc w:val="center"/>
              <w:rPr>
                <w:szCs w:val="24"/>
              </w:rPr>
            </w:pPr>
            <w:r w:rsidRPr="00D23366">
              <w:rPr>
                <w:szCs w:val="24"/>
              </w:rPr>
              <w:t>120</w:t>
            </w:r>
          </w:p>
        </w:tc>
        <w:tc>
          <w:tcPr>
            <w:tcW w:w="0" w:type="auto"/>
            <w:vAlign w:val="center"/>
          </w:tcPr>
          <w:p w:rsidR="00D23366" w:rsidRPr="00D23366" w:rsidRDefault="00D23366" w:rsidP="00D23366">
            <w:pPr>
              <w:jc w:val="center"/>
              <w:rPr>
                <w:szCs w:val="24"/>
              </w:rPr>
            </w:pPr>
            <w:r w:rsidRPr="00D23366">
              <w:rPr>
                <w:szCs w:val="24"/>
              </w:rPr>
              <w:t>34,00</w:t>
            </w:r>
          </w:p>
        </w:tc>
        <w:tc>
          <w:tcPr>
            <w:tcW w:w="0" w:type="auto"/>
            <w:vAlign w:val="center"/>
          </w:tcPr>
          <w:p w:rsidR="00D23366" w:rsidRPr="00D23366" w:rsidRDefault="00D23366" w:rsidP="00041971">
            <w:pPr>
              <w:jc w:val="center"/>
              <w:rPr>
                <w:szCs w:val="24"/>
              </w:rPr>
            </w:pPr>
            <w:r w:rsidRPr="00D23366">
              <w:rPr>
                <w:szCs w:val="24"/>
              </w:rPr>
              <w:t>35,70</w:t>
            </w:r>
          </w:p>
        </w:tc>
        <w:tc>
          <w:tcPr>
            <w:tcW w:w="1403" w:type="dxa"/>
            <w:vAlign w:val="center"/>
          </w:tcPr>
          <w:p w:rsidR="00D23366" w:rsidRPr="00D23366" w:rsidRDefault="00D23366" w:rsidP="00041971">
            <w:pPr>
              <w:jc w:val="center"/>
              <w:rPr>
                <w:szCs w:val="24"/>
              </w:rPr>
            </w:pPr>
            <w:r w:rsidRPr="00D23366">
              <w:rPr>
                <w:szCs w:val="24"/>
              </w:rPr>
              <w:t>4284,00</w:t>
            </w:r>
          </w:p>
        </w:tc>
        <w:tc>
          <w:tcPr>
            <w:tcW w:w="2285" w:type="dxa"/>
          </w:tcPr>
          <w:p w:rsidR="00D23366" w:rsidRPr="00D23366" w:rsidRDefault="00D23366" w:rsidP="00041971">
            <w:pPr>
              <w:rPr>
                <w:szCs w:val="24"/>
              </w:rPr>
            </w:pPr>
            <w:r w:rsidRPr="00D23366">
              <w:rPr>
                <w:szCs w:val="24"/>
              </w:rPr>
              <w:t xml:space="preserve">VERIFYNOW ASPIRINUI rinkinys 25T, </w:t>
            </w:r>
            <w:proofErr w:type="spellStart"/>
            <w:r w:rsidRPr="00D23366">
              <w:rPr>
                <w:szCs w:val="24"/>
              </w:rPr>
              <w:t>kat</w:t>
            </w:r>
            <w:proofErr w:type="spellEnd"/>
            <w:r w:rsidRPr="00D23366">
              <w:rPr>
                <w:szCs w:val="24"/>
              </w:rPr>
              <w:t xml:space="preserve">. Nr. 85053. </w:t>
            </w:r>
            <w:proofErr w:type="spellStart"/>
            <w:r w:rsidRPr="00D23366">
              <w:rPr>
                <w:szCs w:val="24"/>
              </w:rPr>
              <w:t>Accumetrics</w:t>
            </w:r>
            <w:proofErr w:type="spellEnd"/>
            <w:r w:rsidRPr="00D23366">
              <w:rPr>
                <w:szCs w:val="24"/>
              </w:rPr>
              <w:t xml:space="preserve"> </w:t>
            </w:r>
            <w:proofErr w:type="spellStart"/>
            <w:r w:rsidRPr="00D23366">
              <w:rPr>
                <w:szCs w:val="24"/>
              </w:rPr>
              <w:t>inc</w:t>
            </w:r>
            <w:proofErr w:type="spellEnd"/>
            <w:r w:rsidRPr="00D23366">
              <w:rPr>
                <w:szCs w:val="24"/>
              </w:rPr>
              <w:t>., JAV</w:t>
            </w:r>
          </w:p>
        </w:tc>
      </w:tr>
      <w:tr w:rsidR="00ED6A02" w:rsidRPr="00395EA9" w:rsidTr="00041971">
        <w:tc>
          <w:tcPr>
            <w:tcW w:w="0" w:type="auto"/>
          </w:tcPr>
          <w:p w:rsidR="00D23366" w:rsidRDefault="00D23366" w:rsidP="00D23366">
            <w:pPr>
              <w:jc w:val="center"/>
              <w:rPr>
                <w:b/>
                <w:szCs w:val="24"/>
              </w:rPr>
            </w:pPr>
          </w:p>
        </w:tc>
        <w:tc>
          <w:tcPr>
            <w:tcW w:w="0" w:type="auto"/>
            <w:vAlign w:val="center"/>
          </w:tcPr>
          <w:p w:rsidR="00D23366" w:rsidRPr="00D23366" w:rsidRDefault="00D23366" w:rsidP="00041971">
            <w:pPr>
              <w:rPr>
                <w:b/>
                <w:szCs w:val="24"/>
              </w:rPr>
            </w:pPr>
            <w:proofErr w:type="spellStart"/>
            <w:r>
              <w:rPr>
                <w:b/>
                <w:szCs w:val="24"/>
              </w:rPr>
              <w:t>Klopidogrelio</w:t>
            </w:r>
            <w:proofErr w:type="spellEnd"/>
            <w:r>
              <w:rPr>
                <w:b/>
                <w:szCs w:val="24"/>
              </w:rPr>
              <w:t xml:space="preserve"> ir kitų </w:t>
            </w:r>
            <w:proofErr w:type="spellStart"/>
            <w:r>
              <w:rPr>
                <w:b/>
                <w:szCs w:val="24"/>
              </w:rPr>
              <w:t>antiagregantų</w:t>
            </w:r>
            <w:proofErr w:type="spellEnd"/>
            <w:r>
              <w:rPr>
                <w:b/>
                <w:szCs w:val="24"/>
              </w:rPr>
              <w:t xml:space="preserve"> veikiančių į P2Y</w:t>
            </w:r>
            <w:r w:rsidR="00945FB8">
              <w:rPr>
                <w:b/>
                <w:szCs w:val="24"/>
              </w:rPr>
              <w:t>12 receptorius poveikio nustatymas</w:t>
            </w:r>
          </w:p>
        </w:tc>
        <w:tc>
          <w:tcPr>
            <w:tcW w:w="0" w:type="auto"/>
            <w:vAlign w:val="center"/>
          </w:tcPr>
          <w:p w:rsidR="00D23366" w:rsidRPr="00041971" w:rsidRDefault="00945FB8" w:rsidP="00D23366">
            <w:pPr>
              <w:jc w:val="center"/>
              <w:rPr>
                <w:szCs w:val="24"/>
              </w:rPr>
            </w:pPr>
            <w:r w:rsidRPr="00041971">
              <w:rPr>
                <w:szCs w:val="24"/>
              </w:rPr>
              <w:t>60</w:t>
            </w:r>
          </w:p>
        </w:tc>
        <w:tc>
          <w:tcPr>
            <w:tcW w:w="0" w:type="auto"/>
            <w:vAlign w:val="center"/>
          </w:tcPr>
          <w:p w:rsidR="00D23366" w:rsidRPr="00D23366" w:rsidRDefault="00D23366" w:rsidP="00D23366">
            <w:pPr>
              <w:jc w:val="center"/>
              <w:rPr>
                <w:b/>
                <w:szCs w:val="24"/>
              </w:rPr>
            </w:pPr>
          </w:p>
        </w:tc>
        <w:tc>
          <w:tcPr>
            <w:tcW w:w="0" w:type="auto"/>
            <w:vAlign w:val="center"/>
          </w:tcPr>
          <w:p w:rsidR="00D23366" w:rsidRPr="00D23366" w:rsidRDefault="00D23366" w:rsidP="00D23366">
            <w:pPr>
              <w:jc w:val="center"/>
              <w:rPr>
                <w:b/>
                <w:szCs w:val="24"/>
              </w:rPr>
            </w:pPr>
          </w:p>
        </w:tc>
        <w:tc>
          <w:tcPr>
            <w:tcW w:w="0" w:type="auto"/>
            <w:vAlign w:val="center"/>
          </w:tcPr>
          <w:p w:rsidR="00D23366" w:rsidRPr="00D23366" w:rsidRDefault="00D23366" w:rsidP="00D23366">
            <w:pPr>
              <w:jc w:val="center"/>
              <w:rPr>
                <w:b/>
                <w:szCs w:val="24"/>
              </w:rPr>
            </w:pPr>
          </w:p>
        </w:tc>
        <w:tc>
          <w:tcPr>
            <w:tcW w:w="0" w:type="auto"/>
            <w:vAlign w:val="center"/>
          </w:tcPr>
          <w:p w:rsidR="00D23366" w:rsidRPr="00D23366" w:rsidRDefault="00D23366" w:rsidP="00D23366">
            <w:pPr>
              <w:jc w:val="center"/>
              <w:rPr>
                <w:b/>
                <w:szCs w:val="24"/>
              </w:rPr>
            </w:pPr>
          </w:p>
        </w:tc>
        <w:tc>
          <w:tcPr>
            <w:tcW w:w="0" w:type="auto"/>
            <w:vAlign w:val="center"/>
          </w:tcPr>
          <w:p w:rsidR="00D23366" w:rsidRPr="00D23366" w:rsidRDefault="00D23366" w:rsidP="00041971">
            <w:pPr>
              <w:jc w:val="center"/>
              <w:rPr>
                <w:b/>
                <w:szCs w:val="24"/>
              </w:rPr>
            </w:pPr>
          </w:p>
        </w:tc>
        <w:tc>
          <w:tcPr>
            <w:tcW w:w="1403" w:type="dxa"/>
            <w:vAlign w:val="center"/>
          </w:tcPr>
          <w:p w:rsidR="00D23366" w:rsidRPr="00D23366" w:rsidRDefault="00D23366" w:rsidP="00041971">
            <w:pPr>
              <w:jc w:val="center"/>
              <w:rPr>
                <w:b/>
                <w:szCs w:val="24"/>
              </w:rPr>
            </w:pPr>
          </w:p>
        </w:tc>
        <w:tc>
          <w:tcPr>
            <w:tcW w:w="2285" w:type="dxa"/>
          </w:tcPr>
          <w:p w:rsidR="00D23366" w:rsidRPr="00D23366" w:rsidRDefault="00D23366" w:rsidP="00041971">
            <w:pPr>
              <w:rPr>
                <w:b/>
                <w:szCs w:val="24"/>
              </w:rPr>
            </w:pPr>
          </w:p>
        </w:tc>
      </w:tr>
      <w:tr w:rsidR="00ED6A02" w:rsidRPr="00395EA9" w:rsidTr="00041971">
        <w:tc>
          <w:tcPr>
            <w:tcW w:w="0" w:type="auto"/>
          </w:tcPr>
          <w:p w:rsidR="00D23366" w:rsidRDefault="00D23366" w:rsidP="00D23366">
            <w:pPr>
              <w:jc w:val="center"/>
              <w:rPr>
                <w:b/>
                <w:szCs w:val="24"/>
              </w:rPr>
            </w:pPr>
          </w:p>
        </w:tc>
        <w:tc>
          <w:tcPr>
            <w:tcW w:w="0" w:type="auto"/>
            <w:vAlign w:val="center"/>
          </w:tcPr>
          <w:p w:rsidR="00D23366" w:rsidRPr="00041971" w:rsidRDefault="00ED6A02" w:rsidP="00041971">
            <w:pPr>
              <w:rPr>
                <w:szCs w:val="24"/>
              </w:rPr>
            </w:pPr>
            <w:r w:rsidRPr="00041971">
              <w:rPr>
                <w:szCs w:val="24"/>
              </w:rPr>
              <w:t>Reagentai analizatoriui VERIFYNOW (arba lygiaverčiam) P2Y12 rinkinys</w:t>
            </w:r>
          </w:p>
        </w:tc>
        <w:tc>
          <w:tcPr>
            <w:tcW w:w="0" w:type="auto"/>
            <w:vAlign w:val="center"/>
          </w:tcPr>
          <w:p w:rsidR="00D23366" w:rsidRPr="00041971" w:rsidRDefault="00D23366" w:rsidP="00D23366">
            <w:pPr>
              <w:jc w:val="center"/>
              <w:rPr>
                <w:szCs w:val="24"/>
              </w:rPr>
            </w:pPr>
          </w:p>
        </w:tc>
        <w:tc>
          <w:tcPr>
            <w:tcW w:w="0" w:type="auto"/>
            <w:vAlign w:val="center"/>
          </w:tcPr>
          <w:p w:rsidR="00D23366" w:rsidRPr="00041971" w:rsidRDefault="00ED6A02" w:rsidP="00041971">
            <w:pPr>
              <w:rPr>
                <w:szCs w:val="24"/>
              </w:rPr>
            </w:pPr>
            <w:r w:rsidRPr="00041971">
              <w:rPr>
                <w:szCs w:val="24"/>
              </w:rPr>
              <w:t xml:space="preserve">Vidinė kontrolė kasetėje, kliniškai </w:t>
            </w:r>
            <w:proofErr w:type="spellStart"/>
            <w:r w:rsidRPr="00041971">
              <w:rPr>
                <w:szCs w:val="24"/>
              </w:rPr>
              <w:t>validuotas</w:t>
            </w:r>
            <w:proofErr w:type="spellEnd"/>
            <w:r w:rsidRPr="00041971">
              <w:rPr>
                <w:szCs w:val="24"/>
              </w:rPr>
              <w:t xml:space="preserve"> terapinis langas</w:t>
            </w:r>
          </w:p>
        </w:tc>
        <w:tc>
          <w:tcPr>
            <w:tcW w:w="0" w:type="auto"/>
            <w:vAlign w:val="center"/>
          </w:tcPr>
          <w:p w:rsidR="00D23366" w:rsidRPr="00041971" w:rsidRDefault="00ED6A02" w:rsidP="00D23366">
            <w:pPr>
              <w:jc w:val="center"/>
              <w:rPr>
                <w:szCs w:val="24"/>
              </w:rPr>
            </w:pPr>
            <w:r w:rsidRPr="00041971">
              <w:rPr>
                <w:szCs w:val="24"/>
              </w:rPr>
              <w:t>1 testas</w:t>
            </w:r>
          </w:p>
        </w:tc>
        <w:tc>
          <w:tcPr>
            <w:tcW w:w="0" w:type="auto"/>
            <w:vAlign w:val="center"/>
          </w:tcPr>
          <w:p w:rsidR="00D23366" w:rsidRPr="00041971" w:rsidRDefault="00ED6A02" w:rsidP="00D23366">
            <w:pPr>
              <w:jc w:val="center"/>
              <w:rPr>
                <w:szCs w:val="24"/>
              </w:rPr>
            </w:pPr>
            <w:r w:rsidRPr="00041971">
              <w:rPr>
                <w:szCs w:val="24"/>
              </w:rPr>
              <w:t>60</w:t>
            </w:r>
          </w:p>
        </w:tc>
        <w:tc>
          <w:tcPr>
            <w:tcW w:w="0" w:type="auto"/>
            <w:vAlign w:val="center"/>
          </w:tcPr>
          <w:p w:rsidR="00D23366" w:rsidRPr="00041971" w:rsidRDefault="00ED6A02" w:rsidP="00D23366">
            <w:pPr>
              <w:jc w:val="center"/>
              <w:rPr>
                <w:szCs w:val="24"/>
              </w:rPr>
            </w:pPr>
            <w:r w:rsidRPr="00041971">
              <w:rPr>
                <w:szCs w:val="24"/>
              </w:rPr>
              <w:t>45,00</w:t>
            </w:r>
          </w:p>
        </w:tc>
        <w:tc>
          <w:tcPr>
            <w:tcW w:w="0" w:type="auto"/>
            <w:vAlign w:val="center"/>
          </w:tcPr>
          <w:p w:rsidR="00D23366" w:rsidRPr="00041971" w:rsidRDefault="00ED6A02" w:rsidP="00041971">
            <w:pPr>
              <w:jc w:val="center"/>
              <w:rPr>
                <w:szCs w:val="24"/>
              </w:rPr>
            </w:pPr>
            <w:r w:rsidRPr="00041971">
              <w:rPr>
                <w:szCs w:val="24"/>
              </w:rPr>
              <w:t>47,25</w:t>
            </w:r>
          </w:p>
        </w:tc>
        <w:tc>
          <w:tcPr>
            <w:tcW w:w="1403" w:type="dxa"/>
            <w:vAlign w:val="center"/>
          </w:tcPr>
          <w:p w:rsidR="00D23366" w:rsidRPr="00041971" w:rsidRDefault="00ED6A02" w:rsidP="00041971">
            <w:pPr>
              <w:jc w:val="center"/>
              <w:rPr>
                <w:szCs w:val="24"/>
              </w:rPr>
            </w:pPr>
            <w:r w:rsidRPr="00041971">
              <w:rPr>
                <w:szCs w:val="24"/>
              </w:rPr>
              <w:t>2835,00</w:t>
            </w:r>
          </w:p>
        </w:tc>
        <w:tc>
          <w:tcPr>
            <w:tcW w:w="2285" w:type="dxa"/>
          </w:tcPr>
          <w:p w:rsidR="00D23366" w:rsidRPr="00041971" w:rsidRDefault="00ED6A02" w:rsidP="00041971">
            <w:pPr>
              <w:rPr>
                <w:szCs w:val="24"/>
              </w:rPr>
            </w:pPr>
            <w:r w:rsidRPr="00041971">
              <w:rPr>
                <w:szCs w:val="24"/>
              </w:rPr>
              <w:t xml:space="preserve">VERIFYNOW P2Y12 rinkinys, </w:t>
            </w:r>
            <w:proofErr w:type="spellStart"/>
            <w:r w:rsidRPr="00041971">
              <w:rPr>
                <w:szCs w:val="24"/>
              </w:rPr>
              <w:t>kat</w:t>
            </w:r>
            <w:proofErr w:type="spellEnd"/>
            <w:r w:rsidRPr="00041971">
              <w:rPr>
                <w:szCs w:val="24"/>
              </w:rPr>
              <w:t xml:space="preserve">. Nr. 85064. </w:t>
            </w:r>
            <w:proofErr w:type="spellStart"/>
            <w:r w:rsidRPr="00041971">
              <w:rPr>
                <w:szCs w:val="24"/>
              </w:rPr>
              <w:t>Accumetrics</w:t>
            </w:r>
            <w:proofErr w:type="spellEnd"/>
            <w:r w:rsidRPr="00041971">
              <w:rPr>
                <w:szCs w:val="24"/>
              </w:rPr>
              <w:t xml:space="preserve"> </w:t>
            </w:r>
            <w:proofErr w:type="spellStart"/>
            <w:r w:rsidRPr="00041971">
              <w:rPr>
                <w:szCs w:val="24"/>
              </w:rPr>
              <w:t>Inc</w:t>
            </w:r>
            <w:proofErr w:type="spellEnd"/>
            <w:r w:rsidRPr="00041971">
              <w:rPr>
                <w:szCs w:val="24"/>
              </w:rPr>
              <w:t>., JAV</w:t>
            </w:r>
          </w:p>
        </w:tc>
      </w:tr>
      <w:tr w:rsidR="00ED6A02" w:rsidRPr="00395EA9" w:rsidTr="00041971">
        <w:tc>
          <w:tcPr>
            <w:tcW w:w="0" w:type="auto"/>
          </w:tcPr>
          <w:p w:rsidR="00D23366" w:rsidRDefault="00D23366" w:rsidP="00D23366">
            <w:pPr>
              <w:jc w:val="center"/>
              <w:rPr>
                <w:b/>
                <w:szCs w:val="24"/>
              </w:rPr>
            </w:pPr>
          </w:p>
        </w:tc>
        <w:tc>
          <w:tcPr>
            <w:tcW w:w="0" w:type="auto"/>
            <w:vAlign w:val="center"/>
          </w:tcPr>
          <w:p w:rsidR="00D23366" w:rsidRPr="00D23366" w:rsidRDefault="00ED6A02" w:rsidP="00041971">
            <w:pPr>
              <w:rPr>
                <w:b/>
                <w:szCs w:val="24"/>
              </w:rPr>
            </w:pPr>
            <w:r>
              <w:rPr>
                <w:b/>
                <w:szCs w:val="24"/>
              </w:rPr>
              <w:t>Kontrolinės medžiagos reikalingos tyrimams atlikti su siūlomu analizatoriumi</w:t>
            </w:r>
          </w:p>
        </w:tc>
        <w:tc>
          <w:tcPr>
            <w:tcW w:w="0" w:type="auto"/>
            <w:vAlign w:val="center"/>
          </w:tcPr>
          <w:p w:rsidR="00D23366" w:rsidRPr="00D23366" w:rsidRDefault="00D23366" w:rsidP="00D23366">
            <w:pPr>
              <w:jc w:val="center"/>
              <w:rPr>
                <w:b/>
                <w:szCs w:val="24"/>
              </w:rPr>
            </w:pPr>
          </w:p>
        </w:tc>
        <w:tc>
          <w:tcPr>
            <w:tcW w:w="0" w:type="auto"/>
            <w:vAlign w:val="center"/>
          </w:tcPr>
          <w:p w:rsidR="00D23366" w:rsidRPr="00041971" w:rsidRDefault="00ED6A02" w:rsidP="00041971">
            <w:pPr>
              <w:rPr>
                <w:szCs w:val="24"/>
              </w:rPr>
            </w:pPr>
            <w:r w:rsidRPr="00041971">
              <w:rPr>
                <w:szCs w:val="24"/>
              </w:rPr>
              <w:t>Kontrolinė medžiaga 2 lygių, atskiros referentinės vertės aspirino tyrimui ir P2Y12 tyrimui.</w:t>
            </w:r>
          </w:p>
        </w:tc>
        <w:tc>
          <w:tcPr>
            <w:tcW w:w="0" w:type="auto"/>
            <w:vAlign w:val="center"/>
          </w:tcPr>
          <w:p w:rsidR="00D23366" w:rsidRPr="00041971" w:rsidRDefault="00ED6A02" w:rsidP="00D23366">
            <w:pPr>
              <w:jc w:val="center"/>
              <w:rPr>
                <w:szCs w:val="24"/>
              </w:rPr>
            </w:pPr>
            <w:r w:rsidRPr="00041971">
              <w:rPr>
                <w:szCs w:val="24"/>
              </w:rPr>
              <w:t>6 x 2 ml</w:t>
            </w:r>
          </w:p>
        </w:tc>
        <w:tc>
          <w:tcPr>
            <w:tcW w:w="0" w:type="auto"/>
            <w:vAlign w:val="center"/>
          </w:tcPr>
          <w:p w:rsidR="00D23366" w:rsidRPr="00041971" w:rsidRDefault="00ED6A02" w:rsidP="00D23366">
            <w:pPr>
              <w:jc w:val="center"/>
              <w:rPr>
                <w:szCs w:val="24"/>
              </w:rPr>
            </w:pPr>
            <w:r w:rsidRPr="00041971">
              <w:rPr>
                <w:szCs w:val="24"/>
              </w:rPr>
              <w:t>3</w:t>
            </w:r>
          </w:p>
        </w:tc>
        <w:tc>
          <w:tcPr>
            <w:tcW w:w="0" w:type="auto"/>
            <w:vAlign w:val="center"/>
          </w:tcPr>
          <w:p w:rsidR="00D23366" w:rsidRPr="00041971" w:rsidRDefault="00ED6A02" w:rsidP="00D23366">
            <w:pPr>
              <w:jc w:val="center"/>
              <w:rPr>
                <w:szCs w:val="24"/>
              </w:rPr>
            </w:pPr>
            <w:r w:rsidRPr="00041971">
              <w:rPr>
                <w:szCs w:val="24"/>
              </w:rPr>
              <w:t>114,95</w:t>
            </w:r>
          </w:p>
        </w:tc>
        <w:tc>
          <w:tcPr>
            <w:tcW w:w="0" w:type="auto"/>
            <w:vAlign w:val="center"/>
          </w:tcPr>
          <w:p w:rsidR="00D23366" w:rsidRPr="00041971" w:rsidRDefault="00ED6A02" w:rsidP="00041971">
            <w:pPr>
              <w:jc w:val="center"/>
              <w:rPr>
                <w:szCs w:val="24"/>
              </w:rPr>
            </w:pPr>
            <w:r w:rsidRPr="00041971">
              <w:rPr>
                <w:szCs w:val="24"/>
              </w:rPr>
              <w:t>120,70</w:t>
            </w:r>
          </w:p>
        </w:tc>
        <w:tc>
          <w:tcPr>
            <w:tcW w:w="1403" w:type="dxa"/>
            <w:vAlign w:val="center"/>
          </w:tcPr>
          <w:p w:rsidR="00D23366" w:rsidRPr="00041971" w:rsidRDefault="00ED6A02" w:rsidP="00041971">
            <w:pPr>
              <w:jc w:val="center"/>
              <w:rPr>
                <w:szCs w:val="24"/>
              </w:rPr>
            </w:pPr>
            <w:r w:rsidRPr="00041971">
              <w:rPr>
                <w:szCs w:val="24"/>
              </w:rPr>
              <w:t>362,09</w:t>
            </w:r>
          </w:p>
        </w:tc>
        <w:tc>
          <w:tcPr>
            <w:tcW w:w="2285" w:type="dxa"/>
          </w:tcPr>
          <w:p w:rsidR="00D23366" w:rsidRPr="00041971" w:rsidRDefault="00ED6A02" w:rsidP="00041971">
            <w:pPr>
              <w:rPr>
                <w:szCs w:val="24"/>
              </w:rPr>
            </w:pPr>
            <w:r w:rsidRPr="00041971">
              <w:rPr>
                <w:szCs w:val="24"/>
              </w:rPr>
              <w:t xml:space="preserve">VERIFYNOW kontrolė (WQC) </w:t>
            </w:r>
            <w:proofErr w:type="spellStart"/>
            <w:r w:rsidRPr="00041971">
              <w:rPr>
                <w:szCs w:val="24"/>
              </w:rPr>
              <w:t>kat</w:t>
            </w:r>
            <w:proofErr w:type="spellEnd"/>
            <w:r w:rsidRPr="00041971">
              <w:rPr>
                <w:szCs w:val="24"/>
              </w:rPr>
              <w:t xml:space="preserve">. Nr. 85047. </w:t>
            </w:r>
            <w:proofErr w:type="spellStart"/>
            <w:r w:rsidRPr="00041971">
              <w:rPr>
                <w:szCs w:val="24"/>
              </w:rPr>
              <w:t>Accumetrics</w:t>
            </w:r>
            <w:proofErr w:type="spellEnd"/>
            <w:r w:rsidRPr="00041971">
              <w:rPr>
                <w:szCs w:val="24"/>
              </w:rPr>
              <w:t xml:space="preserve"> </w:t>
            </w:r>
            <w:proofErr w:type="spellStart"/>
            <w:r w:rsidRPr="00041971">
              <w:rPr>
                <w:szCs w:val="24"/>
              </w:rPr>
              <w:t>Inc</w:t>
            </w:r>
            <w:proofErr w:type="spellEnd"/>
            <w:r w:rsidRPr="00041971">
              <w:rPr>
                <w:szCs w:val="24"/>
              </w:rPr>
              <w:t>., JAV</w:t>
            </w:r>
          </w:p>
        </w:tc>
      </w:tr>
      <w:tr w:rsidR="00ED6A02" w:rsidRPr="00395EA9" w:rsidTr="00041971">
        <w:tc>
          <w:tcPr>
            <w:tcW w:w="0" w:type="auto"/>
          </w:tcPr>
          <w:p w:rsidR="00ED6A02" w:rsidRDefault="00ED6A02" w:rsidP="00D23366">
            <w:pPr>
              <w:jc w:val="center"/>
              <w:rPr>
                <w:b/>
                <w:szCs w:val="24"/>
              </w:rPr>
            </w:pPr>
          </w:p>
        </w:tc>
        <w:tc>
          <w:tcPr>
            <w:tcW w:w="0" w:type="auto"/>
            <w:vAlign w:val="center"/>
          </w:tcPr>
          <w:p w:rsidR="00ED6A02" w:rsidRPr="00041971" w:rsidRDefault="00ED6A02" w:rsidP="00041971">
            <w:pPr>
              <w:rPr>
                <w:szCs w:val="24"/>
              </w:rPr>
            </w:pPr>
            <w:r w:rsidRPr="00041971">
              <w:rPr>
                <w:szCs w:val="24"/>
              </w:rPr>
              <w:t>Priežiūros rinkinys</w:t>
            </w:r>
          </w:p>
        </w:tc>
        <w:tc>
          <w:tcPr>
            <w:tcW w:w="0" w:type="auto"/>
            <w:vAlign w:val="center"/>
          </w:tcPr>
          <w:p w:rsidR="00ED6A02" w:rsidRPr="00041971" w:rsidRDefault="00ED6A02" w:rsidP="00D23366">
            <w:pPr>
              <w:jc w:val="center"/>
              <w:rPr>
                <w:szCs w:val="24"/>
              </w:rPr>
            </w:pPr>
          </w:p>
        </w:tc>
        <w:tc>
          <w:tcPr>
            <w:tcW w:w="0" w:type="auto"/>
            <w:vAlign w:val="center"/>
          </w:tcPr>
          <w:p w:rsidR="00ED6A02" w:rsidRPr="00041971" w:rsidRDefault="00ED6A02" w:rsidP="00D23366">
            <w:pPr>
              <w:jc w:val="center"/>
              <w:rPr>
                <w:szCs w:val="24"/>
              </w:rPr>
            </w:pPr>
          </w:p>
        </w:tc>
        <w:tc>
          <w:tcPr>
            <w:tcW w:w="0" w:type="auto"/>
            <w:vAlign w:val="center"/>
          </w:tcPr>
          <w:p w:rsidR="00ED6A02" w:rsidRPr="00041971" w:rsidRDefault="00ED6A02" w:rsidP="00D23366">
            <w:pPr>
              <w:jc w:val="center"/>
              <w:rPr>
                <w:szCs w:val="24"/>
              </w:rPr>
            </w:pPr>
            <w:r w:rsidRPr="00041971">
              <w:rPr>
                <w:szCs w:val="24"/>
              </w:rPr>
              <w:t>1 x 13 vnt.</w:t>
            </w:r>
          </w:p>
        </w:tc>
        <w:tc>
          <w:tcPr>
            <w:tcW w:w="0" w:type="auto"/>
            <w:vAlign w:val="center"/>
          </w:tcPr>
          <w:p w:rsidR="00ED6A02" w:rsidRPr="00041971" w:rsidRDefault="00ED6A02" w:rsidP="00D23366">
            <w:pPr>
              <w:jc w:val="center"/>
              <w:rPr>
                <w:szCs w:val="24"/>
              </w:rPr>
            </w:pPr>
            <w:r w:rsidRPr="00041971">
              <w:rPr>
                <w:szCs w:val="24"/>
              </w:rPr>
              <w:t>2</w:t>
            </w:r>
          </w:p>
        </w:tc>
        <w:tc>
          <w:tcPr>
            <w:tcW w:w="0" w:type="auto"/>
            <w:vAlign w:val="center"/>
          </w:tcPr>
          <w:p w:rsidR="00ED6A02" w:rsidRPr="00041971" w:rsidRDefault="00ED6A02" w:rsidP="00D23366">
            <w:pPr>
              <w:jc w:val="center"/>
              <w:rPr>
                <w:szCs w:val="24"/>
              </w:rPr>
            </w:pPr>
            <w:r w:rsidRPr="00041971">
              <w:rPr>
                <w:szCs w:val="24"/>
              </w:rPr>
              <w:t>118,00</w:t>
            </w:r>
          </w:p>
        </w:tc>
        <w:tc>
          <w:tcPr>
            <w:tcW w:w="0" w:type="auto"/>
            <w:vAlign w:val="center"/>
          </w:tcPr>
          <w:p w:rsidR="00ED6A02" w:rsidRPr="00041971" w:rsidRDefault="00ED6A02" w:rsidP="00041971">
            <w:pPr>
              <w:jc w:val="center"/>
              <w:rPr>
                <w:szCs w:val="24"/>
              </w:rPr>
            </w:pPr>
            <w:r w:rsidRPr="00041971">
              <w:rPr>
                <w:szCs w:val="24"/>
              </w:rPr>
              <w:t>123,90</w:t>
            </w:r>
          </w:p>
        </w:tc>
        <w:tc>
          <w:tcPr>
            <w:tcW w:w="1403" w:type="dxa"/>
            <w:vAlign w:val="center"/>
          </w:tcPr>
          <w:p w:rsidR="00ED6A02" w:rsidRPr="00041971" w:rsidRDefault="00ED6A02" w:rsidP="00041971">
            <w:pPr>
              <w:jc w:val="center"/>
              <w:rPr>
                <w:szCs w:val="24"/>
              </w:rPr>
            </w:pPr>
            <w:r w:rsidRPr="00041971">
              <w:rPr>
                <w:szCs w:val="24"/>
              </w:rPr>
              <w:t>247,80</w:t>
            </w:r>
          </w:p>
        </w:tc>
        <w:tc>
          <w:tcPr>
            <w:tcW w:w="2285" w:type="dxa"/>
          </w:tcPr>
          <w:p w:rsidR="00ED6A02" w:rsidRPr="00041971" w:rsidRDefault="00ED6A02" w:rsidP="00041971">
            <w:pPr>
              <w:rPr>
                <w:szCs w:val="24"/>
              </w:rPr>
            </w:pPr>
            <w:r w:rsidRPr="00041971">
              <w:rPr>
                <w:szCs w:val="24"/>
              </w:rPr>
              <w:t xml:space="preserve">Kraujo analizatoriaus VERIFYNOW priežiūros rinkinys, </w:t>
            </w:r>
            <w:proofErr w:type="spellStart"/>
            <w:r w:rsidRPr="00041971">
              <w:rPr>
                <w:szCs w:val="24"/>
              </w:rPr>
              <w:t>kat</w:t>
            </w:r>
            <w:proofErr w:type="spellEnd"/>
            <w:r w:rsidRPr="00041971">
              <w:rPr>
                <w:szCs w:val="24"/>
              </w:rPr>
              <w:t xml:space="preserve">. Nr. 85062. </w:t>
            </w:r>
            <w:proofErr w:type="spellStart"/>
            <w:r w:rsidRPr="00041971">
              <w:rPr>
                <w:szCs w:val="24"/>
              </w:rPr>
              <w:t>Accumetrics</w:t>
            </w:r>
            <w:proofErr w:type="spellEnd"/>
            <w:r w:rsidRPr="00041971">
              <w:rPr>
                <w:szCs w:val="24"/>
              </w:rPr>
              <w:t xml:space="preserve"> </w:t>
            </w:r>
            <w:proofErr w:type="spellStart"/>
            <w:r w:rsidRPr="00041971">
              <w:rPr>
                <w:szCs w:val="24"/>
              </w:rPr>
              <w:t>Inc</w:t>
            </w:r>
            <w:proofErr w:type="spellEnd"/>
            <w:r w:rsidRPr="00041971">
              <w:rPr>
                <w:szCs w:val="24"/>
              </w:rPr>
              <w:t>., JAV</w:t>
            </w:r>
          </w:p>
        </w:tc>
      </w:tr>
      <w:tr w:rsidR="00ED6A02" w:rsidRPr="00395EA9" w:rsidTr="00041971">
        <w:tc>
          <w:tcPr>
            <w:tcW w:w="0" w:type="auto"/>
          </w:tcPr>
          <w:p w:rsidR="00ED6A02" w:rsidRDefault="00ED6A02" w:rsidP="00D23366">
            <w:pPr>
              <w:jc w:val="center"/>
              <w:rPr>
                <w:b/>
                <w:szCs w:val="24"/>
              </w:rPr>
            </w:pPr>
          </w:p>
        </w:tc>
        <w:tc>
          <w:tcPr>
            <w:tcW w:w="0" w:type="auto"/>
            <w:vAlign w:val="center"/>
          </w:tcPr>
          <w:p w:rsidR="00ED6A02" w:rsidRPr="00041971" w:rsidRDefault="00ED6A02" w:rsidP="00041971">
            <w:pPr>
              <w:rPr>
                <w:szCs w:val="24"/>
              </w:rPr>
            </w:pPr>
            <w:r w:rsidRPr="00041971">
              <w:rPr>
                <w:szCs w:val="24"/>
              </w:rPr>
              <w:t>Mėgintuvėliai su Na Citratu</w:t>
            </w:r>
          </w:p>
        </w:tc>
        <w:tc>
          <w:tcPr>
            <w:tcW w:w="0" w:type="auto"/>
            <w:vAlign w:val="center"/>
          </w:tcPr>
          <w:p w:rsidR="00ED6A02" w:rsidRPr="00041971" w:rsidRDefault="00ED6A02" w:rsidP="00D23366">
            <w:pPr>
              <w:jc w:val="center"/>
              <w:rPr>
                <w:szCs w:val="24"/>
              </w:rPr>
            </w:pPr>
          </w:p>
        </w:tc>
        <w:tc>
          <w:tcPr>
            <w:tcW w:w="0" w:type="auto"/>
            <w:vAlign w:val="center"/>
          </w:tcPr>
          <w:p w:rsidR="00ED6A02" w:rsidRPr="00041971" w:rsidRDefault="00ED6A02" w:rsidP="00D23366">
            <w:pPr>
              <w:jc w:val="center"/>
              <w:rPr>
                <w:szCs w:val="24"/>
              </w:rPr>
            </w:pPr>
          </w:p>
        </w:tc>
        <w:tc>
          <w:tcPr>
            <w:tcW w:w="0" w:type="auto"/>
            <w:vAlign w:val="center"/>
          </w:tcPr>
          <w:p w:rsidR="00ED6A02" w:rsidRPr="00041971" w:rsidRDefault="00ED6A02" w:rsidP="00D23366">
            <w:pPr>
              <w:jc w:val="center"/>
              <w:rPr>
                <w:szCs w:val="24"/>
              </w:rPr>
            </w:pPr>
            <w:r w:rsidRPr="00041971">
              <w:rPr>
                <w:szCs w:val="24"/>
              </w:rPr>
              <w:t>1 vnt.</w:t>
            </w:r>
          </w:p>
        </w:tc>
        <w:tc>
          <w:tcPr>
            <w:tcW w:w="0" w:type="auto"/>
            <w:vAlign w:val="center"/>
          </w:tcPr>
          <w:p w:rsidR="00ED6A02" w:rsidRPr="00041971" w:rsidRDefault="00ED6A02" w:rsidP="00D23366">
            <w:pPr>
              <w:jc w:val="center"/>
              <w:rPr>
                <w:szCs w:val="24"/>
              </w:rPr>
            </w:pPr>
            <w:r w:rsidRPr="00041971">
              <w:rPr>
                <w:szCs w:val="24"/>
              </w:rPr>
              <w:t>360</w:t>
            </w:r>
          </w:p>
        </w:tc>
        <w:tc>
          <w:tcPr>
            <w:tcW w:w="0" w:type="auto"/>
            <w:vAlign w:val="center"/>
          </w:tcPr>
          <w:p w:rsidR="00ED6A02" w:rsidRPr="00041971" w:rsidRDefault="00ED6A02" w:rsidP="00D23366">
            <w:pPr>
              <w:jc w:val="center"/>
              <w:rPr>
                <w:szCs w:val="24"/>
              </w:rPr>
            </w:pPr>
            <w:r w:rsidRPr="00041971">
              <w:rPr>
                <w:szCs w:val="24"/>
              </w:rPr>
              <w:t>0,30</w:t>
            </w:r>
          </w:p>
        </w:tc>
        <w:tc>
          <w:tcPr>
            <w:tcW w:w="0" w:type="auto"/>
            <w:vAlign w:val="center"/>
          </w:tcPr>
          <w:p w:rsidR="00ED6A02" w:rsidRPr="00041971" w:rsidRDefault="00ED6A02" w:rsidP="00041971">
            <w:pPr>
              <w:jc w:val="center"/>
              <w:rPr>
                <w:szCs w:val="24"/>
              </w:rPr>
            </w:pPr>
            <w:r w:rsidRPr="00041971">
              <w:rPr>
                <w:szCs w:val="24"/>
              </w:rPr>
              <w:t>0,315</w:t>
            </w:r>
          </w:p>
        </w:tc>
        <w:tc>
          <w:tcPr>
            <w:tcW w:w="1403" w:type="dxa"/>
            <w:vAlign w:val="center"/>
          </w:tcPr>
          <w:p w:rsidR="00ED6A02" w:rsidRPr="00041971" w:rsidRDefault="00ED6A02" w:rsidP="00041971">
            <w:pPr>
              <w:jc w:val="center"/>
              <w:rPr>
                <w:szCs w:val="24"/>
              </w:rPr>
            </w:pPr>
            <w:r w:rsidRPr="00041971">
              <w:rPr>
                <w:szCs w:val="24"/>
              </w:rPr>
              <w:t>113,40</w:t>
            </w:r>
          </w:p>
        </w:tc>
        <w:tc>
          <w:tcPr>
            <w:tcW w:w="2285" w:type="dxa"/>
          </w:tcPr>
          <w:p w:rsidR="00ED6A02" w:rsidRPr="00041971" w:rsidRDefault="00ED6A02" w:rsidP="00ED6A02">
            <w:pPr>
              <w:jc w:val="center"/>
              <w:rPr>
                <w:szCs w:val="24"/>
              </w:rPr>
            </w:pPr>
          </w:p>
        </w:tc>
      </w:tr>
      <w:tr w:rsidR="00ED6A02" w:rsidRPr="00395EA9" w:rsidTr="00D23366">
        <w:tc>
          <w:tcPr>
            <w:tcW w:w="0" w:type="auto"/>
          </w:tcPr>
          <w:p w:rsidR="00ED6A02" w:rsidRDefault="00ED6A02" w:rsidP="00D23366">
            <w:pPr>
              <w:jc w:val="center"/>
              <w:rPr>
                <w:b/>
                <w:szCs w:val="24"/>
              </w:rPr>
            </w:pPr>
          </w:p>
        </w:tc>
        <w:tc>
          <w:tcPr>
            <w:tcW w:w="0" w:type="auto"/>
            <w:vAlign w:val="center"/>
          </w:tcPr>
          <w:p w:rsidR="00ED6A02" w:rsidRDefault="00ED6A02" w:rsidP="00D23366">
            <w:pPr>
              <w:jc w:val="center"/>
              <w:rPr>
                <w:b/>
                <w:szCs w:val="24"/>
              </w:rPr>
            </w:pPr>
          </w:p>
        </w:tc>
        <w:tc>
          <w:tcPr>
            <w:tcW w:w="0" w:type="auto"/>
            <w:vAlign w:val="center"/>
          </w:tcPr>
          <w:p w:rsidR="00ED6A02" w:rsidRPr="00D23366" w:rsidRDefault="00ED6A02" w:rsidP="00D23366">
            <w:pPr>
              <w:jc w:val="center"/>
              <w:rPr>
                <w:b/>
                <w:szCs w:val="24"/>
              </w:rPr>
            </w:pPr>
          </w:p>
        </w:tc>
        <w:tc>
          <w:tcPr>
            <w:tcW w:w="0" w:type="auto"/>
            <w:vAlign w:val="center"/>
          </w:tcPr>
          <w:p w:rsidR="00ED6A02" w:rsidRDefault="00ED6A02" w:rsidP="00D23366">
            <w:pPr>
              <w:jc w:val="center"/>
              <w:rPr>
                <w:b/>
                <w:szCs w:val="24"/>
              </w:rPr>
            </w:pPr>
          </w:p>
        </w:tc>
        <w:tc>
          <w:tcPr>
            <w:tcW w:w="0" w:type="auto"/>
            <w:vAlign w:val="center"/>
          </w:tcPr>
          <w:p w:rsidR="00ED6A02" w:rsidRDefault="00ED6A02" w:rsidP="00D23366">
            <w:pPr>
              <w:jc w:val="center"/>
              <w:rPr>
                <w:b/>
                <w:szCs w:val="24"/>
              </w:rPr>
            </w:pPr>
          </w:p>
        </w:tc>
        <w:tc>
          <w:tcPr>
            <w:tcW w:w="0" w:type="auto"/>
            <w:vAlign w:val="center"/>
          </w:tcPr>
          <w:p w:rsidR="00ED6A02" w:rsidRDefault="00ED6A02" w:rsidP="00D23366">
            <w:pPr>
              <w:jc w:val="center"/>
              <w:rPr>
                <w:b/>
                <w:szCs w:val="24"/>
              </w:rPr>
            </w:pPr>
          </w:p>
        </w:tc>
        <w:tc>
          <w:tcPr>
            <w:tcW w:w="0" w:type="auto"/>
            <w:vAlign w:val="center"/>
          </w:tcPr>
          <w:p w:rsidR="00ED6A02" w:rsidRDefault="00ED6A02" w:rsidP="00D23366">
            <w:pPr>
              <w:jc w:val="center"/>
              <w:rPr>
                <w:b/>
                <w:szCs w:val="24"/>
              </w:rPr>
            </w:pPr>
          </w:p>
        </w:tc>
        <w:tc>
          <w:tcPr>
            <w:tcW w:w="0" w:type="auto"/>
          </w:tcPr>
          <w:p w:rsidR="00ED6A02" w:rsidRDefault="00041971" w:rsidP="00D23366">
            <w:pPr>
              <w:jc w:val="center"/>
              <w:rPr>
                <w:b/>
                <w:szCs w:val="24"/>
              </w:rPr>
            </w:pPr>
            <w:r>
              <w:rPr>
                <w:b/>
                <w:szCs w:val="24"/>
              </w:rPr>
              <w:t>Suma Eur</w:t>
            </w:r>
          </w:p>
        </w:tc>
        <w:tc>
          <w:tcPr>
            <w:tcW w:w="1403" w:type="dxa"/>
          </w:tcPr>
          <w:p w:rsidR="00ED6A02" w:rsidRDefault="00ED6A02" w:rsidP="00D23366">
            <w:pPr>
              <w:jc w:val="center"/>
              <w:rPr>
                <w:b/>
                <w:szCs w:val="24"/>
              </w:rPr>
            </w:pPr>
            <w:r>
              <w:rPr>
                <w:b/>
                <w:szCs w:val="24"/>
              </w:rPr>
              <w:t>7842,29</w:t>
            </w:r>
          </w:p>
        </w:tc>
        <w:tc>
          <w:tcPr>
            <w:tcW w:w="2285" w:type="dxa"/>
          </w:tcPr>
          <w:p w:rsidR="00ED6A02" w:rsidRDefault="00ED6A02" w:rsidP="00ED6A02">
            <w:pPr>
              <w:jc w:val="center"/>
              <w:rPr>
                <w:b/>
                <w:szCs w:val="24"/>
              </w:rPr>
            </w:pPr>
          </w:p>
        </w:tc>
      </w:tr>
    </w:tbl>
    <w:p w:rsidR="00EF4D85" w:rsidRPr="00264142" w:rsidRDefault="00EF4D85" w:rsidP="00BE5187">
      <w:pPr>
        <w:rPr>
          <w:b/>
          <w:szCs w:val="24"/>
        </w:rPr>
      </w:pPr>
    </w:p>
    <w:p w:rsidR="00EF4D85" w:rsidRPr="00264142" w:rsidRDefault="00EF4D85" w:rsidP="00BE5187">
      <w:pPr>
        <w:rPr>
          <w:b/>
          <w:szCs w:val="24"/>
        </w:rPr>
      </w:pPr>
    </w:p>
    <w:p w:rsidR="00EF4D85" w:rsidRPr="00264142" w:rsidRDefault="00EF4D85" w:rsidP="00BE5187">
      <w:pPr>
        <w:rPr>
          <w:b/>
          <w:szCs w:val="24"/>
        </w:rPr>
      </w:pPr>
    </w:p>
    <w:p w:rsidR="006F07B5" w:rsidRPr="00264142" w:rsidRDefault="006F07B5" w:rsidP="00BE5187">
      <w:pPr>
        <w:rPr>
          <w:b/>
          <w:szCs w:val="24"/>
        </w:rPr>
      </w:pPr>
    </w:p>
    <w:p w:rsidR="00EF4D85" w:rsidRPr="00264142" w:rsidRDefault="00EF4D85" w:rsidP="00BE5187">
      <w:pPr>
        <w:ind w:firstLine="426"/>
        <w:jc w:val="both"/>
        <w:rPr>
          <w:szCs w:val="24"/>
        </w:rPr>
      </w:pPr>
      <w:r w:rsidRPr="00264142">
        <w:rPr>
          <w:szCs w:val="24"/>
        </w:rPr>
        <w:t>Pardavėjo vardu:</w:t>
      </w:r>
      <w:r w:rsidRPr="00264142">
        <w:rPr>
          <w:szCs w:val="24"/>
        </w:rPr>
        <w:tab/>
      </w:r>
      <w:r w:rsidRPr="00264142">
        <w:rPr>
          <w:szCs w:val="24"/>
        </w:rPr>
        <w:tab/>
      </w:r>
      <w:r w:rsidRPr="00264142">
        <w:rPr>
          <w:szCs w:val="24"/>
        </w:rPr>
        <w:tab/>
      </w:r>
      <w:r w:rsidR="00041971">
        <w:rPr>
          <w:szCs w:val="24"/>
        </w:rPr>
        <w:t xml:space="preserve">                                                                                  </w:t>
      </w:r>
      <w:r w:rsidRPr="00264142">
        <w:rPr>
          <w:szCs w:val="24"/>
        </w:rPr>
        <w:t>Pirkėjo vardu:</w:t>
      </w:r>
    </w:p>
    <w:p w:rsidR="006F07B5" w:rsidRPr="00264142" w:rsidRDefault="006F07B5" w:rsidP="00BE5187">
      <w:pPr>
        <w:ind w:firstLine="426"/>
        <w:jc w:val="both"/>
        <w:rPr>
          <w:b/>
          <w:bCs/>
          <w:szCs w:val="24"/>
        </w:rPr>
      </w:pPr>
      <w:r w:rsidRPr="00264142">
        <w:rPr>
          <w:b/>
          <w:szCs w:val="24"/>
        </w:rPr>
        <w:t>UAB „Diagnostinės sistemos“</w:t>
      </w:r>
      <w:r w:rsidRPr="00264142">
        <w:rPr>
          <w:b/>
          <w:szCs w:val="24"/>
        </w:rPr>
        <w:tab/>
      </w:r>
      <w:r w:rsidRPr="00264142">
        <w:rPr>
          <w:b/>
          <w:szCs w:val="24"/>
        </w:rPr>
        <w:tab/>
      </w:r>
      <w:r w:rsidR="00041971">
        <w:rPr>
          <w:b/>
          <w:szCs w:val="24"/>
        </w:rPr>
        <w:t xml:space="preserve">                                                                                  </w:t>
      </w:r>
      <w:proofErr w:type="spellStart"/>
      <w:r w:rsidRPr="00264142">
        <w:rPr>
          <w:b/>
          <w:bCs/>
          <w:szCs w:val="24"/>
        </w:rPr>
        <w:t>VšĮ</w:t>
      </w:r>
      <w:proofErr w:type="spellEnd"/>
      <w:r w:rsidRPr="00264142">
        <w:rPr>
          <w:b/>
          <w:bCs/>
          <w:szCs w:val="24"/>
        </w:rPr>
        <w:t xml:space="preserve"> Alytaus apskrities S. Kudirkos ligoninė</w:t>
      </w:r>
    </w:p>
    <w:p w:rsidR="006F07B5" w:rsidRPr="00264142" w:rsidRDefault="006F07B5" w:rsidP="00BE5187">
      <w:pPr>
        <w:ind w:firstLine="426"/>
        <w:jc w:val="both"/>
        <w:rPr>
          <w:szCs w:val="24"/>
        </w:rPr>
      </w:pPr>
    </w:p>
    <w:p w:rsidR="00EF4D85" w:rsidRPr="00264142" w:rsidRDefault="005754A3" w:rsidP="00BE5187">
      <w:pPr>
        <w:ind w:firstLine="426"/>
        <w:jc w:val="both"/>
        <w:rPr>
          <w:szCs w:val="24"/>
        </w:rPr>
      </w:pPr>
      <w:r w:rsidRPr="00264142">
        <w:rPr>
          <w:szCs w:val="24"/>
        </w:rPr>
        <w:t>Direktorius</w:t>
      </w:r>
      <w:r w:rsidR="00264142">
        <w:rPr>
          <w:szCs w:val="24"/>
        </w:rPr>
        <w:t xml:space="preserve"> prof. Julius </w:t>
      </w:r>
      <w:proofErr w:type="spellStart"/>
      <w:r w:rsidR="00264142">
        <w:rPr>
          <w:szCs w:val="24"/>
        </w:rPr>
        <w:t>Ptašekas</w:t>
      </w:r>
      <w:proofErr w:type="spellEnd"/>
      <w:r w:rsidR="00264142">
        <w:rPr>
          <w:szCs w:val="24"/>
        </w:rPr>
        <w:t xml:space="preserve"> </w:t>
      </w:r>
      <w:r w:rsidR="00264142">
        <w:rPr>
          <w:szCs w:val="24"/>
        </w:rPr>
        <w:tab/>
      </w:r>
      <w:r w:rsidR="00264142">
        <w:rPr>
          <w:szCs w:val="24"/>
        </w:rPr>
        <w:tab/>
      </w:r>
      <w:r w:rsidR="00041971">
        <w:rPr>
          <w:szCs w:val="24"/>
        </w:rPr>
        <w:t xml:space="preserve">                                                                                  </w:t>
      </w:r>
      <w:r w:rsidR="00EF4D85" w:rsidRPr="00264142">
        <w:rPr>
          <w:szCs w:val="24"/>
        </w:rPr>
        <w:t xml:space="preserve">Direktorius </w:t>
      </w:r>
      <w:r w:rsidR="00413AE7">
        <w:rPr>
          <w:szCs w:val="24"/>
        </w:rPr>
        <w:t>Svajūnas Žukauskas</w:t>
      </w:r>
    </w:p>
    <w:p w:rsidR="00EF4D85" w:rsidRPr="00264142" w:rsidRDefault="00EF4D85" w:rsidP="00BE5187">
      <w:pPr>
        <w:jc w:val="both"/>
        <w:rPr>
          <w:szCs w:val="24"/>
        </w:rPr>
      </w:pPr>
    </w:p>
    <w:p w:rsidR="00EF4D85" w:rsidRPr="00264142" w:rsidRDefault="00EF4D85" w:rsidP="00BE5187">
      <w:pPr>
        <w:jc w:val="both"/>
        <w:rPr>
          <w:szCs w:val="24"/>
        </w:rPr>
      </w:pPr>
    </w:p>
    <w:p w:rsidR="00EF4D85" w:rsidRPr="00264142" w:rsidRDefault="00041971" w:rsidP="00395EA9">
      <w:pPr>
        <w:jc w:val="both"/>
        <w:rPr>
          <w:szCs w:val="24"/>
        </w:rPr>
      </w:pPr>
      <w:r>
        <w:rPr>
          <w:szCs w:val="24"/>
        </w:rPr>
        <w:t xml:space="preserve">       </w:t>
      </w:r>
      <w:r w:rsidR="00395EA9">
        <w:rPr>
          <w:szCs w:val="24"/>
        </w:rPr>
        <w:t>____</w:t>
      </w:r>
      <w:r w:rsidR="00EF4D85" w:rsidRPr="00264142">
        <w:rPr>
          <w:szCs w:val="24"/>
        </w:rPr>
        <w:t>____________________________</w:t>
      </w:r>
      <w:r w:rsidR="00EF4D85" w:rsidRPr="00264142">
        <w:rPr>
          <w:szCs w:val="24"/>
        </w:rPr>
        <w:tab/>
      </w:r>
      <w:r w:rsidR="00EF4D85" w:rsidRPr="00264142">
        <w:rPr>
          <w:szCs w:val="24"/>
        </w:rPr>
        <w:tab/>
      </w:r>
      <w:r>
        <w:rPr>
          <w:szCs w:val="24"/>
        </w:rPr>
        <w:t xml:space="preserve">                                                             </w:t>
      </w:r>
      <w:r w:rsidR="00EF4D85" w:rsidRPr="00264142">
        <w:rPr>
          <w:szCs w:val="24"/>
        </w:rPr>
        <w:t>______________________________</w:t>
      </w:r>
    </w:p>
    <w:p w:rsidR="00EF4D85" w:rsidRPr="00264142" w:rsidRDefault="00EF4D85" w:rsidP="00BE5187">
      <w:pPr>
        <w:ind w:firstLine="426"/>
        <w:jc w:val="both"/>
        <w:rPr>
          <w:szCs w:val="24"/>
        </w:rPr>
      </w:pPr>
      <w:r w:rsidRPr="00264142">
        <w:rPr>
          <w:szCs w:val="24"/>
        </w:rPr>
        <w:t xml:space="preserve">(pareigos, vardas, pavardė, parašas) </w:t>
      </w:r>
      <w:r w:rsidRPr="00264142">
        <w:rPr>
          <w:szCs w:val="24"/>
        </w:rPr>
        <w:tab/>
      </w:r>
      <w:r w:rsidR="00041971">
        <w:rPr>
          <w:szCs w:val="24"/>
        </w:rPr>
        <w:t xml:space="preserve">                                                                                   (pareigos, va</w:t>
      </w:r>
      <w:r w:rsidRPr="00264142">
        <w:rPr>
          <w:szCs w:val="24"/>
        </w:rPr>
        <w:t xml:space="preserve">das, pavardė, parašas) </w:t>
      </w:r>
    </w:p>
    <w:p w:rsidR="00EF4D85" w:rsidRPr="00264142" w:rsidRDefault="00EF4D85" w:rsidP="00BE5187">
      <w:pPr>
        <w:rPr>
          <w:szCs w:val="24"/>
        </w:rPr>
      </w:pPr>
    </w:p>
    <w:p w:rsidR="00EF4D85" w:rsidRPr="00264142" w:rsidRDefault="00EF4D85" w:rsidP="00BE5187">
      <w:pPr>
        <w:rPr>
          <w:szCs w:val="24"/>
        </w:rPr>
      </w:pPr>
    </w:p>
    <w:p w:rsidR="00EF4D85" w:rsidRPr="00264142" w:rsidRDefault="00EF4D85" w:rsidP="00BE5187">
      <w:pPr>
        <w:rPr>
          <w:b/>
          <w:szCs w:val="24"/>
        </w:rPr>
      </w:pPr>
    </w:p>
    <w:p w:rsidR="00074B41" w:rsidRPr="00264142" w:rsidRDefault="00074B41" w:rsidP="00BE5187"/>
    <w:sectPr w:rsidR="00074B41" w:rsidRPr="00264142" w:rsidSect="00E84FE5">
      <w:pgSz w:w="16840" w:h="11900" w:orient="landscape"/>
      <w:pgMar w:top="567" w:right="1134"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Joost">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A0E94"/>
    <w:multiLevelType w:val="multilevel"/>
    <w:tmpl w:val="438A5E6E"/>
    <w:lvl w:ilvl="0">
      <w:start w:val="1"/>
      <w:numFmt w:val="decimal"/>
      <w:lvlText w:val="%1."/>
      <w:lvlJc w:val="left"/>
      <w:pPr>
        <w:ind w:left="360" w:hanging="360"/>
      </w:pPr>
      <w:rPr>
        <w:rFonts w:ascii="Times New Roman" w:hAnsi="Times New Roman" w:cs="Times New Roman" w:hint="default"/>
        <w:sz w:val="24"/>
        <w:szCs w:val="24"/>
        <w:u w:val="none"/>
      </w:rPr>
    </w:lvl>
    <w:lvl w:ilvl="1">
      <w:start w:val="1"/>
      <w:numFmt w:val="decimal"/>
      <w:lvlText w:val="%1.%2."/>
      <w:lvlJc w:val="left"/>
      <w:pPr>
        <w:ind w:left="644" w:hanging="360"/>
      </w:pPr>
      <w:rPr>
        <w:rFonts w:ascii="Times New Roman" w:hAnsi="Times New Roman" w:cs="Times New Roman" w:hint="default"/>
        <w:b w:val="0"/>
        <w:sz w:val="24"/>
        <w:szCs w:val="24"/>
        <w:u w:val="none"/>
      </w:rPr>
    </w:lvl>
    <w:lvl w:ilvl="2">
      <w:start w:val="1"/>
      <w:numFmt w:val="decimal"/>
      <w:lvlText w:val="%1.%2.%3."/>
      <w:lvlJc w:val="left"/>
      <w:pPr>
        <w:ind w:left="1440" w:hanging="720"/>
      </w:pPr>
      <w:rPr>
        <w:rFonts w:asciiTheme="minorHAnsi" w:hAnsiTheme="minorHAnsi" w:cstheme="minorBidi" w:hint="default"/>
        <w:sz w:val="22"/>
        <w:u w:val="none"/>
      </w:rPr>
    </w:lvl>
    <w:lvl w:ilvl="3">
      <w:start w:val="1"/>
      <w:numFmt w:val="decimal"/>
      <w:lvlText w:val="%1.%2.%3.%4."/>
      <w:lvlJc w:val="left"/>
      <w:pPr>
        <w:ind w:left="1800" w:hanging="720"/>
      </w:pPr>
      <w:rPr>
        <w:rFonts w:asciiTheme="minorHAnsi" w:hAnsiTheme="minorHAnsi" w:cstheme="minorBidi" w:hint="default"/>
        <w:sz w:val="22"/>
        <w:u w:val="none"/>
      </w:rPr>
    </w:lvl>
    <w:lvl w:ilvl="4">
      <w:start w:val="1"/>
      <w:numFmt w:val="decimal"/>
      <w:lvlText w:val="%1.%2.%3.%4.%5."/>
      <w:lvlJc w:val="left"/>
      <w:pPr>
        <w:ind w:left="2520" w:hanging="1080"/>
      </w:pPr>
      <w:rPr>
        <w:rFonts w:asciiTheme="minorHAnsi" w:hAnsiTheme="minorHAnsi" w:cstheme="minorBidi" w:hint="default"/>
        <w:sz w:val="22"/>
        <w:u w:val="none"/>
      </w:rPr>
    </w:lvl>
    <w:lvl w:ilvl="5">
      <w:start w:val="1"/>
      <w:numFmt w:val="decimal"/>
      <w:lvlText w:val="%1.%2.%3.%4.%5.%6."/>
      <w:lvlJc w:val="left"/>
      <w:pPr>
        <w:ind w:left="2880" w:hanging="1080"/>
      </w:pPr>
      <w:rPr>
        <w:rFonts w:asciiTheme="minorHAnsi" w:hAnsiTheme="minorHAnsi" w:cstheme="minorBidi" w:hint="default"/>
        <w:sz w:val="22"/>
        <w:u w:val="none"/>
      </w:rPr>
    </w:lvl>
    <w:lvl w:ilvl="6">
      <w:start w:val="1"/>
      <w:numFmt w:val="decimal"/>
      <w:lvlText w:val="%1.%2.%3.%4.%5.%6.%7."/>
      <w:lvlJc w:val="left"/>
      <w:pPr>
        <w:ind w:left="3600" w:hanging="1440"/>
      </w:pPr>
      <w:rPr>
        <w:rFonts w:asciiTheme="minorHAnsi" w:hAnsiTheme="minorHAnsi" w:cstheme="minorBidi" w:hint="default"/>
        <w:sz w:val="22"/>
        <w:u w:val="none"/>
      </w:rPr>
    </w:lvl>
    <w:lvl w:ilvl="7">
      <w:start w:val="1"/>
      <w:numFmt w:val="decimal"/>
      <w:lvlText w:val="%1.%2.%3.%4.%5.%6.%7.%8."/>
      <w:lvlJc w:val="left"/>
      <w:pPr>
        <w:ind w:left="3960" w:hanging="1440"/>
      </w:pPr>
      <w:rPr>
        <w:rFonts w:asciiTheme="minorHAnsi" w:hAnsiTheme="minorHAnsi" w:cstheme="minorBidi" w:hint="default"/>
        <w:sz w:val="22"/>
        <w:u w:val="none"/>
      </w:rPr>
    </w:lvl>
    <w:lvl w:ilvl="8">
      <w:start w:val="1"/>
      <w:numFmt w:val="decimal"/>
      <w:lvlText w:val="%1.%2.%3.%4.%5.%6.%7.%8.%9."/>
      <w:lvlJc w:val="left"/>
      <w:pPr>
        <w:ind w:left="4680" w:hanging="1800"/>
      </w:pPr>
      <w:rPr>
        <w:rFonts w:asciiTheme="minorHAnsi" w:hAnsiTheme="minorHAnsi" w:cstheme="minorBidi" w:hint="default"/>
        <w:sz w:val="22"/>
        <w:u w:val="none"/>
      </w:rPr>
    </w:lvl>
  </w:abstractNum>
  <w:abstractNum w:abstractNumId="1">
    <w:nsid w:val="54377DED"/>
    <w:multiLevelType w:val="hybridMultilevel"/>
    <w:tmpl w:val="09F0B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985F28"/>
    <w:multiLevelType w:val="multilevel"/>
    <w:tmpl w:val="93CECE44"/>
    <w:lvl w:ilvl="0">
      <w:start w:val="1"/>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compat/>
  <w:rsids>
    <w:rsidRoot w:val="00EF4D85"/>
    <w:rsid w:val="00030A9D"/>
    <w:rsid w:val="00041971"/>
    <w:rsid w:val="00056E6B"/>
    <w:rsid w:val="00074B41"/>
    <w:rsid w:val="000D0F72"/>
    <w:rsid w:val="00124634"/>
    <w:rsid w:val="00130E6F"/>
    <w:rsid w:val="0015572D"/>
    <w:rsid w:val="001C3B99"/>
    <w:rsid w:val="00210EFE"/>
    <w:rsid w:val="00220224"/>
    <w:rsid w:val="002225DE"/>
    <w:rsid w:val="00242C47"/>
    <w:rsid w:val="0026029D"/>
    <w:rsid w:val="00264142"/>
    <w:rsid w:val="00265429"/>
    <w:rsid w:val="00272E6D"/>
    <w:rsid w:val="002A0C1F"/>
    <w:rsid w:val="002A66FB"/>
    <w:rsid w:val="00395EA9"/>
    <w:rsid w:val="00413AE7"/>
    <w:rsid w:val="004231F8"/>
    <w:rsid w:val="00430B04"/>
    <w:rsid w:val="00566B24"/>
    <w:rsid w:val="00571A1C"/>
    <w:rsid w:val="005754A3"/>
    <w:rsid w:val="00584ABF"/>
    <w:rsid w:val="00586899"/>
    <w:rsid w:val="005E1D37"/>
    <w:rsid w:val="006444F1"/>
    <w:rsid w:val="006C465A"/>
    <w:rsid w:val="006D1856"/>
    <w:rsid w:val="006D3B47"/>
    <w:rsid w:val="006F07B5"/>
    <w:rsid w:val="007A0233"/>
    <w:rsid w:val="007B68F4"/>
    <w:rsid w:val="007D7A68"/>
    <w:rsid w:val="008072A4"/>
    <w:rsid w:val="00813CB5"/>
    <w:rsid w:val="009039B0"/>
    <w:rsid w:val="00916195"/>
    <w:rsid w:val="00945FB8"/>
    <w:rsid w:val="009B6BB0"/>
    <w:rsid w:val="009D2E2C"/>
    <w:rsid w:val="009E46C4"/>
    <w:rsid w:val="009F54E3"/>
    <w:rsid w:val="00A24DD0"/>
    <w:rsid w:val="00AF56C7"/>
    <w:rsid w:val="00BC2CC8"/>
    <w:rsid w:val="00BC6C27"/>
    <w:rsid w:val="00BE5187"/>
    <w:rsid w:val="00C013B9"/>
    <w:rsid w:val="00C62CFD"/>
    <w:rsid w:val="00CA38A1"/>
    <w:rsid w:val="00CA4193"/>
    <w:rsid w:val="00D06613"/>
    <w:rsid w:val="00D118BF"/>
    <w:rsid w:val="00D23366"/>
    <w:rsid w:val="00D33004"/>
    <w:rsid w:val="00D5515F"/>
    <w:rsid w:val="00D7273A"/>
    <w:rsid w:val="00D73D9A"/>
    <w:rsid w:val="00DA0984"/>
    <w:rsid w:val="00E84FE5"/>
    <w:rsid w:val="00EB0427"/>
    <w:rsid w:val="00EC170C"/>
    <w:rsid w:val="00ED6A02"/>
    <w:rsid w:val="00EF398D"/>
    <w:rsid w:val="00EF4D85"/>
    <w:rsid w:val="00F511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4D8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F4D85"/>
    <w:pPr>
      <w:suppressAutoHyphens/>
      <w:ind w:left="720"/>
    </w:pPr>
    <w:rPr>
      <w:szCs w:val="24"/>
      <w:lang w:val="en-GB" w:eastAsia="ar-SA"/>
    </w:rPr>
  </w:style>
  <w:style w:type="paragraph" w:customStyle="1" w:styleId="MediumGrid21">
    <w:name w:val="Medium Grid 21"/>
    <w:uiPriority w:val="1"/>
    <w:qFormat/>
    <w:rsid w:val="00EF4D85"/>
    <w:pPr>
      <w:spacing w:after="0" w:line="240" w:lineRule="auto"/>
    </w:pPr>
    <w:rPr>
      <w:rFonts w:ascii="Calibri" w:eastAsia="Calibri" w:hAnsi="Calibri" w:cs="Times New Roman"/>
      <w:sz w:val="24"/>
      <w:szCs w:val="24"/>
      <w:lang w:val="en-US"/>
    </w:rPr>
  </w:style>
  <w:style w:type="character" w:customStyle="1" w:styleId="s1">
    <w:name w:val="s1"/>
    <w:basedOn w:val="Numatytasispastraiposriftas"/>
    <w:rsid w:val="00EF4D85"/>
  </w:style>
  <w:style w:type="character" w:styleId="Emfaz">
    <w:name w:val="Emphasis"/>
    <w:qFormat/>
    <w:rsid w:val="00EF4D85"/>
    <w:rPr>
      <w:i/>
      <w:iCs/>
    </w:rPr>
  </w:style>
  <w:style w:type="character" w:styleId="Hipersaitas">
    <w:name w:val="Hyperlink"/>
    <w:basedOn w:val="Numatytasispastraiposriftas"/>
    <w:uiPriority w:val="99"/>
    <w:unhideWhenUsed/>
    <w:rsid w:val="00EF4D85"/>
    <w:rPr>
      <w:color w:val="0563C1" w:themeColor="hyperlink"/>
      <w:u w:val="single"/>
    </w:rPr>
  </w:style>
  <w:style w:type="paragraph" w:styleId="Betarp">
    <w:name w:val="No Spacing"/>
    <w:uiPriority w:val="1"/>
    <w:qFormat/>
    <w:rsid w:val="002A66FB"/>
    <w:pPr>
      <w:spacing w:after="0" w:line="240" w:lineRule="auto"/>
    </w:pPr>
    <w:rPr>
      <w:rFonts w:ascii="Times New Roman" w:eastAsia="Calibri" w:hAnsi="Times New Roman" w:cs="Times New Roman"/>
      <w:sz w:val="24"/>
    </w:rPr>
  </w:style>
  <w:style w:type="table" w:customStyle="1" w:styleId="TableGrid1">
    <w:name w:val="Table Grid1"/>
    <w:basedOn w:val="prastojilentel"/>
    <w:uiPriority w:val="59"/>
    <w:rsid w:val="00575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5754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ykuspabrauktasis">
    <w:name w:val="Intense Emphasis"/>
    <w:basedOn w:val="Numatytasispastraiposriftas"/>
    <w:uiPriority w:val="21"/>
    <w:qFormat/>
    <w:rsid w:val="00430B04"/>
    <w:rPr>
      <w:b/>
      <w:bCs/>
      <w:i/>
      <w:iCs/>
      <w:color w:val="5B9BD5"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ytu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11349</Words>
  <Characters>6470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pirkimai</cp:lastModifiedBy>
  <cp:revision>4</cp:revision>
  <dcterms:created xsi:type="dcterms:W3CDTF">2025-07-30T12:48:00Z</dcterms:created>
  <dcterms:modified xsi:type="dcterms:W3CDTF">2025-08-11T10:49:00Z</dcterms:modified>
</cp:coreProperties>
</file>