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1"/>
        <w:tblW w:w="0" w:type="auto"/>
        <w:tblInd w:w="-289" w:type="dxa"/>
        <w:tblLook w:val="04A0" w:firstRow="1" w:lastRow="0" w:firstColumn="1" w:lastColumn="0" w:noHBand="0" w:noVBand="1"/>
      </w:tblPr>
      <w:tblGrid>
        <w:gridCol w:w="568"/>
        <w:gridCol w:w="2264"/>
        <w:gridCol w:w="3859"/>
        <w:gridCol w:w="2948"/>
      </w:tblGrid>
      <w:tr w:rsidR="0060770C" w:rsidRPr="004761F3" w14:paraId="67E286EA" w14:textId="77777777" w:rsidTr="000875F7">
        <w:tc>
          <w:tcPr>
            <w:tcW w:w="568" w:type="dxa"/>
          </w:tcPr>
          <w:p w14:paraId="654395FE" w14:textId="77777777" w:rsidR="0060770C" w:rsidRPr="004761F3" w:rsidRDefault="0060770C" w:rsidP="003575B7">
            <w:pPr>
              <w:spacing w:line="278" w:lineRule="auto"/>
              <w:jc w:val="both"/>
              <w:rPr>
                <w:rFonts w:ascii="Times New Roman" w:eastAsia="Aptos" w:hAnsi="Times New Roman" w:cs="Times New Roman"/>
                <w:b/>
              </w:rPr>
            </w:pPr>
            <w:r w:rsidRPr="004761F3">
              <w:rPr>
                <w:rFonts w:ascii="Times New Roman" w:eastAsia="Aptos" w:hAnsi="Times New Roman" w:cs="Times New Roman"/>
                <w:b/>
              </w:rPr>
              <w:t xml:space="preserve">Eil. Nr. </w:t>
            </w:r>
          </w:p>
        </w:tc>
        <w:tc>
          <w:tcPr>
            <w:tcW w:w="2264" w:type="dxa"/>
          </w:tcPr>
          <w:p w14:paraId="6CDE0E1B" w14:textId="77777777" w:rsidR="0060770C" w:rsidRPr="004761F3" w:rsidRDefault="0060770C" w:rsidP="003575B7">
            <w:pPr>
              <w:spacing w:line="278" w:lineRule="auto"/>
              <w:jc w:val="both"/>
              <w:rPr>
                <w:rFonts w:ascii="Times New Roman" w:eastAsia="Aptos" w:hAnsi="Times New Roman" w:cs="Times New Roman"/>
                <w:b/>
              </w:rPr>
            </w:pPr>
            <w:r w:rsidRPr="004761F3">
              <w:rPr>
                <w:rFonts w:ascii="Times New Roman" w:eastAsia="Aptos" w:hAnsi="Times New Roman" w:cs="Times New Roman"/>
                <w:b/>
              </w:rPr>
              <w:t>Prietaiso parametrai</w:t>
            </w:r>
          </w:p>
        </w:tc>
        <w:tc>
          <w:tcPr>
            <w:tcW w:w="3859" w:type="dxa"/>
          </w:tcPr>
          <w:p w14:paraId="1DD02409" w14:textId="77777777" w:rsidR="0060770C" w:rsidRPr="004761F3" w:rsidRDefault="0060770C" w:rsidP="003575B7">
            <w:pPr>
              <w:spacing w:line="278" w:lineRule="auto"/>
              <w:jc w:val="both"/>
              <w:rPr>
                <w:rFonts w:ascii="Times New Roman" w:eastAsia="Aptos" w:hAnsi="Times New Roman" w:cs="Times New Roman"/>
                <w:b/>
              </w:rPr>
            </w:pPr>
            <w:r w:rsidRPr="004761F3">
              <w:rPr>
                <w:rFonts w:ascii="Times New Roman" w:eastAsia="Aptos" w:hAnsi="Times New Roman" w:cs="Times New Roman"/>
                <w:b/>
              </w:rPr>
              <w:t>Reikalaujamų parametrų reikšmė</w:t>
            </w:r>
          </w:p>
          <w:p w14:paraId="55033B6B" w14:textId="77777777" w:rsidR="0060770C" w:rsidRPr="004761F3" w:rsidRDefault="0060770C" w:rsidP="003575B7">
            <w:pPr>
              <w:spacing w:line="278" w:lineRule="auto"/>
              <w:jc w:val="both"/>
              <w:rPr>
                <w:rFonts w:ascii="Times New Roman" w:eastAsia="Aptos" w:hAnsi="Times New Roman" w:cs="Times New Roman"/>
                <w:b/>
              </w:rPr>
            </w:pPr>
          </w:p>
        </w:tc>
        <w:tc>
          <w:tcPr>
            <w:tcW w:w="2948" w:type="dxa"/>
          </w:tcPr>
          <w:p w14:paraId="780B6304" w14:textId="77777777" w:rsidR="0060770C" w:rsidRPr="004761F3" w:rsidRDefault="0060770C" w:rsidP="003575B7">
            <w:pPr>
              <w:spacing w:line="278" w:lineRule="auto"/>
              <w:jc w:val="both"/>
              <w:rPr>
                <w:rFonts w:ascii="Times New Roman" w:eastAsia="Aptos" w:hAnsi="Times New Roman" w:cs="Times New Roman"/>
                <w:b/>
              </w:rPr>
            </w:pPr>
            <w:r w:rsidRPr="004761F3">
              <w:rPr>
                <w:rFonts w:ascii="Times New Roman" w:eastAsia="Aptos" w:hAnsi="Times New Roman" w:cs="Times New Roman"/>
                <w:b/>
              </w:rPr>
              <w:t>Tiekėjo siūlomi parametrai</w:t>
            </w:r>
          </w:p>
        </w:tc>
      </w:tr>
      <w:tr w:rsidR="0060770C" w:rsidRPr="004761F3" w14:paraId="293A1E12" w14:textId="77777777" w:rsidTr="000875F7">
        <w:tc>
          <w:tcPr>
            <w:tcW w:w="568" w:type="dxa"/>
          </w:tcPr>
          <w:p w14:paraId="785E9F96" w14:textId="77777777" w:rsidR="0060770C" w:rsidRPr="004761F3" w:rsidRDefault="0060770C" w:rsidP="003575B7">
            <w:pPr>
              <w:spacing w:line="278" w:lineRule="auto"/>
              <w:jc w:val="center"/>
              <w:rPr>
                <w:rFonts w:ascii="Times New Roman" w:eastAsia="Aptos" w:hAnsi="Times New Roman" w:cs="Times New Roman"/>
                <w:b/>
              </w:rPr>
            </w:pPr>
            <w:r w:rsidRPr="004761F3">
              <w:rPr>
                <w:rFonts w:ascii="Times New Roman" w:eastAsia="Aptos" w:hAnsi="Times New Roman" w:cs="Times New Roman"/>
                <w:b/>
              </w:rPr>
              <w:t>1</w:t>
            </w:r>
          </w:p>
        </w:tc>
        <w:tc>
          <w:tcPr>
            <w:tcW w:w="2264" w:type="dxa"/>
          </w:tcPr>
          <w:p w14:paraId="611D42DD" w14:textId="77777777" w:rsidR="0060770C" w:rsidRPr="004761F3" w:rsidRDefault="0060770C" w:rsidP="003575B7">
            <w:pPr>
              <w:spacing w:line="278" w:lineRule="auto"/>
              <w:jc w:val="center"/>
              <w:rPr>
                <w:rFonts w:ascii="Times New Roman" w:eastAsia="Aptos" w:hAnsi="Times New Roman" w:cs="Times New Roman"/>
                <w:b/>
              </w:rPr>
            </w:pPr>
            <w:r w:rsidRPr="004761F3">
              <w:rPr>
                <w:rFonts w:ascii="Times New Roman" w:eastAsia="Aptos" w:hAnsi="Times New Roman" w:cs="Times New Roman"/>
                <w:b/>
              </w:rPr>
              <w:t>2</w:t>
            </w:r>
          </w:p>
        </w:tc>
        <w:tc>
          <w:tcPr>
            <w:tcW w:w="3859" w:type="dxa"/>
          </w:tcPr>
          <w:p w14:paraId="3A9AFE6A" w14:textId="77777777" w:rsidR="0060770C" w:rsidRPr="004761F3" w:rsidRDefault="0060770C" w:rsidP="003575B7">
            <w:pPr>
              <w:spacing w:line="278" w:lineRule="auto"/>
              <w:jc w:val="center"/>
              <w:rPr>
                <w:rFonts w:ascii="Times New Roman" w:eastAsia="Aptos" w:hAnsi="Times New Roman" w:cs="Times New Roman"/>
                <w:b/>
              </w:rPr>
            </w:pPr>
            <w:r w:rsidRPr="004761F3">
              <w:rPr>
                <w:rFonts w:ascii="Times New Roman" w:eastAsia="Aptos" w:hAnsi="Times New Roman" w:cs="Times New Roman"/>
                <w:b/>
              </w:rPr>
              <w:t>3</w:t>
            </w:r>
          </w:p>
        </w:tc>
        <w:tc>
          <w:tcPr>
            <w:tcW w:w="2948" w:type="dxa"/>
          </w:tcPr>
          <w:p w14:paraId="671EF216" w14:textId="77777777" w:rsidR="0060770C" w:rsidRPr="004761F3" w:rsidRDefault="0060770C" w:rsidP="003575B7">
            <w:pPr>
              <w:spacing w:line="278" w:lineRule="auto"/>
              <w:jc w:val="center"/>
              <w:rPr>
                <w:rFonts w:ascii="Times New Roman" w:eastAsia="Aptos" w:hAnsi="Times New Roman" w:cs="Times New Roman"/>
                <w:b/>
              </w:rPr>
            </w:pPr>
            <w:r w:rsidRPr="004761F3">
              <w:rPr>
                <w:rFonts w:ascii="Times New Roman" w:eastAsia="Aptos" w:hAnsi="Times New Roman" w:cs="Times New Roman"/>
                <w:b/>
              </w:rPr>
              <w:t>4</w:t>
            </w:r>
          </w:p>
        </w:tc>
      </w:tr>
      <w:tr w:rsidR="00AB1787" w:rsidRPr="004761F3" w14:paraId="746D9227" w14:textId="77777777" w:rsidTr="000875F7">
        <w:tc>
          <w:tcPr>
            <w:tcW w:w="568" w:type="dxa"/>
          </w:tcPr>
          <w:p w14:paraId="66699DE9" w14:textId="77777777" w:rsidR="00AB1787" w:rsidRPr="004761F3" w:rsidRDefault="00AB1787" w:rsidP="00AB1787">
            <w:pPr>
              <w:rPr>
                <w:rFonts w:ascii="Times New Roman" w:eastAsia="Aptos" w:hAnsi="Times New Roman" w:cs="Times New Roman"/>
              </w:rPr>
            </w:pPr>
            <w:r w:rsidRPr="004761F3">
              <w:rPr>
                <w:rFonts w:ascii="Times New Roman" w:eastAsia="Aptos" w:hAnsi="Times New Roman" w:cs="Times New Roman"/>
              </w:rPr>
              <w:t>1.</w:t>
            </w:r>
          </w:p>
        </w:tc>
        <w:tc>
          <w:tcPr>
            <w:tcW w:w="2264" w:type="dxa"/>
          </w:tcPr>
          <w:p w14:paraId="7CDBEC33" w14:textId="77777777" w:rsidR="00AB1787" w:rsidRPr="004761F3" w:rsidRDefault="00AB1787" w:rsidP="00AB1787">
            <w:pPr>
              <w:spacing w:line="278" w:lineRule="auto"/>
              <w:rPr>
                <w:rFonts w:ascii="Times New Roman" w:eastAsia="Aptos" w:hAnsi="Times New Roman" w:cs="Times New Roman"/>
              </w:rPr>
            </w:pPr>
            <w:r>
              <w:rPr>
                <w:rFonts w:ascii="Times New Roman" w:eastAsia="Aptos" w:hAnsi="Times New Roman" w:cs="Times New Roman"/>
              </w:rPr>
              <w:t>Pipečių kiekis</w:t>
            </w:r>
          </w:p>
        </w:tc>
        <w:tc>
          <w:tcPr>
            <w:tcW w:w="3859" w:type="dxa"/>
          </w:tcPr>
          <w:p w14:paraId="1C016AB3" w14:textId="6918425E" w:rsidR="00AB1787" w:rsidRPr="004761F3" w:rsidRDefault="00AB1787" w:rsidP="00AB1787">
            <w:pPr>
              <w:spacing w:line="278" w:lineRule="auto"/>
              <w:rPr>
                <w:rFonts w:ascii="Times New Roman" w:eastAsia="Aptos" w:hAnsi="Times New Roman" w:cs="Times New Roman"/>
              </w:rPr>
            </w:pPr>
            <w:r>
              <w:rPr>
                <w:rFonts w:ascii="Times New Roman" w:eastAsia="Aptos" w:hAnsi="Times New Roman" w:cs="Times New Roman"/>
              </w:rPr>
              <w:t>Po 1vnt, 100 µl ir 300 µl.</w:t>
            </w:r>
          </w:p>
        </w:tc>
        <w:tc>
          <w:tcPr>
            <w:tcW w:w="2948" w:type="dxa"/>
          </w:tcPr>
          <w:p w14:paraId="7D670667" w14:textId="17FDDBCC" w:rsidR="00AB1787" w:rsidRPr="004761F3" w:rsidRDefault="00AB1787" w:rsidP="00AB1787">
            <w:pPr>
              <w:spacing w:line="278" w:lineRule="auto"/>
              <w:rPr>
                <w:rFonts w:ascii="Times New Roman" w:eastAsia="Aptos" w:hAnsi="Times New Roman" w:cs="Times New Roman"/>
              </w:rPr>
            </w:pPr>
            <w:r>
              <w:rPr>
                <w:rFonts w:ascii="Times New Roman" w:eastAsia="Aptos" w:hAnsi="Times New Roman" w:cs="Times New Roman"/>
              </w:rPr>
              <w:t>Po 1vnt, 100 µl ir 300 µl.</w:t>
            </w:r>
          </w:p>
        </w:tc>
      </w:tr>
      <w:tr w:rsidR="00AB1787" w:rsidRPr="004761F3" w14:paraId="7F3432DD" w14:textId="77777777" w:rsidTr="000875F7">
        <w:tc>
          <w:tcPr>
            <w:tcW w:w="568" w:type="dxa"/>
          </w:tcPr>
          <w:p w14:paraId="2A8CE25F" w14:textId="77777777" w:rsidR="00AB1787" w:rsidRPr="004761F3" w:rsidRDefault="00AB1787" w:rsidP="00AB1787">
            <w:pPr>
              <w:rPr>
                <w:rFonts w:ascii="Times New Roman" w:eastAsia="Aptos" w:hAnsi="Times New Roman" w:cs="Times New Roman"/>
              </w:rPr>
            </w:pPr>
            <w:r>
              <w:rPr>
                <w:rFonts w:ascii="Times New Roman" w:eastAsia="Aptos" w:hAnsi="Times New Roman" w:cs="Times New Roman"/>
              </w:rPr>
              <w:t>2.</w:t>
            </w:r>
          </w:p>
        </w:tc>
        <w:tc>
          <w:tcPr>
            <w:tcW w:w="2264" w:type="dxa"/>
          </w:tcPr>
          <w:p w14:paraId="79D52841" w14:textId="77777777" w:rsidR="00AB1787" w:rsidRPr="004761F3" w:rsidRDefault="00AB1787" w:rsidP="00AB1787">
            <w:pPr>
              <w:spacing w:line="278" w:lineRule="auto"/>
              <w:rPr>
                <w:rFonts w:ascii="Times New Roman" w:eastAsia="Aptos" w:hAnsi="Times New Roman" w:cs="Times New Roman"/>
              </w:rPr>
            </w:pPr>
            <w:r>
              <w:rPr>
                <w:rFonts w:ascii="Times New Roman" w:eastAsia="Aptos" w:hAnsi="Times New Roman" w:cs="Times New Roman"/>
              </w:rPr>
              <w:t>Pipečių tūriai</w:t>
            </w:r>
          </w:p>
        </w:tc>
        <w:tc>
          <w:tcPr>
            <w:tcW w:w="3859" w:type="dxa"/>
          </w:tcPr>
          <w:p w14:paraId="325B497F" w14:textId="2EED2170" w:rsidR="00AB1787" w:rsidRDefault="00AB1787" w:rsidP="00AB1787">
            <w:pPr>
              <w:spacing w:line="278" w:lineRule="auto"/>
              <w:rPr>
                <w:rFonts w:ascii="Times New Roman" w:eastAsia="Aptos" w:hAnsi="Times New Roman" w:cs="Times New Roman"/>
              </w:rPr>
            </w:pPr>
            <w:r>
              <w:rPr>
                <w:rFonts w:ascii="Times New Roman" w:eastAsia="Aptos" w:hAnsi="Times New Roman" w:cs="Times New Roman"/>
              </w:rPr>
              <w:t>Ne blogiau nei nuo 10 iki 100 µl paklaida ne didesnė nei ±0,2 µl. Nustatymo skalės tikslumas ne daugiau 0,1 µl.</w:t>
            </w:r>
          </w:p>
          <w:p w14:paraId="6B957318" w14:textId="6022C651" w:rsidR="00AB1787" w:rsidRPr="004761F3" w:rsidRDefault="00AB1787" w:rsidP="00AB1787">
            <w:pPr>
              <w:spacing w:line="278" w:lineRule="auto"/>
              <w:rPr>
                <w:rFonts w:ascii="Times New Roman" w:eastAsia="Aptos" w:hAnsi="Times New Roman" w:cs="Times New Roman"/>
              </w:rPr>
            </w:pPr>
            <w:r>
              <w:rPr>
                <w:rFonts w:ascii="Times New Roman" w:eastAsia="Aptos" w:hAnsi="Times New Roman" w:cs="Times New Roman"/>
              </w:rPr>
              <w:t>Ne blogiau nei nuo 10 iki 300 µl paklaida ne didesnė nei ±0,3 µl. Nustatymo skalės tikslumas ne daugiau 0,2 µl.</w:t>
            </w:r>
          </w:p>
        </w:tc>
        <w:tc>
          <w:tcPr>
            <w:tcW w:w="2948" w:type="dxa"/>
          </w:tcPr>
          <w:p w14:paraId="00E5E0A7" w14:textId="7B25B86C" w:rsidR="00AB1787" w:rsidRDefault="00AB1787" w:rsidP="00AB1787">
            <w:pPr>
              <w:spacing w:line="278" w:lineRule="auto"/>
              <w:rPr>
                <w:rFonts w:ascii="Times New Roman" w:eastAsia="Aptos" w:hAnsi="Times New Roman" w:cs="Times New Roman"/>
              </w:rPr>
            </w:pPr>
            <w:r>
              <w:rPr>
                <w:rFonts w:ascii="Times New Roman" w:eastAsia="Aptos" w:hAnsi="Times New Roman" w:cs="Times New Roman"/>
              </w:rPr>
              <w:t>Nuo 10 iki 100 µl paklaida ±0,2 µl. Nustatymo skalės tikslumas 0,1 µl.</w:t>
            </w:r>
          </w:p>
          <w:p w14:paraId="5F6D4D1D" w14:textId="0D093AC4" w:rsidR="00AB1787" w:rsidRPr="004761F3" w:rsidRDefault="00AB1787" w:rsidP="00AB1787">
            <w:pPr>
              <w:spacing w:line="278" w:lineRule="auto"/>
              <w:rPr>
                <w:rFonts w:ascii="Times New Roman" w:eastAsia="Aptos" w:hAnsi="Times New Roman" w:cs="Times New Roman"/>
              </w:rPr>
            </w:pPr>
            <w:r>
              <w:rPr>
                <w:rFonts w:ascii="Times New Roman" w:eastAsia="Aptos" w:hAnsi="Times New Roman" w:cs="Times New Roman"/>
              </w:rPr>
              <w:t>Nuo 30 iki 300 µl paklaida ±0,3 µl. Nustatymo skalės tikslumas 0,2 µl.</w:t>
            </w:r>
          </w:p>
        </w:tc>
      </w:tr>
      <w:tr w:rsidR="00AB1787" w:rsidRPr="004761F3" w14:paraId="1A4D5FEF" w14:textId="77777777" w:rsidTr="000875F7">
        <w:tc>
          <w:tcPr>
            <w:tcW w:w="568" w:type="dxa"/>
          </w:tcPr>
          <w:p w14:paraId="1090469E" w14:textId="77777777" w:rsidR="00AB1787" w:rsidRPr="004761F3" w:rsidRDefault="00AB1787" w:rsidP="00AB1787">
            <w:pPr>
              <w:rPr>
                <w:rFonts w:ascii="Times New Roman" w:eastAsia="Aptos" w:hAnsi="Times New Roman" w:cs="Times New Roman"/>
              </w:rPr>
            </w:pPr>
            <w:r>
              <w:rPr>
                <w:rFonts w:ascii="Times New Roman" w:eastAsia="Aptos" w:hAnsi="Times New Roman" w:cs="Times New Roman"/>
              </w:rPr>
              <w:t>3.</w:t>
            </w:r>
          </w:p>
        </w:tc>
        <w:tc>
          <w:tcPr>
            <w:tcW w:w="2264" w:type="dxa"/>
          </w:tcPr>
          <w:p w14:paraId="09F1D878" w14:textId="77777777" w:rsidR="00AB1787" w:rsidRPr="004761F3" w:rsidRDefault="00AB1787" w:rsidP="00AB1787">
            <w:pPr>
              <w:spacing w:line="278" w:lineRule="auto"/>
              <w:rPr>
                <w:rFonts w:ascii="Times New Roman" w:eastAsia="Aptos" w:hAnsi="Times New Roman" w:cs="Times New Roman"/>
              </w:rPr>
            </w:pPr>
            <w:r>
              <w:rPr>
                <w:rFonts w:ascii="Times New Roman" w:eastAsia="Aptos" w:hAnsi="Times New Roman" w:cs="Times New Roman"/>
              </w:rPr>
              <w:t>Atitikimas</w:t>
            </w:r>
          </w:p>
        </w:tc>
        <w:tc>
          <w:tcPr>
            <w:tcW w:w="3859" w:type="dxa"/>
          </w:tcPr>
          <w:p w14:paraId="1E0A287F" w14:textId="77777777" w:rsidR="00AB1787" w:rsidRPr="004761F3" w:rsidRDefault="00AB1787" w:rsidP="00AB1787">
            <w:pPr>
              <w:spacing w:line="278" w:lineRule="auto"/>
              <w:rPr>
                <w:rFonts w:ascii="Times New Roman" w:eastAsia="Aptos" w:hAnsi="Times New Roman" w:cs="Times New Roman"/>
              </w:rPr>
            </w:pPr>
            <w:r>
              <w:rPr>
                <w:rFonts w:ascii="Times New Roman" w:eastAsia="Aptos" w:hAnsi="Times New Roman" w:cs="Times New Roman"/>
              </w:rPr>
              <w:t xml:space="preserve">Turi atitikti </w:t>
            </w:r>
            <w:r w:rsidRPr="005E1BC8">
              <w:rPr>
                <w:rFonts w:ascii="Times New Roman" w:eastAsia="Aptos" w:hAnsi="Times New Roman" w:cs="Times New Roman"/>
                <w:lang w:val="en-GB"/>
              </w:rPr>
              <w:t>ISO 8655</w:t>
            </w:r>
            <w:r>
              <w:rPr>
                <w:rFonts w:ascii="Times New Roman" w:eastAsia="Aptos" w:hAnsi="Times New Roman" w:cs="Times New Roman"/>
                <w:lang w:val="en-GB"/>
              </w:rPr>
              <w:t xml:space="preserve"> </w:t>
            </w:r>
            <w:proofErr w:type="spellStart"/>
            <w:r>
              <w:rPr>
                <w:rFonts w:ascii="Times New Roman" w:eastAsia="Aptos" w:hAnsi="Times New Roman" w:cs="Times New Roman"/>
                <w:lang w:val="en-GB"/>
              </w:rPr>
              <w:t>standartą</w:t>
            </w:r>
            <w:proofErr w:type="spellEnd"/>
            <w:r>
              <w:rPr>
                <w:rFonts w:ascii="Times New Roman" w:eastAsia="Aptos" w:hAnsi="Times New Roman" w:cs="Times New Roman"/>
                <w:lang w:val="en-GB"/>
              </w:rPr>
              <w:t>.</w:t>
            </w:r>
          </w:p>
        </w:tc>
        <w:tc>
          <w:tcPr>
            <w:tcW w:w="2948" w:type="dxa"/>
          </w:tcPr>
          <w:p w14:paraId="06C04CC2" w14:textId="6DAEA5D6" w:rsidR="00AB1787" w:rsidRPr="004761F3" w:rsidRDefault="005C166F" w:rsidP="00AB1787">
            <w:pPr>
              <w:spacing w:line="278" w:lineRule="auto"/>
              <w:rPr>
                <w:rFonts w:ascii="Times New Roman" w:eastAsia="Aptos" w:hAnsi="Times New Roman" w:cs="Times New Roman"/>
              </w:rPr>
            </w:pPr>
            <w:r>
              <w:rPr>
                <w:rFonts w:ascii="Times New Roman" w:eastAsia="Aptos" w:hAnsi="Times New Roman" w:cs="Times New Roman"/>
              </w:rPr>
              <w:t>Atitinka</w:t>
            </w:r>
            <w:r w:rsidR="00AB1787">
              <w:rPr>
                <w:rFonts w:ascii="Times New Roman" w:eastAsia="Aptos" w:hAnsi="Times New Roman" w:cs="Times New Roman"/>
              </w:rPr>
              <w:t xml:space="preserve"> </w:t>
            </w:r>
            <w:r w:rsidR="00AB1787" w:rsidRPr="005E1BC8">
              <w:rPr>
                <w:rFonts w:ascii="Times New Roman" w:eastAsia="Aptos" w:hAnsi="Times New Roman" w:cs="Times New Roman"/>
                <w:lang w:val="en-GB"/>
              </w:rPr>
              <w:t>ISO 8655</w:t>
            </w:r>
            <w:r w:rsidR="00AB1787">
              <w:rPr>
                <w:rFonts w:ascii="Times New Roman" w:eastAsia="Aptos" w:hAnsi="Times New Roman" w:cs="Times New Roman"/>
                <w:lang w:val="en-GB"/>
              </w:rPr>
              <w:t xml:space="preserve"> </w:t>
            </w:r>
            <w:proofErr w:type="spellStart"/>
            <w:r w:rsidR="00AB1787">
              <w:rPr>
                <w:rFonts w:ascii="Times New Roman" w:eastAsia="Aptos" w:hAnsi="Times New Roman" w:cs="Times New Roman"/>
                <w:lang w:val="en-GB"/>
              </w:rPr>
              <w:t>standartą</w:t>
            </w:r>
            <w:proofErr w:type="spellEnd"/>
            <w:r w:rsidR="00AB1787">
              <w:rPr>
                <w:rFonts w:ascii="Times New Roman" w:eastAsia="Aptos" w:hAnsi="Times New Roman" w:cs="Times New Roman"/>
                <w:lang w:val="en-GB"/>
              </w:rPr>
              <w:t>.</w:t>
            </w:r>
          </w:p>
        </w:tc>
      </w:tr>
      <w:tr w:rsidR="00AB1787" w:rsidRPr="004761F3" w14:paraId="6FFDC56B" w14:textId="77777777" w:rsidTr="000875F7">
        <w:tc>
          <w:tcPr>
            <w:tcW w:w="568" w:type="dxa"/>
          </w:tcPr>
          <w:p w14:paraId="256602CE" w14:textId="77777777" w:rsidR="00AB1787" w:rsidRPr="004761F3" w:rsidRDefault="00AB1787" w:rsidP="00AB1787">
            <w:pPr>
              <w:spacing w:line="278" w:lineRule="auto"/>
              <w:rPr>
                <w:rFonts w:ascii="Times New Roman" w:eastAsia="Aptos" w:hAnsi="Times New Roman" w:cs="Times New Roman"/>
              </w:rPr>
            </w:pPr>
            <w:r w:rsidRPr="004761F3">
              <w:rPr>
                <w:rFonts w:ascii="Times New Roman" w:eastAsia="Aptos" w:hAnsi="Times New Roman" w:cs="Times New Roman"/>
              </w:rPr>
              <w:t>4.</w:t>
            </w:r>
          </w:p>
        </w:tc>
        <w:tc>
          <w:tcPr>
            <w:tcW w:w="2264" w:type="dxa"/>
          </w:tcPr>
          <w:p w14:paraId="55866E67" w14:textId="77777777" w:rsidR="00AB1787" w:rsidRPr="004761F3" w:rsidRDefault="00AB1787" w:rsidP="00AB1787">
            <w:pPr>
              <w:spacing w:line="278" w:lineRule="auto"/>
              <w:rPr>
                <w:rFonts w:ascii="Times New Roman" w:eastAsia="Aptos" w:hAnsi="Times New Roman" w:cs="Times New Roman"/>
              </w:rPr>
            </w:pPr>
            <w:r>
              <w:rPr>
                <w:rFonts w:ascii="Times New Roman" w:eastAsia="Aptos" w:hAnsi="Times New Roman" w:cs="Times New Roman"/>
              </w:rPr>
              <w:t>Sterilinimas</w:t>
            </w:r>
          </w:p>
        </w:tc>
        <w:tc>
          <w:tcPr>
            <w:tcW w:w="3859" w:type="dxa"/>
          </w:tcPr>
          <w:p w14:paraId="21464FE5" w14:textId="77777777" w:rsidR="00AB1787" w:rsidRPr="004761F3" w:rsidRDefault="00AB1787" w:rsidP="00AB1787">
            <w:pPr>
              <w:tabs>
                <w:tab w:val="left" w:pos="2910"/>
              </w:tabs>
              <w:spacing w:line="278" w:lineRule="auto"/>
              <w:rPr>
                <w:rFonts w:ascii="Times New Roman" w:eastAsia="Aptos" w:hAnsi="Times New Roman" w:cs="Times New Roman"/>
              </w:rPr>
            </w:pPr>
            <w:r>
              <w:rPr>
                <w:rFonts w:ascii="Times New Roman" w:eastAsia="Aptos" w:hAnsi="Times New Roman" w:cs="Times New Roman"/>
              </w:rPr>
              <w:t>Turi būti galima autoklavuoti.</w:t>
            </w:r>
          </w:p>
        </w:tc>
        <w:tc>
          <w:tcPr>
            <w:tcW w:w="2948" w:type="dxa"/>
          </w:tcPr>
          <w:p w14:paraId="2173BBF1" w14:textId="478D9823" w:rsidR="00AB1787" w:rsidRPr="004761F3" w:rsidRDefault="005C166F" w:rsidP="00AB1787">
            <w:pPr>
              <w:tabs>
                <w:tab w:val="left" w:pos="2910"/>
              </w:tabs>
              <w:spacing w:line="278" w:lineRule="auto"/>
              <w:rPr>
                <w:rFonts w:ascii="Times New Roman" w:eastAsia="Aptos" w:hAnsi="Times New Roman" w:cs="Times New Roman"/>
              </w:rPr>
            </w:pPr>
            <w:r>
              <w:rPr>
                <w:rFonts w:ascii="Times New Roman" w:eastAsia="Aptos" w:hAnsi="Times New Roman" w:cs="Times New Roman"/>
              </w:rPr>
              <w:t>G</w:t>
            </w:r>
            <w:r w:rsidR="00AB1787">
              <w:rPr>
                <w:rFonts w:ascii="Times New Roman" w:eastAsia="Aptos" w:hAnsi="Times New Roman" w:cs="Times New Roman"/>
              </w:rPr>
              <w:t>alima autoklavuoti.</w:t>
            </w:r>
          </w:p>
        </w:tc>
      </w:tr>
      <w:tr w:rsidR="00AB1787" w:rsidRPr="004761F3" w14:paraId="01AFBB0D" w14:textId="77777777" w:rsidTr="000875F7">
        <w:tc>
          <w:tcPr>
            <w:tcW w:w="568" w:type="dxa"/>
          </w:tcPr>
          <w:p w14:paraId="758B94E7" w14:textId="77777777" w:rsidR="00AB1787" w:rsidRPr="004761F3" w:rsidRDefault="00AB1787" w:rsidP="00AB1787">
            <w:pPr>
              <w:spacing w:line="278" w:lineRule="auto"/>
              <w:rPr>
                <w:rFonts w:ascii="Times New Roman" w:eastAsia="Aptos" w:hAnsi="Times New Roman" w:cs="Times New Roman"/>
              </w:rPr>
            </w:pPr>
            <w:r w:rsidRPr="004761F3">
              <w:rPr>
                <w:rFonts w:ascii="Times New Roman" w:eastAsia="Aptos" w:hAnsi="Times New Roman" w:cs="Times New Roman"/>
              </w:rPr>
              <w:t>5.</w:t>
            </w:r>
          </w:p>
        </w:tc>
        <w:tc>
          <w:tcPr>
            <w:tcW w:w="2264" w:type="dxa"/>
          </w:tcPr>
          <w:p w14:paraId="06DC45A7" w14:textId="77777777" w:rsidR="00AB1787" w:rsidRPr="004761F3" w:rsidRDefault="00AB1787" w:rsidP="00AB1787">
            <w:pPr>
              <w:spacing w:line="278" w:lineRule="auto"/>
              <w:rPr>
                <w:rFonts w:ascii="Times New Roman" w:eastAsia="Aptos" w:hAnsi="Times New Roman" w:cs="Times New Roman"/>
              </w:rPr>
            </w:pPr>
            <w:r>
              <w:rPr>
                <w:rFonts w:ascii="Times New Roman" w:eastAsia="Aptos" w:hAnsi="Times New Roman" w:cs="Times New Roman"/>
              </w:rPr>
              <w:t>UV atsparumas</w:t>
            </w:r>
          </w:p>
        </w:tc>
        <w:tc>
          <w:tcPr>
            <w:tcW w:w="3859" w:type="dxa"/>
          </w:tcPr>
          <w:p w14:paraId="4B68C227" w14:textId="77777777" w:rsidR="00AB1787" w:rsidRPr="004761F3" w:rsidRDefault="00AB1787" w:rsidP="00AB1787">
            <w:pPr>
              <w:spacing w:line="278" w:lineRule="auto"/>
              <w:rPr>
                <w:rFonts w:ascii="Times New Roman" w:eastAsia="Aptos" w:hAnsi="Times New Roman" w:cs="Times New Roman"/>
              </w:rPr>
            </w:pPr>
            <w:r>
              <w:rPr>
                <w:rFonts w:ascii="Times New Roman" w:eastAsia="Aptos" w:hAnsi="Times New Roman" w:cs="Times New Roman"/>
              </w:rPr>
              <w:t>Plastikas turi būti UV atsparus.</w:t>
            </w:r>
          </w:p>
        </w:tc>
        <w:tc>
          <w:tcPr>
            <w:tcW w:w="2948" w:type="dxa"/>
          </w:tcPr>
          <w:p w14:paraId="0CED2BA3" w14:textId="072BB23B" w:rsidR="00AB1787" w:rsidRPr="004761F3" w:rsidRDefault="00AB1787" w:rsidP="00AB1787">
            <w:pPr>
              <w:spacing w:line="278" w:lineRule="auto"/>
              <w:rPr>
                <w:rFonts w:ascii="Times New Roman" w:eastAsia="Aptos" w:hAnsi="Times New Roman" w:cs="Times New Roman"/>
              </w:rPr>
            </w:pPr>
            <w:r>
              <w:rPr>
                <w:rFonts w:ascii="Times New Roman" w:eastAsia="Aptos" w:hAnsi="Times New Roman" w:cs="Times New Roman"/>
              </w:rPr>
              <w:t xml:space="preserve">Plastikas </w:t>
            </w:r>
            <w:r w:rsidR="005C166F">
              <w:rPr>
                <w:rFonts w:ascii="Times New Roman" w:eastAsia="Aptos" w:hAnsi="Times New Roman" w:cs="Times New Roman"/>
              </w:rPr>
              <w:t>yra</w:t>
            </w:r>
            <w:r>
              <w:rPr>
                <w:rFonts w:ascii="Times New Roman" w:eastAsia="Aptos" w:hAnsi="Times New Roman" w:cs="Times New Roman"/>
              </w:rPr>
              <w:t xml:space="preserve"> UV atsparus.</w:t>
            </w:r>
          </w:p>
        </w:tc>
      </w:tr>
      <w:tr w:rsidR="00AB1787" w:rsidRPr="004761F3" w14:paraId="6ED1301A" w14:textId="77777777" w:rsidTr="000875F7">
        <w:tc>
          <w:tcPr>
            <w:tcW w:w="568" w:type="dxa"/>
          </w:tcPr>
          <w:p w14:paraId="4DA782FE" w14:textId="77777777" w:rsidR="00AB1787" w:rsidRPr="004761F3" w:rsidRDefault="00AB1787" w:rsidP="00AB1787">
            <w:pPr>
              <w:spacing w:line="278" w:lineRule="auto"/>
              <w:rPr>
                <w:rFonts w:ascii="Times New Roman" w:eastAsia="Aptos" w:hAnsi="Times New Roman" w:cs="Times New Roman"/>
              </w:rPr>
            </w:pPr>
            <w:r w:rsidRPr="004761F3">
              <w:rPr>
                <w:rFonts w:ascii="Times New Roman" w:eastAsia="Aptos" w:hAnsi="Times New Roman" w:cs="Times New Roman"/>
              </w:rPr>
              <w:t>6.</w:t>
            </w:r>
          </w:p>
        </w:tc>
        <w:tc>
          <w:tcPr>
            <w:tcW w:w="2264" w:type="dxa"/>
          </w:tcPr>
          <w:p w14:paraId="2E5916A1" w14:textId="77777777" w:rsidR="00AB1787" w:rsidRPr="004761F3" w:rsidRDefault="00AB1787" w:rsidP="00AB1787">
            <w:pPr>
              <w:spacing w:line="278" w:lineRule="auto"/>
              <w:rPr>
                <w:rFonts w:ascii="Times New Roman" w:eastAsia="Aptos" w:hAnsi="Times New Roman" w:cs="Times New Roman"/>
              </w:rPr>
            </w:pPr>
            <w:r>
              <w:rPr>
                <w:rFonts w:ascii="Times New Roman" w:eastAsia="Aptos" w:hAnsi="Times New Roman" w:cs="Times New Roman"/>
              </w:rPr>
              <w:t>Pipetavimo modos</w:t>
            </w:r>
          </w:p>
        </w:tc>
        <w:tc>
          <w:tcPr>
            <w:tcW w:w="3859" w:type="dxa"/>
          </w:tcPr>
          <w:p w14:paraId="2AC5EC7E" w14:textId="77777777" w:rsidR="00AB1787" w:rsidRPr="004761F3" w:rsidRDefault="00AB1787" w:rsidP="00AB1787">
            <w:pPr>
              <w:spacing w:line="278" w:lineRule="auto"/>
              <w:rPr>
                <w:rFonts w:ascii="Times New Roman" w:eastAsia="Aptos" w:hAnsi="Times New Roman" w:cs="Times New Roman"/>
              </w:rPr>
            </w:pPr>
            <w:r>
              <w:rPr>
                <w:rFonts w:ascii="Times New Roman" w:eastAsia="Aptos" w:hAnsi="Times New Roman" w:cs="Times New Roman"/>
              </w:rPr>
              <w:t>Pipetavimas, atvirštinis pipetavimas ir maišymas.</w:t>
            </w:r>
          </w:p>
        </w:tc>
        <w:tc>
          <w:tcPr>
            <w:tcW w:w="2948" w:type="dxa"/>
          </w:tcPr>
          <w:p w14:paraId="060E54A0" w14:textId="35BC7DFD" w:rsidR="00AB1787" w:rsidRPr="004761F3" w:rsidRDefault="00AB1787" w:rsidP="00AB1787">
            <w:pPr>
              <w:spacing w:line="278" w:lineRule="auto"/>
              <w:rPr>
                <w:rFonts w:ascii="Times New Roman" w:eastAsia="Aptos" w:hAnsi="Times New Roman" w:cs="Times New Roman"/>
              </w:rPr>
            </w:pPr>
            <w:r>
              <w:rPr>
                <w:rFonts w:ascii="Times New Roman" w:eastAsia="Aptos" w:hAnsi="Times New Roman" w:cs="Times New Roman"/>
              </w:rPr>
              <w:t>Pipetavimas, atvirštinis pipetavimas ir maišymas.</w:t>
            </w:r>
          </w:p>
        </w:tc>
      </w:tr>
      <w:tr w:rsidR="00AB1787" w:rsidRPr="004761F3" w14:paraId="44BB5EDA" w14:textId="77777777" w:rsidTr="000875F7">
        <w:tc>
          <w:tcPr>
            <w:tcW w:w="568" w:type="dxa"/>
          </w:tcPr>
          <w:p w14:paraId="6A2F3534" w14:textId="77777777" w:rsidR="00AB1787" w:rsidRPr="004761F3" w:rsidRDefault="00AB1787" w:rsidP="00AB1787">
            <w:pPr>
              <w:spacing w:line="278" w:lineRule="auto"/>
              <w:rPr>
                <w:rFonts w:ascii="Times New Roman" w:eastAsia="Aptos" w:hAnsi="Times New Roman" w:cs="Times New Roman"/>
              </w:rPr>
            </w:pPr>
            <w:r>
              <w:rPr>
                <w:rFonts w:ascii="Times New Roman" w:eastAsia="Aptos" w:hAnsi="Times New Roman" w:cs="Times New Roman"/>
              </w:rPr>
              <w:t>7.</w:t>
            </w:r>
          </w:p>
        </w:tc>
        <w:tc>
          <w:tcPr>
            <w:tcW w:w="2264" w:type="dxa"/>
          </w:tcPr>
          <w:p w14:paraId="3018EB20" w14:textId="77777777" w:rsidR="00AB1787" w:rsidRDefault="00AB1787" w:rsidP="00AB1787">
            <w:pPr>
              <w:spacing w:line="278" w:lineRule="auto"/>
              <w:rPr>
                <w:rFonts w:ascii="Times New Roman" w:eastAsia="Aptos" w:hAnsi="Times New Roman" w:cs="Times New Roman"/>
              </w:rPr>
            </w:pPr>
            <w:r>
              <w:rPr>
                <w:rFonts w:ascii="Times New Roman" w:eastAsia="Aptos" w:hAnsi="Times New Roman" w:cs="Times New Roman"/>
              </w:rPr>
              <w:t>Svoris</w:t>
            </w:r>
          </w:p>
        </w:tc>
        <w:tc>
          <w:tcPr>
            <w:tcW w:w="3859" w:type="dxa"/>
          </w:tcPr>
          <w:p w14:paraId="4700FF4B" w14:textId="55BB751C" w:rsidR="00AB1787" w:rsidRDefault="00AB1787" w:rsidP="00AB1787">
            <w:pPr>
              <w:spacing w:line="278" w:lineRule="auto"/>
              <w:rPr>
                <w:rFonts w:ascii="Times New Roman" w:eastAsia="Aptos" w:hAnsi="Times New Roman" w:cs="Times New Roman"/>
              </w:rPr>
            </w:pPr>
            <w:r>
              <w:rPr>
                <w:rFonts w:ascii="Times New Roman" w:eastAsia="Aptos" w:hAnsi="Times New Roman" w:cs="Times New Roman"/>
              </w:rPr>
              <w:t xml:space="preserve">Ne sunkesnės nei 150g. </w:t>
            </w:r>
          </w:p>
        </w:tc>
        <w:tc>
          <w:tcPr>
            <w:tcW w:w="2948" w:type="dxa"/>
          </w:tcPr>
          <w:p w14:paraId="0C4EC3D4" w14:textId="326130A4" w:rsidR="00AB1787" w:rsidRPr="004761F3" w:rsidRDefault="00AB1787" w:rsidP="00AB1787">
            <w:pPr>
              <w:spacing w:line="278" w:lineRule="auto"/>
              <w:rPr>
                <w:rFonts w:ascii="Times New Roman" w:eastAsia="Aptos" w:hAnsi="Times New Roman" w:cs="Times New Roman"/>
              </w:rPr>
            </w:pPr>
            <w:r>
              <w:rPr>
                <w:rFonts w:ascii="Times New Roman" w:eastAsia="Aptos" w:hAnsi="Times New Roman" w:cs="Times New Roman"/>
              </w:rPr>
              <w:t xml:space="preserve">150g. </w:t>
            </w:r>
          </w:p>
        </w:tc>
      </w:tr>
      <w:tr w:rsidR="00AB1787" w:rsidRPr="004761F3" w14:paraId="0CACA87A" w14:textId="77777777" w:rsidTr="000875F7">
        <w:tc>
          <w:tcPr>
            <w:tcW w:w="568" w:type="dxa"/>
          </w:tcPr>
          <w:p w14:paraId="6332ABEF" w14:textId="77777777" w:rsidR="00AB1787" w:rsidRPr="004761F3" w:rsidRDefault="00AB1787" w:rsidP="00AB1787">
            <w:pPr>
              <w:spacing w:line="278" w:lineRule="auto"/>
              <w:rPr>
                <w:rFonts w:ascii="Times New Roman" w:eastAsia="Aptos" w:hAnsi="Times New Roman" w:cs="Times New Roman"/>
              </w:rPr>
            </w:pPr>
            <w:r>
              <w:rPr>
                <w:rFonts w:ascii="Times New Roman" w:eastAsia="Aptos" w:hAnsi="Times New Roman" w:cs="Times New Roman"/>
              </w:rPr>
              <w:t>8</w:t>
            </w:r>
            <w:r w:rsidRPr="004761F3">
              <w:rPr>
                <w:rFonts w:ascii="Times New Roman" w:eastAsia="Aptos" w:hAnsi="Times New Roman" w:cs="Times New Roman"/>
              </w:rPr>
              <w:t xml:space="preserve">. </w:t>
            </w:r>
          </w:p>
        </w:tc>
        <w:tc>
          <w:tcPr>
            <w:tcW w:w="2264" w:type="dxa"/>
          </w:tcPr>
          <w:p w14:paraId="29FAC864" w14:textId="77777777" w:rsidR="00AB1787" w:rsidRDefault="00AB1787" w:rsidP="00AB1787">
            <w:pPr>
              <w:spacing w:line="278" w:lineRule="auto"/>
              <w:rPr>
                <w:rFonts w:ascii="Times New Roman" w:eastAsia="Aptos" w:hAnsi="Times New Roman" w:cs="Times New Roman"/>
              </w:rPr>
            </w:pPr>
            <w:r>
              <w:rPr>
                <w:rFonts w:ascii="Times New Roman" w:eastAsia="Aptos" w:hAnsi="Times New Roman" w:cs="Times New Roman"/>
              </w:rPr>
              <w:t>Stovas</w:t>
            </w:r>
          </w:p>
        </w:tc>
        <w:tc>
          <w:tcPr>
            <w:tcW w:w="3859" w:type="dxa"/>
          </w:tcPr>
          <w:p w14:paraId="14E672A2" w14:textId="77777777" w:rsidR="00AB1787" w:rsidRDefault="00AB1787" w:rsidP="00AB1787">
            <w:pPr>
              <w:spacing w:line="278" w:lineRule="auto"/>
              <w:rPr>
                <w:rFonts w:ascii="Times New Roman" w:eastAsia="Aptos" w:hAnsi="Times New Roman" w:cs="Times New Roman"/>
              </w:rPr>
            </w:pPr>
            <w:r>
              <w:rPr>
                <w:rFonts w:ascii="Times New Roman" w:eastAsia="Aptos" w:hAnsi="Times New Roman" w:cs="Times New Roman"/>
              </w:rPr>
              <w:t>Turi būti komplektuojamas su linijiniu pipečių laikymo stovu.</w:t>
            </w:r>
          </w:p>
        </w:tc>
        <w:tc>
          <w:tcPr>
            <w:tcW w:w="2948" w:type="dxa"/>
          </w:tcPr>
          <w:p w14:paraId="67C85D35" w14:textId="4DCA4BE3" w:rsidR="00AB1787" w:rsidRPr="004761F3" w:rsidRDefault="005C166F" w:rsidP="00AB1787">
            <w:pPr>
              <w:spacing w:line="278" w:lineRule="auto"/>
              <w:rPr>
                <w:rFonts w:ascii="Times New Roman" w:eastAsia="Aptos" w:hAnsi="Times New Roman" w:cs="Times New Roman"/>
              </w:rPr>
            </w:pPr>
            <w:r>
              <w:rPr>
                <w:rFonts w:ascii="Times New Roman" w:eastAsia="Aptos" w:hAnsi="Times New Roman" w:cs="Times New Roman"/>
              </w:rPr>
              <w:t>Yra</w:t>
            </w:r>
            <w:r w:rsidR="00AB1787">
              <w:rPr>
                <w:rFonts w:ascii="Times New Roman" w:eastAsia="Aptos" w:hAnsi="Times New Roman" w:cs="Times New Roman"/>
              </w:rPr>
              <w:t xml:space="preserve"> komplektuojamas su linijiniu pipečių laikymo stovu.</w:t>
            </w:r>
          </w:p>
        </w:tc>
      </w:tr>
      <w:tr w:rsidR="00AB1787" w:rsidRPr="004761F3" w14:paraId="02D9C5C8" w14:textId="77777777" w:rsidTr="000875F7">
        <w:tc>
          <w:tcPr>
            <w:tcW w:w="568" w:type="dxa"/>
          </w:tcPr>
          <w:p w14:paraId="56C80B36" w14:textId="77777777" w:rsidR="00AB1787" w:rsidRPr="004761F3" w:rsidRDefault="00AB1787" w:rsidP="00AB1787">
            <w:pPr>
              <w:spacing w:line="278" w:lineRule="auto"/>
              <w:rPr>
                <w:rFonts w:ascii="Times New Roman" w:eastAsia="Aptos" w:hAnsi="Times New Roman" w:cs="Times New Roman"/>
              </w:rPr>
            </w:pPr>
            <w:r>
              <w:rPr>
                <w:rFonts w:ascii="Times New Roman" w:eastAsia="Aptos" w:hAnsi="Times New Roman" w:cs="Times New Roman"/>
              </w:rPr>
              <w:t>9</w:t>
            </w:r>
            <w:r w:rsidRPr="004761F3">
              <w:rPr>
                <w:rFonts w:ascii="Times New Roman" w:eastAsia="Aptos" w:hAnsi="Times New Roman" w:cs="Times New Roman"/>
              </w:rPr>
              <w:t xml:space="preserve">. </w:t>
            </w:r>
          </w:p>
        </w:tc>
        <w:tc>
          <w:tcPr>
            <w:tcW w:w="2264" w:type="dxa"/>
          </w:tcPr>
          <w:p w14:paraId="53630DFA" w14:textId="77777777" w:rsidR="00AB1787" w:rsidRDefault="00AB1787" w:rsidP="00AB1787">
            <w:pPr>
              <w:spacing w:line="278" w:lineRule="auto"/>
              <w:rPr>
                <w:rFonts w:ascii="Times New Roman" w:eastAsia="Aptos" w:hAnsi="Times New Roman" w:cs="Times New Roman"/>
              </w:rPr>
            </w:pPr>
            <w:r>
              <w:rPr>
                <w:rFonts w:ascii="Times New Roman" w:eastAsia="Aptos" w:hAnsi="Times New Roman" w:cs="Times New Roman"/>
              </w:rPr>
              <w:t>Atsparumas smūgiams</w:t>
            </w:r>
          </w:p>
        </w:tc>
        <w:tc>
          <w:tcPr>
            <w:tcW w:w="3859" w:type="dxa"/>
          </w:tcPr>
          <w:p w14:paraId="1A1C1739" w14:textId="77777777" w:rsidR="00AB1787" w:rsidRDefault="00AB1787" w:rsidP="00AB1787">
            <w:pPr>
              <w:spacing w:line="278" w:lineRule="auto"/>
              <w:rPr>
                <w:rFonts w:ascii="Times New Roman" w:eastAsia="Aptos" w:hAnsi="Times New Roman" w:cs="Times New Roman"/>
              </w:rPr>
            </w:pPr>
            <w:r>
              <w:rPr>
                <w:rFonts w:ascii="Times New Roman" w:eastAsia="Aptos" w:hAnsi="Times New Roman" w:cs="Times New Roman"/>
              </w:rPr>
              <w:t>Ne mežiau nei 10 G.</w:t>
            </w:r>
          </w:p>
        </w:tc>
        <w:tc>
          <w:tcPr>
            <w:tcW w:w="2948" w:type="dxa"/>
          </w:tcPr>
          <w:p w14:paraId="42B3B2A9" w14:textId="64CE270B" w:rsidR="00AB1787" w:rsidRPr="004761F3" w:rsidRDefault="00AB1787" w:rsidP="00AB1787">
            <w:pPr>
              <w:spacing w:line="278" w:lineRule="auto"/>
              <w:rPr>
                <w:rFonts w:ascii="Times New Roman" w:eastAsia="Aptos" w:hAnsi="Times New Roman" w:cs="Times New Roman"/>
              </w:rPr>
            </w:pPr>
            <w:r>
              <w:rPr>
                <w:rFonts w:ascii="Times New Roman" w:eastAsia="Aptos" w:hAnsi="Times New Roman" w:cs="Times New Roman"/>
              </w:rPr>
              <w:t>10 G.</w:t>
            </w:r>
          </w:p>
        </w:tc>
      </w:tr>
      <w:tr w:rsidR="00AB1787" w:rsidRPr="004761F3" w14:paraId="4984C8AD" w14:textId="77777777" w:rsidTr="000875F7">
        <w:tc>
          <w:tcPr>
            <w:tcW w:w="568" w:type="dxa"/>
          </w:tcPr>
          <w:p w14:paraId="77852899" w14:textId="77777777" w:rsidR="00AB1787" w:rsidRPr="004761F3" w:rsidRDefault="00AB1787" w:rsidP="00AB1787">
            <w:pPr>
              <w:spacing w:line="278" w:lineRule="auto"/>
              <w:rPr>
                <w:rFonts w:ascii="Times New Roman" w:eastAsia="Aptos" w:hAnsi="Times New Roman" w:cs="Times New Roman"/>
              </w:rPr>
            </w:pPr>
            <w:r>
              <w:rPr>
                <w:rFonts w:ascii="Times New Roman" w:eastAsia="Aptos" w:hAnsi="Times New Roman" w:cs="Times New Roman"/>
              </w:rPr>
              <w:t>10</w:t>
            </w:r>
            <w:r w:rsidRPr="004761F3">
              <w:rPr>
                <w:rFonts w:ascii="Times New Roman" w:eastAsia="Aptos" w:hAnsi="Times New Roman" w:cs="Times New Roman"/>
              </w:rPr>
              <w:t>.</w:t>
            </w:r>
          </w:p>
        </w:tc>
        <w:tc>
          <w:tcPr>
            <w:tcW w:w="2264" w:type="dxa"/>
          </w:tcPr>
          <w:p w14:paraId="4A737676" w14:textId="77777777" w:rsidR="00AB1787" w:rsidRPr="004761F3" w:rsidRDefault="00AB1787" w:rsidP="00AB1787">
            <w:pPr>
              <w:spacing w:line="278" w:lineRule="auto"/>
              <w:rPr>
                <w:rFonts w:ascii="Times New Roman" w:eastAsia="Aptos" w:hAnsi="Times New Roman" w:cs="Times New Roman"/>
              </w:rPr>
            </w:pPr>
            <w:r w:rsidRPr="004761F3">
              <w:rPr>
                <w:rFonts w:ascii="Times New Roman" w:eastAsia="Aptos" w:hAnsi="Times New Roman" w:cs="Times New Roman"/>
              </w:rPr>
              <w:t>Garantinis laikotarpis</w:t>
            </w:r>
          </w:p>
        </w:tc>
        <w:tc>
          <w:tcPr>
            <w:tcW w:w="3859" w:type="dxa"/>
          </w:tcPr>
          <w:p w14:paraId="4A94679B" w14:textId="77777777" w:rsidR="00AB1787" w:rsidRPr="004761F3" w:rsidRDefault="00AB1787" w:rsidP="00AB1787">
            <w:pPr>
              <w:spacing w:line="278" w:lineRule="auto"/>
              <w:rPr>
                <w:rFonts w:ascii="Times New Roman" w:eastAsia="Aptos" w:hAnsi="Times New Roman" w:cs="Times New Roman"/>
              </w:rPr>
            </w:pPr>
            <w:r w:rsidRPr="004761F3">
              <w:rPr>
                <w:rFonts w:ascii="Times New Roman" w:eastAsia="Aptos" w:hAnsi="Times New Roman" w:cs="Times New Roman"/>
              </w:rPr>
              <w:t xml:space="preserve">Ne mažiau kaip </w:t>
            </w:r>
            <w:r>
              <w:rPr>
                <w:rFonts w:ascii="Times New Roman" w:eastAsia="Aptos" w:hAnsi="Times New Roman" w:cs="Times New Roman"/>
              </w:rPr>
              <w:t>24</w:t>
            </w:r>
            <w:r w:rsidRPr="004761F3">
              <w:rPr>
                <w:rFonts w:ascii="Times New Roman" w:eastAsia="Aptos" w:hAnsi="Times New Roman" w:cs="Times New Roman"/>
              </w:rPr>
              <w:t xml:space="preserve"> mėn.</w:t>
            </w:r>
          </w:p>
        </w:tc>
        <w:tc>
          <w:tcPr>
            <w:tcW w:w="2948" w:type="dxa"/>
          </w:tcPr>
          <w:p w14:paraId="3A577DE0" w14:textId="53BCBA32" w:rsidR="00AB1787" w:rsidRPr="004761F3" w:rsidRDefault="00AB1787" w:rsidP="00AB1787">
            <w:pPr>
              <w:spacing w:line="278" w:lineRule="auto"/>
              <w:rPr>
                <w:rFonts w:ascii="Times New Roman" w:eastAsia="Aptos" w:hAnsi="Times New Roman" w:cs="Times New Roman"/>
              </w:rPr>
            </w:pPr>
            <w:r>
              <w:rPr>
                <w:rFonts w:ascii="Times New Roman" w:eastAsia="Aptos" w:hAnsi="Times New Roman" w:cs="Times New Roman"/>
              </w:rPr>
              <w:t>24</w:t>
            </w:r>
            <w:r w:rsidRPr="004761F3">
              <w:rPr>
                <w:rFonts w:ascii="Times New Roman" w:eastAsia="Aptos" w:hAnsi="Times New Roman" w:cs="Times New Roman"/>
              </w:rPr>
              <w:t xml:space="preserve"> mėn.</w:t>
            </w:r>
          </w:p>
        </w:tc>
      </w:tr>
      <w:tr w:rsidR="00AB1787" w:rsidRPr="004761F3" w14:paraId="55AC4010" w14:textId="77777777" w:rsidTr="000875F7">
        <w:tc>
          <w:tcPr>
            <w:tcW w:w="568" w:type="dxa"/>
          </w:tcPr>
          <w:p w14:paraId="3D52DDF5" w14:textId="03FC5B79" w:rsidR="00AB1787" w:rsidRDefault="00AB1787" w:rsidP="00AB1787">
            <w:pPr>
              <w:spacing w:line="278" w:lineRule="auto"/>
              <w:rPr>
                <w:rFonts w:ascii="Times New Roman" w:eastAsia="Aptos" w:hAnsi="Times New Roman" w:cs="Times New Roman"/>
              </w:rPr>
            </w:pPr>
            <w:r>
              <w:rPr>
                <w:rFonts w:ascii="Times New Roman" w:eastAsia="Aptos" w:hAnsi="Times New Roman" w:cs="Times New Roman"/>
              </w:rPr>
              <w:t xml:space="preserve">11. </w:t>
            </w:r>
          </w:p>
        </w:tc>
        <w:tc>
          <w:tcPr>
            <w:tcW w:w="2264" w:type="dxa"/>
          </w:tcPr>
          <w:p w14:paraId="2F19DB0B" w14:textId="034DE93B" w:rsidR="00AB1787" w:rsidRPr="004761F3" w:rsidRDefault="00AB1787" w:rsidP="00AB1787">
            <w:pPr>
              <w:spacing w:line="278" w:lineRule="auto"/>
              <w:rPr>
                <w:rFonts w:ascii="Times New Roman" w:eastAsia="Aptos" w:hAnsi="Times New Roman" w:cs="Times New Roman"/>
              </w:rPr>
            </w:pPr>
            <w:r>
              <w:rPr>
                <w:rFonts w:ascii="Times New Roman" w:eastAsia="Aptos" w:hAnsi="Times New Roman" w:cs="Times New Roman"/>
              </w:rPr>
              <w:t>Antgaliai</w:t>
            </w:r>
          </w:p>
        </w:tc>
        <w:tc>
          <w:tcPr>
            <w:tcW w:w="3859" w:type="dxa"/>
          </w:tcPr>
          <w:p w14:paraId="0DF50313" w14:textId="3D1B8DEC" w:rsidR="00AB1787" w:rsidRPr="004761F3" w:rsidRDefault="00AB1787" w:rsidP="00AB1787">
            <w:pPr>
              <w:spacing w:line="278" w:lineRule="auto"/>
              <w:rPr>
                <w:rFonts w:ascii="Times New Roman" w:eastAsia="Aptos" w:hAnsi="Times New Roman" w:cs="Times New Roman"/>
              </w:rPr>
            </w:pPr>
            <w:r>
              <w:rPr>
                <w:rFonts w:ascii="Times New Roman" w:eastAsia="Aptos" w:hAnsi="Times New Roman" w:cs="Times New Roman"/>
              </w:rPr>
              <w:t>Ne mažiau nei po 2000 vnt antgalių kiekvienai pipetei.</w:t>
            </w:r>
          </w:p>
        </w:tc>
        <w:tc>
          <w:tcPr>
            <w:tcW w:w="2948" w:type="dxa"/>
          </w:tcPr>
          <w:p w14:paraId="0B83ADB9" w14:textId="5DD2D8F1" w:rsidR="00AB1787" w:rsidRPr="004761F3" w:rsidRDefault="005C166F" w:rsidP="00AB1787">
            <w:pPr>
              <w:spacing w:line="278" w:lineRule="auto"/>
              <w:rPr>
                <w:rFonts w:ascii="Times New Roman" w:eastAsia="Aptos" w:hAnsi="Times New Roman" w:cs="Times New Roman"/>
              </w:rPr>
            </w:pPr>
            <w:r>
              <w:rPr>
                <w:rFonts w:ascii="Times New Roman" w:eastAsia="Aptos" w:hAnsi="Times New Roman" w:cs="Times New Roman"/>
              </w:rPr>
              <w:t>P</w:t>
            </w:r>
            <w:r w:rsidR="00AB1787">
              <w:rPr>
                <w:rFonts w:ascii="Times New Roman" w:eastAsia="Aptos" w:hAnsi="Times New Roman" w:cs="Times New Roman"/>
              </w:rPr>
              <w:t>o 2000 vnt antgalių kiekvienai pipetei.</w:t>
            </w:r>
          </w:p>
        </w:tc>
      </w:tr>
    </w:tbl>
    <w:p w14:paraId="740298C2" w14:textId="77777777" w:rsidR="00954834" w:rsidRDefault="00954834"/>
    <w:p w14:paraId="72610879" w14:textId="77777777" w:rsidR="006A0B05" w:rsidRDefault="006A0B05"/>
    <w:p w14:paraId="1EC20B4F" w14:textId="77777777" w:rsidR="00D64947" w:rsidRPr="0041777F" w:rsidRDefault="00D64947" w:rsidP="00D64947">
      <w:pPr>
        <w:spacing w:after="0"/>
        <w:jc w:val="both"/>
        <w:rPr>
          <w:rFonts w:ascii="Times New Roman" w:hAnsi="Times New Roman" w:cs="Times New Roman"/>
        </w:rPr>
      </w:pPr>
      <w:r w:rsidRPr="0041777F">
        <w:rPr>
          <w:rFonts w:ascii="Times New Roman" w:hAnsi="Times New Roman" w:cs="Times New Roman"/>
        </w:rPr>
        <w:t>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4.4.4.4. p. „prekė yra tvirta, ilgaamžė, funkcionali, ji ar jos sudedamosios dalys tinka naudoti daug kartų ir (ar) lengvai pataisomos, ir (ar) pakeičiamos“.</w:t>
      </w:r>
    </w:p>
    <w:p w14:paraId="15388AFA" w14:textId="77777777" w:rsidR="00D64947" w:rsidRPr="0041777F" w:rsidRDefault="00D64947" w:rsidP="00D64947">
      <w:pPr>
        <w:spacing w:after="0"/>
        <w:jc w:val="both"/>
        <w:rPr>
          <w:rFonts w:ascii="Times New Roman" w:hAnsi="Times New Roman" w:cs="Times New Roman"/>
        </w:rPr>
      </w:pPr>
      <w:r w:rsidRPr="0041777F">
        <w:rPr>
          <w:rFonts w:ascii="Times New Roman" w:hAnsi="Times New Roman" w:cs="Times New Roman"/>
        </w:rPr>
        <w:t>Perkama Prekė turi būti tvirta, ilgaamžė, jos sudedamosios dalys lengvai pataisomos, pakeičiamos.</w:t>
      </w:r>
    </w:p>
    <w:p w14:paraId="353851EB" w14:textId="77777777" w:rsidR="00D64947" w:rsidRPr="0041777F" w:rsidRDefault="00D64947" w:rsidP="00D64947">
      <w:pPr>
        <w:spacing w:after="0"/>
        <w:jc w:val="both"/>
        <w:rPr>
          <w:rFonts w:ascii="Times New Roman" w:hAnsi="Times New Roman" w:cs="Times New Roman"/>
          <w:b/>
          <w:bCs/>
        </w:rPr>
      </w:pPr>
      <w:r w:rsidRPr="0041777F">
        <w:rPr>
          <w:rFonts w:ascii="Times New Roman" w:hAnsi="Times New Roman" w:cs="Times New Roman"/>
          <w:b/>
          <w:bCs/>
        </w:rPr>
        <w:t>Atitiktį reikalavimams įrodantys dokumentai:</w:t>
      </w:r>
    </w:p>
    <w:p w14:paraId="7C97034C" w14:textId="571F6B98" w:rsidR="006A0B05" w:rsidRDefault="00D64947" w:rsidP="00D64947">
      <w:pPr>
        <w:jc w:val="both"/>
        <w:rPr>
          <w:rFonts w:ascii="Times New Roman" w:hAnsi="Times New Roman" w:cs="Times New Roman"/>
        </w:rPr>
      </w:pPr>
      <w:r w:rsidRPr="0041777F">
        <w:rPr>
          <w:rFonts w:ascii="Times New Roman" w:hAnsi="Times New Roman" w:cs="Times New Roman"/>
        </w:rPr>
        <w:t>Tiekėjas turi pateikti gamintojo ir (ar) tiekėjo techninius dokumentus, gamintojo ir (ar) importuotojo, ir (ar) tiekėjo rašytinį patvirtinimą, ir (ar) tiekėjo deklaraciją (pateikiant objektyvius įrodymus), aplinkosauginę produkto deklaraciją, ir (ar) produktų, kurie bus naudojami atlikti paslaugą ar darbą, sąrašą ir dokumentus, įrodančius, kad priemonės ir (ar) produktai atitinka nustatytus reikalavimus, kad prekė yra tvirta, ilgaamžė, funkcionali, ji ar jos sudedamosios dalys tinka naudoti daug kartų ir (ar) lengvai pataisomos, ir (ar) pakeičiamos arba kitus lygiaverčius įrodymus.</w:t>
      </w:r>
    </w:p>
    <w:p w14:paraId="5512460C" w14:textId="77777777" w:rsidR="00842C8C" w:rsidRDefault="00842C8C" w:rsidP="00D64947">
      <w:pPr>
        <w:jc w:val="both"/>
        <w:rPr>
          <w:rFonts w:ascii="Times New Roman" w:hAnsi="Times New Roman" w:cs="Times New Roman"/>
        </w:rPr>
      </w:pPr>
    </w:p>
    <w:p w14:paraId="382E16A1" w14:textId="77777777" w:rsidR="00842C8C" w:rsidRPr="00842C8C" w:rsidRDefault="00842C8C" w:rsidP="00842C8C">
      <w:pPr>
        <w:jc w:val="both"/>
        <w:rPr>
          <w:rFonts w:ascii="Times New Roman" w:hAnsi="Times New Roman" w:cs="Times New Roman"/>
          <w:lang w:val="lt"/>
        </w:rPr>
      </w:pPr>
      <w:r w:rsidRPr="00842C8C">
        <w:rPr>
          <w:rFonts w:ascii="Times New Roman" w:hAnsi="Times New Roman" w:cs="Times New Roman"/>
          <w:lang w:val="lt"/>
        </w:rPr>
        <w:t>Įgaliotas asmuo, koordinatorė</w:t>
      </w:r>
      <w:r w:rsidRPr="00842C8C">
        <w:rPr>
          <w:rFonts w:ascii="Times New Roman" w:hAnsi="Times New Roman" w:cs="Times New Roman"/>
          <w:lang w:val="lt"/>
        </w:rPr>
        <w:tab/>
      </w:r>
      <w:r w:rsidRPr="00842C8C">
        <w:rPr>
          <w:rFonts w:ascii="Times New Roman" w:hAnsi="Times New Roman" w:cs="Times New Roman"/>
          <w:lang w:val="lt"/>
        </w:rPr>
        <w:tab/>
      </w:r>
      <w:r w:rsidRPr="00842C8C">
        <w:rPr>
          <w:rFonts w:ascii="Times New Roman" w:hAnsi="Times New Roman" w:cs="Times New Roman"/>
          <w:lang w:val="lt"/>
        </w:rPr>
        <w:tab/>
        <w:t xml:space="preserve">                             Regina Žilionienė</w:t>
      </w:r>
    </w:p>
    <w:p w14:paraId="5B26E345" w14:textId="77777777" w:rsidR="00842C8C" w:rsidRPr="00842C8C" w:rsidRDefault="00842C8C" w:rsidP="00842C8C">
      <w:pPr>
        <w:jc w:val="both"/>
        <w:rPr>
          <w:rFonts w:ascii="Times New Roman" w:hAnsi="Times New Roman" w:cs="Times New Roman"/>
          <w:i/>
          <w:iCs/>
          <w:u w:val="single"/>
          <w:lang w:val="lt"/>
        </w:rPr>
      </w:pPr>
      <w:r w:rsidRPr="00842C8C">
        <w:rPr>
          <w:rFonts w:ascii="Times New Roman" w:hAnsi="Times New Roman" w:cs="Times New Roman"/>
          <w:lang w:val="lt"/>
        </w:rPr>
        <w:t xml:space="preserve">(Įgaliojimas Nr. 3758-1224, 2024 12 23)  </w:t>
      </w:r>
    </w:p>
    <w:p w14:paraId="21D7BA42" w14:textId="77777777" w:rsidR="00842C8C" w:rsidRPr="00D64947" w:rsidRDefault="00842C8C" w:rsidP="00D64947">
      <w:pPr>
        <w:jc w:val="both"/>
        <w:rPr>
          <w:rFonts w:ascii="Times New Roman" w:hAnsi="Times New Roman" w:cs="Times New Roman"/>
        </w:rPr>
      </w:pPr>
    </w:p>
    <w:sectPr w:rsidR="00842C8C" w:rsidRPr="00D6494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CBE42" w14:textId="77777777" w:rsidR="006A7FC7" w:rsidRDefault="006A7FC7" w:rsidP="0091311B">
      <w:pPr>
        <w:spacing w:after="0" w:line="240" w:lineRule="auto"/>
      </w:pPr>
      <w:r>
        <w:separator/>
      </w:r>
    </w:p>
  </w:endnote>
  <w:endnote w:type="continuationSeparator" w:id="0">
    <w:p w14:paraId="69429603" w14:textId="77777777" w:rsidR="006A7FC7" w:rsidRDefault="006A7FC7" w:rsidP="00913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8EC97" w14:textId="77777777" w:rsidR="006A7FC7" w:rsidRDefault="006A7FC7" w:rsidP="0091311B">
      <w:pPr>
        <w:spacing w:after="0" w:line="240" w:lineRule="auto"/>
      </w:pPr>
      <w:r>
        <w:separator/>
      </w:r>
    </w:p>
  </w:footnote>
  <w:footnote w:type="continuationSeparator" w:id="0">
    <w:p w14:paraId="34BF2FFF" w14:textId="77777777" w:rsidR="006A7FC7" w:rsidRDefault="006A7FC7" w:rsidP="00913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0881A" w14:textId="77777777" w:rsidR="00090841" w:rsidRPr="00FD5B4D" w:rsidRDefault="00090841" w:rsidP="00090841">
    <w:pPr>
      <w:spacing w:after="0"/>
      <w:jc w:val="right"/>
      <w:rPr>
        <w:rFonts w:ascii="Times New Roman" w:hAnsi="Times New Roman" w:cs="Times New Roman"/>
        <w:bCs/>
      </w:rPr>
    </w:pPr>
    <w:r w:rsidRPr="00FD5B4D">
      <w:rPr>
        <w:rFonts w:ascii="Times New Roman" w:hAnsi="Times New Roman" w:cs="Times New Roman"/>
        <w:bCs/>
      </w:rPr>
      <w:t>Specialiųjų pirkimo sąlygų</w:t>
    </w:r>
  </w:p>
  <w:p w14:paraId="78E24BFF" w14:textId="77777777" w:rsidR="00090841" w:rsidRPr="00FD5B4D" w:rsidRDefault="00090841" w:rsidP="00090841">
    <w:pPr>
      <w:spacing w:after="0"/>
      <w:jc w:val="right"/>
      <w:rPr>
        <w:rFonts w:ascii="Times New Roman" w:hAnsi="Times New Roman" w:cs="Times New Roman"/>
        <w:bCs/>
      </w:rPr>
    </w:pPr>
    <w:r w:rsidRPr="00FD5B4D">
      <w:rPr>
        <w:rFonts w:ascii="Times New Roman" w:hAnsi="Times New Roman" w:cs="Times New Roman"/>
        <w:bCs/>
      </w:rPr>
      <w:t>1 priedas „Techninė specifikacija“</w:t>
    </w:r>
  </w:p>
  <w:p w14:paraId="1C8A6DE6" w14:textId="77777777" w:rsidR="00090841" w:rsidRDefault="00090841" w:rsidP="00090841">
    <w:pPr>
      <w:spacing w:after="0"/>
      <w:jc w:val="center"/>
      <w:rPr>
        <w:rFonts w:ascii="Times New Roman" w:hAnsi="Times New Roman" w:cs="Times New Roman"/>
        <w:b/>
      </w:rPr>
    </w:pPr>
  </w:p>
  <w:p w14:paraId="05A6D891" w14:textId="50895BA8" w:rsidR="00090841" w:rsidRPr="00FD5B4D" w:rsidRDefault="00D67648" w:rsidP="00D67648">
    <w:pPr>
      <w:tabs>
        <w:tab w:val="left" w:pos="2580"/>
        <w:tab w:val="center" w:pos="4680"/>
      </w:tabs>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sidR="00090841" w:rsidRPr="00FD5B4D">
      <w:rPr>
        <w:rFonts w:ascii="Times New Roman" w:hAnsi="Times New Roman" w:cs="Times New Roman"/>
        <w:b/>
      </w:rPr>
      <w:t>TECHNINĖ SPECIFIKACIJA</w:t>
    </w:r>
  </w:p>
  <w:p w14:paraId="6CCED524" w14:textId="77777777" w:rsidR="00090841" w:rsidRPr="00FD5B4D" w:rsidRDefault="00090841" w:rsidP="00090841">
    <w:pPr>
      <w:spacing w:after="0"/>
      <w:jc w:val="both"/>
      <w:rPr>
        <w:rFonts w:ascii="Times New Roman" w:hAnsi="Times New Roman" w:cs="Times New Roman"/>
        <w:i/>
        <w:iCs/>
      </w:rPr>
    </w:pPr>
    <w:r w:rsidRPr="00FD5B4D">
      <w:rPr>
        <w:rFonts w:ascii="Times New Roman" w:hAnsi="Times New Roman" w:cs="Times New Roman"/>
        <w:i/>
        <w:iCs/>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55D3B532" w14:textId="77777777" w:rsidR="00090841" w:rsidRDefault="00090841" w:rsidP="00090841">
    <w:pPr>
      <w:spacing w:after="0"/>
      <w:rPr>
        <w:rFonts w:ascii="Times New Roman" w:hAnsi="Times New Roman" w:cs="Times New Roman"/>
        <w:lang w:val="en-US"/>
      </w:rPr>
    </w:pPr>
  </w:p>
  <w:p w14:paraId="35DB2764" w14:textId="53BD5277" w:rsidR="00090841" w:rsidRPr="00763CC6" w:rsidRDefault="00090841" w:rsidP="00090841">
    <w:pPr>
      <w:spacing w:after="0"/>
      <w:jc w:val="center"/>
      <w:rPr>
        <w:rFonts w:ascii="Times New Roman" w:hAnsi="Times New Roman" w:cs="Times New Roman"/>
        <w:b/>
        <w:bCs/>
      </w:rPr>
    </w:pPr>
    <w:r>
      <w:rPr>
        <w:rFonts w:ascii="Times New Roman" w:hAnsi="Times New Roman" w:cs="Times New Roman"/>
        <w:b/>
        <w:bCs/>
      </w:rPr>
      <w:t xml:space="preserve">5 pirkimo objekto dalis. </w:t>
    </w:r>
    <w:r w:rsidRPr="009B7F17">
      <w:rPr>
        <w:b/>
        <w:bCs/>
      </w:rPr>
      <w:t>Automatinių daugiakanalių tūrio pipečių rinkinys</w:t>
    </w:r>
    <w:r>
      <w:rPr>
        <w:b/>
        <w:bCs/>
      </w:rPr>
      <w:t xml:space="preserve"> (1 vnt.)</w:t>
    </w:r>
  </w:p>
  <w:p w14:paraId="0F134290" w14:textId="4BE8C853" w:rsidR="001749E0" w:rsidRPr="00090841" w:rsidRDefault="001749E0" w:rsidP="000908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16A7"/>
    <w:multiLevelType w:val="hybridMultilevel"/>
    <w:tmpl w:val="83CC9D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A93D66"/>
    <w:multiLevelType w:val="hybridMultilevel"/>
    <w:tmpl w:val="C8166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D258FA"/>
    <w:multiLevelType w:val="hybridMultilevel"/>
    <w:tmpl w:val="3B5475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25733733">
    <w:abstractNumId w:val="2"/>
  </w:num>
  <w:num w:numId="2" w16cid:durableId="999187877">
    <w:abstractNumId w:val="0"/>
  </w:num>
  <w:num w:numId="3" w16cid:durableId="2128813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E9C"/>
    <w:rsid w:val="000875F7"/>
    <w:rsid w:val="00090841"/>
    <w:rsid w:val="0009309A"/>
    <w:rsid w:val="000B1165"/>
    <w:rsid w:val="001749E0"/>
    <w:rsid w:val="00193C26"/>
    <w:rsid w:val="001E07C5"/>
    <w:rsid w:val="001F4C9B"/>
    <w:rsid w:val="0021696A"/>
    <w:rsid w:val="00222DD8"/>
    <w:rsid w:val="002310D1"/>
    <w:rsid w:val="0024388F"/>
    <w:rsid w:val="00286B65"/>
    <w:rsid w:val="002D61CE"/>
    <w:rsid w:val="002E2D7D"/>
    <w:rsid w:val="00313DFB"/>
    <w:rsid w:val="003340E2"/>
    <w:rsid w:val="00395034"/>
    <w:rsid w:val="003A69C0"/>
    <w:rsid w:val="00440B33"/>
    <w:rsid w:val="004A105F"/>
    <w:rsid w:val="004F5151"/>
    <w:rsid w:val="00577446"/>
    <w:rsid w:val="005A33FC"/>
    <w:rsid w:val="005C166F"/>
    <w:rsid w:val="005E1BC8"/>
    <w:rsid w:val="0060770C"/>
    <w:rsid w:val="006244FE"/>
    <w:rsid w:val="006358AB"/>
    <w:rsid w:val="006600B3"/>
    <w:rsid w:val="00686414"/>
    <w:rsid w:val="006A0B05"/>
    <w:rsid w:val="006A58E5"/>
    <w:rsid w:val="006A7FC7"/>
    <w:rsid w:val="006C123B"/>
    <w:rsid w:val="006F7D56"/>
    <w:rsid w:val="007476C3"/>
    <w:rsid w:val="00755621"/>
    <w:rsid w:val="007C707C"/>
    <w:rsid w:val="007D1E28"/>
    <w:rsid w:val="008111E5"/>
    <w:rsid w:val="00842C8C"/>
    <w:rsid w:val="00847169"/>
    <w:rsid w:val="00856FED"/>
    <w:rsid w:val="0091311B"/>
    <w:rsid w:val="00954834"/>
    <w:rsid w:val="009A3A1E"/>
    <w:rsid w:val="00A211F0"/>
    <w:rsid w:val="00AA1E9C"/>
    <w:rsid w:val="00AB1787"/>
    <w:rsid w:val="00AC4C7B"/>
    <w:rsid w:val="00AD3F54"/>
    <w:rsid w:val="00CF274D"/>
    <w:rsid w:val="00D64947"/>
    <w:rsid w:val="00D67648"/>
    <w:rsid w:val="00DB4A36"/>
    <w:rsid w:val="00DF22F1"/>
    <w:rsid w:val="00EC1328"/>
    <w:rsid w:val="00ED1758"/>
    <w:rsid w:val="00F7259B"/>
    <w:rsid w:val="00F73531"/>
    <w:rsid w:val="00F82B69"/>
    <w:rsid w:val="00FD3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C9251"/>
  <w15:chartTrackingRefBased/>
  <w15:docId w15:val="{0DD9B31B-1041-45FA-B085-248CD6DA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line="360" w:lineRule="auto"/>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70C"/>
    <w:pPr>
      <w:spacing w:after="160" w:line="259" w:lineRule="auto"/>
      <w:ind w:firstLine="0"/>
      <w:jc w:val="left"/>
    </w:pPr>
    <w:rPr>
      <w:rFonts w:asciiTheme="minorHAnsi" w:hAnsiTheme="minorHAnsi"/>
      <w:kern w:val="0"/>
      <w:sz w:val="22"/>
      <w:szCs w:val="22"/>
      <w:lang w:val="lt-LT"/>
      <w14:ligatures w14:val="none"/>
    </w:rPr>
  </w:style>
  <w:style w:type="paragraph" w:styleId="Heading1">
    <w:name w:val="heading 1"/>
    <w:basedOn w:val="Normal"/>
    <w:next w:val="Normal"/>
    <w:link w:val="Heading1Char"/>
    <w:uiPriority w:val="9"/>
    <w:qFormat/>
    <w:rsid w:val="00AA1E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1E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1E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1E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1E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1E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E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E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E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E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1E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1E9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1E9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A1E9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A1E9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A1E9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A1E9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A1E9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A1E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E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E9C"/>
    <w:pPr>
      <w:numPr>
        <w:ilvl w:val="1"/>
      </w:numPr>
      <w:ind w:firstLine="851"/>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E9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A1E9C"/>
    <w:pPr>
      <w:spacing w:before="160"/>
      <w:jc w:val="center"/>
    </w:pPr>
    <w:rPr>
      <w:i/>
      <w:iCs/>
      <w:color w:val="404040" w:themeColor="text1" w:themeTint="BF"/>
    </w:rPr>
  </w:style>
  <w:style w:type="character" w:customStyle="1" w:styleId="QuoteChar">
    <w:name w:val="Quote Char"/>
    <w:basedOn w:val="DefaultParagraphFont"/>
    <w:link w:val="Quote"/>
    <w:uiPriority w:val="29"/>
    <w:rsid w:val="00AA1E9C"/>
    <w:rPr>
      <w:i/>
      <w:iCs/>
      <w:color w:val="404040" w:themeColor="text1" w:themeTint="BF"/>
    </w:rPr>
  </w:style>
  <w:style w:type="paragraph" w:styleId="ListParagraph">
    <w:name w:val="List Paragraph"/>
    <w:basedOn w:val="Normal"/>
    <w:uiPriority w:val="34"/>
    <w:qFormat/>
    <w:rsid w:val="00AA1E9C"/>
    <w:pPr>
      <w:ind w:left="720"/>
      <w:contextualSpacing/>
    </w:pPr>
  </w:style>
  <w:style w:type="character" w:styleId="IntenseEmphasis">
    <w:name w:val="Intense Emphasis"/>
    <w:basedOn w:val="DefaultParagraphFont"/>
    <w:uiPriority w:val="21"/>
    <w:qFormat/>
    <w:rsid w:val="00AA1E9C"/>
    <w:rPr>
      <w:i/>
      <w:iCs/>
      <w:color w:val="0F4761" w:themeColor="accent1" w:themeShade="BF"/>
    </w:rPr>
  </w:style>
  <w:style w:type="paragraph" w:styleId="IntenseQuote">
    <w:name w:val="Intense Quote"/>
    <w:basedOn w:val="Normal"/>
    <w:next w:val="Normal"/>
    <w:link w:val="IntenseQuoteChar"/>
    <w:uiPriority w:val="30"/>
    <w:qFormat/>
    <w:rsid w:val="00AA1E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1E9C"/>
    <w:rPr>
      <w:i/>
      <w:iCs/>
      <w:color w:val="0F4761" w:themeColor="accent1" w:themeShade="BF"/>
    </w:rPr>
  </w:style>
  <w:style w:type="character" w:styleId="IntenseReference">
    <w:name w:val="Intense Reference"/>
    <w:basedOn w:val="DefaultParagraphFont"/>
    <w:uiPriority w:val="32"/>
    <w:qFormat/>
    <w:rsid w:val="00AA1E9C"/>
    <w:rPr>
      <w:b/>
      <w:bCs/>
      <w:smallCaps/>
      <w:color w:val="0F4761" w:themeColor="accent1" w:themeShade="BF"/>
      <w:spacing w:val="5"/>
    </w:rPr>
  </w:style>
  <w:style w:type="table" w:customStyle="1" w:styleId="Lentelstinklelis1">
    <w:name w:val="Lentelės tinklelis1"/>
    <w:basedOn w:val="TableNormal"/>
    <w:next w:val="TableGrid"/>
    <w:uiPriority w:val="39"/>
    <w:rsid w:val="0060770C"/>
    <w:pPr>
      <w:spacing w:line="240" w:lineRule="auto"/>
      <w:ind w:firstLine="0"/>
      <w:jc w:val="left"/>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0770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13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11B"/>
    <w:rPr>
      <w:rFonts w:asciiTheme="minorHAnsi" w:hAnsiTheme="minorHAnsi"/>
      <w:kern w:val="0"/>
      <w:sz w:val="22"/>
      <w:szCs w:val="22"/>
      <w:lang w:val="lt-LT"/>
      <w14:ligatures w14:val="none"/>
    </w:rPr>
  </w:style>
  <w:style w:type="paragraph" w:styleId="Footer">
    <w:name w:val="footer"/>
    <w:basedOn w:val="Normal"/>
    <w:link w:val="FooterChar"/>
    <w:uiPriority w:val="99"/>
    <w:unhideWhenUsed/>
    <w:rsid w:val="00913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11B"/>
    <w:rPr>
      <w:rFonts w:asciiTheme="minorHAnsi" w:hAnsiTheme="minorHAnsi"/>
      <w:kern w:val="0"/>
      <w:sz w:val="22"/>
      <w:szCs w:val="22"/>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1825</Words>
  <Characters>1041</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 Petrulionienė</dc:creator>
  <cp:keywords/>
  <dc:description/>
  <cp:lastModifiedBy>JOVITA B</cp:lastModifiedBy>
  <cp:revision>16</cp:revision>
  <cp:lastPrinted>2025-11-18T19:39:00Z</cp:lastPrinted>
  <dcterms:created xsi:type="dcterms:W3CDTF">2025-11-03T07:48:00Z</dcterms:created>
  <dcterms:modified xsi:type="dcterms:W3CDTF">2025-11-18T19:39:00Z</dcterms:modified>
</cp:coreProperties>
</file>