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5E" w:rsidRDefault="004D0F78" w:rsidP="00A62C95">
      <w:pPr>
        <w:tabs>
          <w:tab w:val="left" w:pos="1304"/>
          <w:tab w:val="left" w:pos="1457"/>
          <w:tab w:val="left" w:pos="1604"/>
          <w:tab w:val="left" w:pos="1757"/>
        </w:tabs>
        <w:autoSpaceDE w:val="0"/>
        <w:autoSpaceDN w:val="0"/>
        <w:adjustRightInd w:val="0"/>
        <w:jc w:val="center"/>
        <w:rPr>
          <w:b/>
          <w:szCs w:val="24"/>
          <w:lang w:val="lt-LT"/>
        </w:rPr>
      </w:pPr>
      <w:r>
        <w:rPr>
          <w:b/>
          <w:szCs w:val="24"/>
          <w:lang w:val="lt-LT"/>
        </w:rPr>
        <w:t>MEDICININĖS ĮRANGOS</w:t>
      </w:r>
      <w:r w:rsidR="008C35E7">
        <w:rPr>
          <w:b/>
          <w:szCs w:val="24"/>
          <w:lang w:val="lt-LT"/>
        </w:rPr>
        <w:t xml:space="preserve"> KOKYBĖS </w:t>
      </w:r>
      <w:r w:rsidR="004D725E">
        <w:rPr>
          <w:b/>
          <w:szCs w:val="24"/>
          <w:lang w:val="lt-LT"/>
        </w:rPr>
        <w:t>KONTROLĖS BANDYMŲ</w:t>
      </w:r>
    </w:p>
    <w:p w:rsidR="007F4A71" w:rsidRPr="00F141EB" w:rsidRDefault="008C35E7" w:rsidP="00A62C95">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b/>
          <w:szCs w:val="24"/>
          <w:lang w:val="lt-LT"/>
        </w:rPr>
        <w:t xml:space="preserve"> </w:t>
      </w:r>
      <w:r w:rsidR="00C02E9C">
        <w:rPr>
          <w:rFonts w:ascii="Times New Roman" w:hAnsi="Times New Roman"/>
          <w:b/>
          <w:bCs/>
          <w:iCs/>
          <w:szCs w:val="24"/>
          <w:lang w:val="lt-LT" w:eastAsia="en-US"/>
        </w:rPr>
        <w:t>PASLAUGŲ</w:t>
      </w:r>
      <w:r w:rsidR="00C02E9C">
        <w:rPr>
          <w:rFonts w:ascii="Times New Roman" w:hAnsi="Times New Roman"/>
          <w:b/>
          <w:szCs w:val="24"/>
          <w:lang w:val="lt-LT" w:eastAsia="en-US"/>
        </w:rPr>
        <w:t xml:space="preserve"> SUTARTIS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w:t>
      </w:r>
      <w:r w:rsidR="009867F9">
        <w:rPr>
          <w:rFonts w:ascii="Times New Roman" w:hAnsi="Times New Roman"/>
          <w:b/>
          <w:szCs w:val="24"/>
          <w:lang w:val="lt-LT" w:eastAsia="en-US"/>
        </w:rPr>
        <w:t>LS-133</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4D725E">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4D725E">
        <w:rPr>
          <w:rFonts w:ascii="Times New Roman" w:hAnsi="Times New Roman"/>
          <w:szCs w:val="24"/>
          <w:lang w:val="lt-LT" w:eastAsia="en-US"/>
        </w:rPr>
        <w:t xml:space="preserve">gruodžio </w:t>
      </w:r>
      <w:r w:rsidR="00C9540D">
        <w:rPr>
          <w:rFonts w:ascii="Times New Roman" w:hAnsi="Times New Roman"/>
          <w:szCs w:val="24"/>
          <w:lang w:val="lt-LT" w:eastAsia="en-US"/>
        </w:rPr>
        <w:t>15</w:t>
      </w:r>
      <w:r w:rsidR="00C02E9C">
        <w:rPr>
          <w:rFonts w:ascii="Times New Roman" w:hAnsi="Times New Roman"/>
          <w:szCs w:val="24"/>
          <w:lang w:val="lt-LT" w:eastAsia="en-US"/>
        </w:rPr>
        <w:t xml:space="preserve"> </w:t>
      </w:r>
      <w:r w:rsidR="007F4A71" w:rsidRPr="007F4A71">
        <w:rPr>
          <w:rFonts w:ascii="Times New Roman" w:hAnsi="Times New Roman"/>
          <w:szCs w:val="24"/>
          <w:lang w:val="lt-LT" w:eastAsia="en-US"/>
        </w:rPr>
        <w:t>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02E9C" w:rsidRDefault="00A62C95"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 xml:space="preserve">UAB </w:t>
      </w:r>
      <w:proofErr w:type="spellStart"/>
      <w:r w:rsidR="004D725E">
        <w:rPr>
          <w:rFonts w:ascii="Times New Roman" w:hAnsi="Times New Roman"/>
          <w:b/>
          <w:szCs w:val="24"/>
        </w:rPr>
        <w:t>Asanmeda</w:t>
      </w:r>
      <w:proofErr w:type="spellEnd"/>
      <w:r w:rsidR="007F4A71" w:rsidRPr="007F4A71">
        <w:rPr>
          <w:rFonts w:ascii="Times New Roman" w:hAnsi="Times New Roman"/>
          <w:szCs w:val="24"/>
          <w:lang w:val="lt-LT" w:eastAsia="en-US"/>
        </w:rPr>
        <w:t xml:space="preserve">, įmonės kodas </w:t>
      </w:r>
      <w:r w:rsidR="004D725E">
        <w:rPr>
          <w:sz w:val="22"/>
          <w:szCs w:val="22"/>
          <w:lang w:val="lv-LV"/>
        </w:rPr>
        <w:t>221906050</w:t>
      </w:r>
      <w:r w:rsidR="007F4A71" w:rsidRPr="007F4A71">
        <w:rPr>
          <w:rFonts w:ascii="Times New Roman" w:hAnsi="Times New Roman"/>
          <w:szCs w:val="24"/>
          <w:lang w:val="lt-LT" w:eastAsia="en-US"/>
        </w:rPr>
        <w:t xml:space="preserve">, atstovaujama </w:t>
      </w:r>
      <w:proofErr w:type="spellStart"/>
      <w:r w:rsidR="004D725E" w:rsidRPr="00DF3800">
        <w:rPr>
          <w:szCs w:val="24"/>
        </w:rPr>
        <w:t>generalinio</w:t>
      </w:r>
      <w:proofErr w:type="spellEnd"/>
      <w:r w:rsidR="004D725E">
        <w:rPr>
          <w:szCs w:val="24"/>
        </w:rPr>
        <w:t xml:space="preserve"> </w:t>
      </w:r>
      <w:proofErr w:type="spellStart"/>
      <w:r w:rsidR="004D725E">
        <w:rPr>
          <w:szCs w:val="24"/>
        </w:rPr>
        <w:t>direktoriaus</w:t>
      </w:r>
      <w:proofErr w:type="spellEnd"/>
      <w:r w:rsidR="004D725E">
        <w:rPr>
          <w:szCs w:val="24"/>
        </w:rPr>
        <w:t xml:space="preserve"> </w:t>
      </w:r>
      <w:proofErr w:type="spellStart"/>
      <w:r w:rsidR="004D725E">
        <w:rPr>
          <w:szCs w:val="24"/>
        </w:rPr>
        <w:t>Virginijaus</w:t>
      </w:r>
      <w:proofErr w:type="spellEnd"/>
      <w:r w:rsidR="004D725E">
        <w:rPr>
          <w:szCs w:val="24"/>
        </w:rPr>
        <w:t xml:space="preserve"> </w:t>
      </w:r>
      <w:proofErr w:type="spellStart"/>
      <w:r w:rsidR="004D725E">
        <w:rPr>
          <w:szCs w:val="24"/>
        </w:rPr>
        <w:t>Domarko</w:t>
      </w:r>
      <w:proofErr w:type="spellEnd"/>
      <w:r w:rsidR="00C02E9C" w:rsidRPr="00C02E9C">
        <w:rPr>
          <w:rFonts w:ascii="Times New Roman" w:hAnsi="Times New Roman"/>
          <w:szCs w:val="24"/>
        </w:rPr>
        <w:t xml:space="preserve">, </w:t>
      </w:r>
      <w:proofErr w:type="spellStart"/>
      <w:r w:rsidR="00C02E9C" w:rsidRPr="00C02E9C">
        <w:rPr>
          <w:rFonts w:ascii="Times New Roman" w:hAnsi="Times New Roman"/>
          <w:szCs w:val="24"/>
        </w:rPr>
        <w:t>veikiančio</w:t>
      </w:r>
      <w:proofErr w:type="spellEnd"/>
      <w:r w:rsidR="00C02E9C" w:rsidRPr="00C02E9C">
        <w:rPr>
          <w:rFonts w:ascii="Times New Roman" w:hAnsi="Times New Roman"/>
          <w:szCs w:val="24"/>
        </w:rPr>
        <w:t xml:space="preserve"> </w:t>
      </w:r>
      <w:proofErr w:type="spellStart"/>
      <w:r w:rsidR="00C02E9C" w:rsidRPr="00C02E9C">
        <w:rPr>
          <w:rFonts w:ascii="Times New Roman" w:hAnsi="Times New Roman"/>
          <w:szCs w:val="24"/>
        </w:rPr>
        <w:t>pagal</w:t>
      </w:r>
      <w:proofErr w:type="spellEnd"/>
      <w:r w:rsidR="00C02E9C" w:rsidRPr="00C02E9C">
        <w:rPr>
          <w:rFonts w:ascii="Times New Roman" w:hAnsi="Times New Roman"/>
          <w:szCs w:val="24"/>
        </w:rPr>
        <w:t xml:space="preserve"> </w:t>
      </w:r>
      <w:proofErr w:type="spellStart"/>
      <w:r>
        <w:rPr>
          <w:rFonts w:ascii="Times New Roman" w:hAnsi="Times New Roman"/>
          <w:szCs w:val="24"/>
        </w:rPr>
        <w:t>bendrovės</w:t>
      </w:r>
      <w:proofErr w:type="spellEnd"/>
      <w:r>
        <w:rPr>
          <w:rFonts w:ascii="Times New Roman" w:hAnsi="Times New Roman"/>
          <w:szCs w:val="24"/>
        </w:rPr>
        <w:t xml:space="preserve"> </w:t>
      </w:r>
      <w:proofErr w:type="spellStart"/>
      <w:r>
        <w:rPr>
          <w:rFonts w:ascii="Times New Roman" w:hAnsi="Times New Roman"/>
          <w:szCs w:val="24"/>
        </w:rPr>
        <w:t>įstatus</w:t>
      </w:r>
      <w:proofErr w:type="spellEnd"/>
      <w:r w:rsidR="007F4A71" w:rsidRPr="00C02E9C">
        <w:rPr>
          <w:rFonts w:ascii="Times New Roman" w:hAnsi="Times New Roman"/>
          <w:szCs w:val="24"/>
          <w:lang w:val="lt-LT" w:eastAsia="en-US"/>
        </w:rPr>
        <w:t xml:space="preserve"> (toliau – </w:t>
      </w:r>
      <w:r w:rsidR="003D2446" w:rsidRPr="00C02E9C">
        <w:rPr>
          <w:rFonts w:ascii="Times New Roman" w:hAnsi="Times New Roman"/>
          <w:szCs w:val="24"/>
          <w:lang w:val="lt-LT" w:eastAsia="en-US"/>
        </w:rPr>
        <w:t>Paslaugos teikėjas</w:t>
      </w:r>
      <w:r w:rsidR="007F4A71" w:rsidRPr="00C02E9C">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w:t>
      </w:r>
      <w:r w:rsidR="003D2446">
        <w:rPr>
          <w:rFonts w:ascii="Times New Roman" w:hAnsi="Times New Roman"/>
          <w:szCs w:val="24"/>
          <w:lang w:val="lt-LT" w:eastAsia="en-US"/>
        </w:rPr>
        <w:t>Paslaugos gavėjas</w:t>
      </w:r>
      <w:r w:rsidRPr="007F4A71">
        <w:rPr>
          <w:rFonts w:ascii="Times New Roman" w:hAnsi="Times New Roman"/>
          <w:szCs w:val="24"/>
          <w:lang w:val="lt-LT" w:eastAsia="en-US"/>
        </w:rPr>
        <w:t xml:space="preserve"> ir </w:t>
      </w:r>
      <w:r w:rsidR="003D2446">
        <w:rPr>
          <w:rFonts w:ascii="Times New Roman" w:hAnsi="Times New Roman"/>
          <w:szCs w:val="24"/>
          <w:lang w:val="lt-LT" w:eastAsia="en-US"/>
        </w:rPr>
        <w:t>Paslaugos teikėjas</w:t>
      </w:r>
      <w:r w:rsidRPr="007F4A71">
        <w:rPr>
          <w:rFonts w:ascii="Times New Roman" w:hAnsi="Times New Roman"/>
          <w:szCs w:val="24"/>
          <w:lang w:val="lt-LT" w:eastAsia="en-US"/>
        </w:rPr>
        <w:t xml:space="preserve">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006E7575">
        <w:rPr>
          <w:rFonts w:ascii="Times New Roman" w:hAnsi="Times New Roman"/>
          <w:szCs w:val="24"/>
          <w:lang w:val="lt-LT" w:eastAsia="en-US"/>
        </w:rPr>
        <w:t>, sudarė šią</w:t>
      </w:r>
      <w:r w:rsidRPr="007F4A71">
        <w:rPr>
          <w:rFonts w:ascii="Times New Roman" w:hAnsi="Times New Roman"/>
          <w:szCs w:val="24"/>
          <w:lang w:val="lt-LT" w:eastAsia="en-US"/>
        </w:rPr>
        <w:t xml:space="preserve"> </w:t>
      </w:r>
      <w:proofErr w:type="spellStart"/>
      <w:r w:rsidR="004D725E">
        <w:rPr>
          <w:rFonts w:ascii="Times New Roman" w:hAnsi="Times New Roman"/>
          <w:color w:val="000000"/>
          <w:szCs w:val="24"/>
        </w:rPr>
        <w:t>medicininės</w:t>
      </w:r>
      <w:proofErr w:type="spellEnd"/>
      <w:r w:rsidR="004D725E">
        <w:rPr>
          <w:rFonts w:ascii="Times New Roman" w:hAnsi="Times New Roman"/>
          <w:color w:val="000000"/>
          <w:szCs w:val="24"/>
        </w:rPr>
        <w:t xml:space="preserve"> </w:t>
      </w:r>
      <w:proofErr w:type="spellStart"/>
      <w:r w:rsidR="004D725E">
        <w:rPr>
          <w:rFonts w:ascii="Times New Roman" w:hAnsi="Times New Roman"/>
          <w:color w:val="000000"/>
          <w:szCs w:val="24"/>
        </w:rPr>
        <w:t>įrangos</w:t>
      </w:r>
      <w:proofErr w:type="spellEnd"/>
      <w:r w:rsidR="008C35E7">
        <w:rPr>
          <w:rFonts w:ascii="Times New Roman" w:hAnsi="Times New Roman"/>
          <w:color w:val="000000"/>
          <w:szCs w:val="24"/>
        </w:rPr>
        <w:t xml:space="preserve"> </w:t>
      </w:r>
      <w:proofErr w:type="spellStart"/>
      <w:r w:rsidR="008C35E7">
        <w:rPr>
          <w:rFonts w:ascii="Times New Roman" w:hAnsi="Times New Roman"/>
          <w:color w:val="000000"/>
          <w:szCs w:val="24"/>
        </w:rPr>
        <w:t>kokybės</w:t>
      </w:r>
      <w:proofErr w:type="spellEnd"/>
      <w:r w:rsidR="008C35E7">
        <w:rPr>
          <w:rFonts w:ascii="Times New Roman" w:hAnsi="Times New Roman"/>
          <w:color w:val="000000"/>
          <w:szCs w:val="24"/>
        </w:rPr>
        <w:t xml:space="preserve"> </w:t>
      </w:r>
      <w:proofErr w:type="spellStart"/>
      <w:r w:rsidR="004D725E">
        <w:rPr>
          <w:rFonts w:ascii="Times New Roman" w:hAnsi="Times New Roman"/>
          <w:color w:val="000000"/>
          <w:szCs w:val="24"/>
        </w:rPr>
        <w:t>kontrolės</w:t>
      </w:r>
      <w:proofErr w:type="spellEnd"/>
      <w:r w:rsidR="004D725E">
        <w:rPr>
          <w:rFonts w:ascii="Times New Roman" w:hAnsi="Times New Roman"/>
          <w:color w:val="000000"/>
          <w:szCs w:val="24"/>
        </w:rPr>
        <w:t xml:space="preserve"> </w:t>
      </w:r>
      <w:proofErr w:type="spellStart"/>
      <w:r w:rsidR="004D725E">
        <w:rPr>
          <w:rFonts w:ascii="Times New Roman" w:hAnsi="Times New Roman"/>
          <w:color w:val="000000"/>
          <w:szCs w:val="24"/>
        </w:rPr>
        <w:t>bandymų</w:t>
      </w:r>
      <w:proofErr w:type="spellEnd"/>
      <w:r w:rsidR="004D725E">
        <w:rPr>
          <w:rFonts w:ascii="Times New Roman" w:hAnsi="Times New Roman"/>
          <w:color w:val="000000"/>
          <w:szCs w:val="24"/>
        </w:rPr>
        <w:t xml:space="preserve"> </w:t>
      </w:r>
      <w:r w:rsidR="00C02E9C" w:rsidRPr="0049408B">
        <w:rPr>
          <w:rFonts w:ascii="Times New Roman" w:hAnsi="Times New Roman"/>
          <w:color w:val="000000"/>
          <w:sz w:val="22"/>
          <w:szCs w:val="22"/>
        </w:rPr>
        <w:t xml:space="preserve"> </w:t>
      </w:r>
      <w:proofErr w:type="spellStart"/>
      <w:r w:rsidR="00C02E9C" w:rsidRPr="00C02E9C">
        <w:rPr>
          <w:rFonts w:ascii="Times New Roman" w:hAnsi="Times New Roman"/>
          <w:color w:val="000000"/>
          <w:szCs w:val="24"/>
        </w:rPr>
        <w:t>paslaugų</w:t>
      </w:r>
      <w:proofErr w:type="spellEnd"/>
      <w:r w:rsidR="00C02E9C">
        <w:rPr>
          <w:rFonts w:ascii="Times New Roman" w:hAnsi="Times New Roman"/>
          <w:color w:val="000000"/>
          <w:sz w:val="22"/>
          <w:szCs w:val="22"/>
        </w:rPr>
        <w:t xml:space="preserve"> </w:t>
      </w:r>
      <w:r w:rsidRPr="007F4A71">
        <w:rPr>
          <w:rFonts w:ascii="Times New Roman" w:hAnsi="Times New Roman"/>
          <w:szCs w:val="24"/>
          <w:lang w:val="lt-LT" w:eastAsia="en-US"/>
        </w:rPr>
        <w:t>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4D725E">
        <w:rPr>
          <w:rFonts w:ascii="Times New Roman" w:hAnsi="Times New Roman"/>
          <w:color w:val="000000"/>
          <w:szCs w:val="24"/>
        </w:rPr>
        <w:t>medicininės</w:t>
      </w:r>
      <w:proofErr w:type="spellEnd"/>
      <w:r w:rsidR="004D725E">
        <w:rPr>
          <w:rFonts w:ascii="Times New Roman" w:hAnsi="Times New Roman"/>
          <w:color w:val="000000"/>
          <w:szCs w:val="24"/>
        </w:rPr>
        <w:t xml:space="preserve"> </w:t>
      </w:r>
      <w:proofErr w:type="spellStart"/>
      <w:r w:rsidR="004D725E">
        <w:rPr>
          <w:rFonts w:ascii="Times New Roman" w:hAnsi="Times New Roman"/>
          <w:color w:val="000000"/>
          <w:szCs w:val="24"/>
        </w:rPr>
        <w:t>įrangos</w:t>
      </w:r>
      <w:proofErr w:type="spellEnd"/>
      <w:r w:rsidR="008C35E7">
        <w:rPr>
          <w:rFonts w:ascii="Times New Roman" w:hAnsi="Times New Roman"/>
          <w:color w:val="000000"/>
          <w:szCs w:val="24"/>
        </w:rPr>
        <w:t xml:space="preserve"> </w:t>
      </w:r>
      <w:proofErr w:type="spellStart"/>
      <w:r w:rsidR="004D725E">
        <w:rPr>
          <w:rFonts w:ascii="Times New Roman" w:hAnsi="Times New Roman"/>
          <w:color w:val="000000"/>
          <w:szCs w:val="24"/>
        </w:rPr>
        <w:t>kokybės</w:t>
      </w:r>
      <w:proofErr w:type="spellEnd"/>
      <w:r w:rsidR="004D725E">
        <w:rPr>
          <w:rFonts w:ascii="Times New Roman" w:hAnsi="Times New Roman"/>
          <w:color w:val="000000"/>
          <w:szCs w:val="24"/>
        </w:rPr>
        <w:t xml:space="preserve"> </w:t>
      </w:r>
      <w:proofErr w:type="spellStart"/>
      <w:r w:rsidR="004D725E">
        <w:rPr>
          <w:rFonts w:ascii="Times New Roman" w:hAnsi="Times New Roman"/>
          <w:color w:val="000000"/>
          <w:szCs w:val="24"/>
        </w:rPr>
        <w:t>kontrolės</w:t>
      </w:r>
      <w:proofErr w:type="spellEnd"/>
      <w:r w:rsidR="004D725E">
        <w:rPr>
          <w:rFonts w:ascii="Times New Roman" w:hAnsi="Times New Roman"/>
          <w:color w:val="000000"/>
          <w:szCs w:val="24"/>
        </w:rPr>
        <w:t xml:space="preserve"> </w:t>
      </w:r>
      <w:proofErr w:type="spellStart"/>
      <w:r w:rsidR="004D725E">
        <w:rPr>
          <w:rFonts w:ascii="Times New Roman" w:hAnsi="Times New Roman"/>
          <w:color w:val="000000"/>
          <w:szCs w:val="24"/>
        </w:rPr>
        <w:t>bandymų</w:t>
      </w:r>
      <w:proofErr w:type="spellEnd"/>
      <w:r w:rsidR="004D725E">
        <w:rPr>
          <w:rFonts w:ascii="Times New Roman" w:hAnsi="Times New Roman"/>
          <w:color w:val="000000"/>
          <w:szCs w:val="24"/>
        </w:rPr>
        <w:t xml:space="preserve"> </w:t>
      </w:r>
      <w:r w:rsidR="004D725E" w:rsidRPr="0049408B">
        <w:rPr>
          <w:rFonts w:ascii="Times New Roman" w:hAnsi="Times New Roman"/>
          <w:color w:val="000000"/>
          <w:sz w:val="22"/>
          <w:szCs w:val="22"/>
        </w:rPr>
        <w:t xml:space="preserve"> </w:t>
      </w:r>
      <w:proofErr w:type="spellStart"/>
      <w:r w:rsidR="00C02E9C" w:rsidRPr="00C02E9C">
        <w:rPr>
          <w:rFonts w:ascii="Times New Roman" w:hAnsi="Times New Roman"/>
          <w:color w:val="000000"/>
          <w:szCs w:val="24"/>
        </w:rPr>
        <w:t>paslaug</w:t>
      </w:r>
      <w:r w:rsidR="00C02E9C">
        <w:rPr>
          <w:rFonts w:ascii="Times New Roman" w:hAnsi="Times New Roman"/>
          <w:color w:val="000000"/>
          <w:szCs w:val="24"/>
        </w:rPr>
        <w:t>os</w:t>
      </w:r>
      <w:proofErr w:type="spellEnd"/>
      <w:r w:rsidR="00C02E9C">
        <w:rPr>
          <w:rFonts w:ascii="Times New Roman" w:hAnsi="Times New Roman"/>
          <w:color w:val="000000"/>
          <w:sz w:val="22"/>
          <w:szCs w:val="22"/>
        </w:rPr>
        <w:t xml:space="preserve"> </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aslauga</w:t>
      </w:r>
      <w:r w:rsidRPr="007F4A71">
        <w:rPr>
          <w:rFonts w:ascii="Times New Roman" w:hAnsi="Times New Roman"/>
          <w:color w:val="000000"/>
          <w:szCs w:val="24"/>
          <w:lang w:val="lt-LT" w:eastAsia="en-US"/>
        </w:rPr>
        <w:t xml:space="preserve">). </w:t>
      </w:r>
      <w:r w:rsidR="008C35E7" w:rsidRPr="007F4A71">
        <w:rPr>
          <w:rFonts w:ascii="Times New Roman" w:hAnsi="Times New Roman"/>
          <w:szCs w:val="24"/>
          <w:lang w:val="lt-LT" w:eastAsia="en-US"/>
        </w:rPr>
        <w:t>Perkam</w:t>
      </w:r>
      <w:r w:rsidR="008C35E7">
        <w:rPr>
          <w:rFonts w:ascii="Times New Roman" w:hAnsi="Times New Roman"/>
          <w:szCs w:val="24"/>
          <w:lang w:val="lt-LT" w:eastAsia="en-US"/>
        </w:rPr>
        <w:t>os</w:t>
      </w:r>
      <w:r w:rsidR="008C35E7" w:rsidRPr="007F4A71">
        <w:rPr>
          <w:rFonts w:ascii="Times New Roman" w:hAnsi="Times New Roman"/>
          <w:szCs w:val="24"/>
          <w:lang w:val="lt-LT" w:eastAsia="en-US"/>
        </w:rPr>
        <w:t xml:space="preserve"> </w:t>
      </w:r>
      <w:r w:rsidR="008C35E7">
        <w:rPr>
          <w:rFonts w:ascii="Times New Roman" w:hAnsi="Times New Roman"/>
          <w:szCs w:val="24"/>
          <w:lang w:val="lt-LT" w:eastAsia="en-US"/>
        </w:rPr>
        <w:t>Paslaugos</w:t>
      </w:r>
      <w:r w:rsidR="008C35E7" w:rsidRPr="007F4A71">
        <w:rPr>
          <w:rFonts w:ascii="Times New Roman" w:hAnsi="Times New Roman"/>
          <w:szCs w:val="24"/>
          <w:lang w:val="lt-LT" w:eastAsia="en-US"/>
        </w:rPr>
        <w:t xml:space="preserve"> </w:t>
      </w:r>
      <w:r w:rsidR="004D725E">
        <w:rPr>
          <w:rFonts w:ascii="Times New Roman" w:hAnsi="Times New Roman"/>
          <w:szCs w:val="24"/>
          <w:lang w:val="lt-LT" w:eastAsia="en-US"/>
        </w:rPr>
        <w:t>aprašymas</w:t>
      </w:r>
      <w:r w:rsidR="008C35E7" w:rsidRPr="007F4A71">
        <w:rPr>
          <w:rFonts w:ascii="Times New Roman" w:hAnsi="Times New Roman"/>
          <w:szCs w:val="24"/>
          <w:lang w:val="lt-LT" w:eastAsia="en-US"/>
        </w:rPr>
        <w:t xml:space="preserve"> pateikiama Sutarties priede Nr. 1</w:t>
      </w:r>
      <w:r w:rsidR="00925A59">
        <w:rPr>
          <w:rFonts w:ascii="Times New Roman" w:hAnsi="Times New Roman"/>
          <w:szCs w:val="24"/>
          <w:lang w:val="lt-LT" w:eastAsia="en-US"/>
        </w:rPr>
        <w:t xml:space="preserve"> „Paslaugų aprašymas ir kaina“</w:t>
      </w:r>
      <w:r w:rsidR="008C35E7" w:rsidRPr="007F4A71">
        <w:rPr>
          <w:rFonts w:ascii="Times New Roman" w:hAnsi="Times New Roman"/>
          <w:szCs w:val="24"/>
          <w:lang w:val="lt-LT" w:eastAsia="en-US"/>
        </w:rPr>
        <w:t>, kuri yra neatsiejama Sutarties dalis.</w:t>
      </w:r>
    </w:p>
    <w:p w:rsidR="007F4A71" w:rsidRPr="00C02E9C"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8C35E7">
        <w:rPr>
          <w:rFonts w:ascii="Times New Roman" w:hAnsi="Times New Roman"/>
          <w:szCs w:val="24"/>
        </w:rPr>
        <w:t>Pa</w:t>
      </w:r>
      <w:r w:rsidR="00312F94" w:rsidRPr="008C35E7">
        <w:rPr>
          <w:rFonts w:ascii="Times New Roman" w:hAnsi="Times New Roman"/>
          <w:szCs w:val="24"/>
        </w:rPr>
        <w:t>slaugos</w:t>
      </w:r>
      <w:proofErr w:type="spellEnd"/>
      <w:r w:rsidR="00312F94" w:rsidRPr="008C35E7">
        <w:rPr>
          <w:rFonts w:ascii="Times New Roman" w:hAnsi="Times New Roman"/>
          <w:szCs w:val="24"/>
        </w:rPr>
        <w:t xml:space="preserve"> </w:t>
      </w:r>
      <w:proofErr w:type="spellStart"/>
      <w:r w:rsidR="00312F94" w:rsidRPr="008C35E7">
        <w:rPr>
          <w:rFonts w:ascii="Times New Roman" w:hAnsi="Times New Roman"/>
          <w:szCs w:val="24"/>
        </w:rPr>
        <w:t>teikėjas</w:t>
      </w:r>
      <w:proofErr w:type="spellEnd"/>
      <w:r w:rsidR="007F4A71" w:rsidRPr="008C35E7">
        <w:rPr>
          <w:rFonts w:ascii="Times New Roman" w:hAnsi="Times New Roman"/>
          <w:szCs w:val="24"/>
          <w:lang w:val="lt-LT" w:eastAsia="en-US"/>
        </w:rPr>
        <w:t xml:space="preserve"> įsipareigoja </w:t>
      </w:r>
      <w:r w:rsidR="00312F94" w:rsidRPr="008C35E7">
        <w:rPr>
          <w:rFonts w:ascii="Times New Roman" w:hAnsi="Times New Roman"/>
          <w:szCs w:val="24"/>
          <w:lang w:val="lt-LT" w:eastAsia="en-US"/>
        </w:rPr>
        <w:t>suteikti Paslaugas</w:t>
      </w:r>
      <w:r w:rsidR="007F4A71" w:rsidRPr="008C35E7">
        <w:rPr>
          <w:rFonts w:ascii="Times New Roman" w:hAnsi="Times New Roman"/>
          <w:szCs w:val="24"/>
          <w:lang w:val="lt-LT" w:eastAsia="en-US"/>
        </w:rPr>
        <w:t>, o P</w:t>
      </w:r>
      <w:r w:rsidR="00312F94" w:rsidRPr="008C35E7">
        <w:rPr>
          <w:rFonts w:ascii="Times New Roman" w:hAnsi="Times New Roman"/>
          <w:szCs w:val="24"/>
          <w:lang w:val="lt-LT" w:eastAsia="en-US"/>
        </w:rPr>
        <w:t>aslaugo</w:t>
      </w:r>
      <w:r w:rsidR="007F4A71" w:rsidRPr="008C35E7">
        <w:rPr>
          <w:rFonts w:ascii="Times New Roman" w:hAnsi="Times New Roman"/>
          <w:szCs w:val="24"/>
          <w:lang w:val="lt-LT" w:eastAsia="en-US"/>
        </w:rPr>
        <w:t>s</w:t>
      </w:r>
      <w:r w:rsidR="00312F94" w:rsidRPr="008C35E7">
        <w:rPr>
          <w:rFonts w:ascii="Times New Roman" w:hAnsi="Times New Roman"/>
          <w:szCs w:val="24"/>
          <w:lang w:val="lt-LT" w:eastAsia="en-US"/>
        </w:rPr>
        <w:t xml:space="preserve"> gavėjas</w:t>
      </w:r>
      <w:r w:rsidR="007F4A71" w:rsidRPr="008C35E7">
        <w:rPr>
          <w:rFonts w:ascii="Times New Roman" w:hAnsi="Times New Roman"/>
          <w:szCs w:val="24"/>
          <w:lang w:val="lt-LT" w:eastAsia="en-US"/>
        </w:rPr>
        <w:t xml:space="preserve"> įsipareigoja priimti </w:t>
      </w:r>
      <w:r w:rsidR="00312F94" w:rsidRPr="008C35E7">
        <w:rPr>
          <w:rFonts w:ascii="Times New Roman" w:hAnsi="Times New Roman"/>
          <w:szCs w:val="24"/>
          <w:lang w:val="lt-LT" w:eastAsia="en-US"/>
        </w:rPr>
        <w:t>Paslaugas</w:t>
      </w:r>
      <w:r w:rsidR="007F4A71" w:rsidRPr="008C35E7">
        <w:rPr>
          <w:rFonts w:ascii="Times New Roman" w:hAnsi="Times New Roman"/>
          <w:szCs w:val="24"/>
          <w:lang w:val="lt-LT" w:eastAsia="en-US"/>
        </w:rPr>
        <w:t xml:space="preserve"> ir sumokėti Pa</w:t>
      </w:r>
      <w:r w:rsidR="00312F94" w:rsidRPr="008C35E7">
        <w:rPr>
          <w:rFonts w:ascii="Times New Roman" w:hAnsi="Times New Roman"/>
          <w:szCs w:val="24"/>
          <w:lang w:val="lt-LT" w:eastAsia="en-US"/>
        </w:rPr>
        <w:t>slaugos teikėjui</w:t>
      </w:r>
      <w:r w:rsidR="007F4A71" w:rsidRPr="008C35E7">
        <w:rPr>
          <w:rFonts w:ascii="Times New Roman" w:hAnsi="Times New Roman"/>
          <w:szCs w:val="24"/>
          <w:lang w:val="lt-LT" w:eastAsia="en-US"/>
        </w:rPr>
        <w:t xml:space="preserve"> Sutartyje numatytą kainą, Sutartyje numatytomis sąlygomis</w:t>
      </w:r>
      <w:r w:rsidR="007F4A71" w:rsidRPr="00C02E9C">
        <w:rPr>
          <w:rFonts w:ascii="Times New Roman" w:hAnsi="Times New Roman"/>
          <w:szCs w:val="24"/>
          <w:lang w:val="lt-LT" w:eastAsia="en-US"/>
        </w:rPr>
        <w:t xml:space="preserve">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w:t>
      </w:r>
      <w:r w:rsidR="00312F94">
        <w:rPr>
          <w:rFonts w:ascii="Times New Roman" w:hAnsi="Times New Roman"/>
          <w:color w:val="000000"/>
          <w:szCs w:val="24"/>
        </w:rPr>
        <w:t>aslaugai</w:t>
      </w:r>
      <w:proofErr w:type="spellEnd"/>
      <w:r w:rsidR="00312F94">
        <w:rPr>
          <w:rFonts w:ascii="Times New Roman" w:hAnsi="Times New Roman"/>
          <w:color w:val="000000"/>
          <w:szCs w:val="24"/>
        </w:rPr>
        <w:t xml:space="preserve"> </w:t>
      </w:r>
      <w:proofErr w:type="spellStart"/>
      <w:r w:rsidR="00312F94">
        <w:rPr>
          <w:rFonts w:ascii="Times New Roman" w:hAnsi="Times New Roman"/>
          <w:color w:val="000000"/>
          <w:szCs w:val="24"/>
        </w:rPr>
        <w:t>t</w:t>
      </w:r>
      <w:r w:rsidR="0052636A">
        <w:rPr>
          <w:rFonts w:ascii="Times New Roman" w:hAnsi="Times New Roman"/>
          <w:color w:val="000000"/>
          <w:szCs w:val="24"/>
        </w:rPr>
        <w:t>e</w:t>
      </w:r>
      <w:r w:rsidR="00312F94">
        <w:rPr>
          <w:rFonts w:ascii="Times New Roman" w:hAnsi="Times New Roman"/>
          <w:color w:val="000000"/>
          <w:szCs w:val="24"/>
        </w:rPr>
        <w:t>i</w:t>
      </w:r>
      <w:r w:rsidR="0052636A">
        <w:rPr>
          <w:rFonts w:ascii="Times New Roman" w:hAnsi="Times New Roman"/>
          <w:color w:val="000000"/>
          <w:szCs w:val="24"/>
        </w:rPr>
        <w:t>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C02E9C">
        <w:rPr>
          <w:color w:val="000000"/>
        </w:rPr>
        <w:t>maksimaliai</w:t>
      </w:r>
      <w:proofErr w:type="spellEnd"/>
      <w:r w:rsidR="00C02E9C">
        <w:rPr>
          <w:color w:val="000000"/>
        </w:rPr>
        <w:t xml:space="preserve"> </w:t>
      </w:r>
      <w:proofErr w:type="spellStart"/>
      <w:r w:rsidR="00C02E9C">
        <w:rPr>
          <w:color w:val="000000"/>
        </w:rPr>
        <w:t>P</w:t>
      </w:r>
      <w:r w:rsidR="008E3808">
        <w:rPr>
          <w:color w:val="000000"/>
        </w:rPr>
        <w:t>irkim</w:t>
      </w:r>
      <w:r w:rsidR="008C35E7">
        <w:rPr>
          <w:color w:val="000000"/>
        </w:rPr>
        <w:t>o</w:t>
      </w:r>
      <w:proofErr w:type="spellEnd"/>
      <w:r w:rsidR="008C35E7">
        <w:rPr>
          <w:color w:val="000000"/>
        </w:rPr>
        <w:t xml:space="preserve"> </w:t>
      </w:r>
      <w:proofErr w:type="spellStart"/>
      <w:r w:rsidR="008C35E7">
        <w:rPr>
          <w:color w:val="000000"/>
        </w:rPr>
        <w:t>daliai</w:t>
      </w:r>
      <w:proofErr w:type="spellEnd"/>
      <w:r w:rsidR="00C9287B">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4D725E">
        <w:rPr>
          <w:rFonts w:ascii="Times New Roman" w:hAnsi="Times New Roman"/>
          <w:b/>
          <w:szCs w:val="24"/>
          <w:lang w:eastAsia="en-US"/>
        </w:rPr>
        <w:t>1718,00</w:t>
      </w:r>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proofErr w:type="spellStart"/>
      <w:r w:rsidR="004D725E">
        <w:rPr>
          <w:rFonts w:ascii="Times New Roman" w:hAnsi="Times New Roman"/>
          <w:b/>
          <w:szCs w:val="24"/>
          <w:lang w:eastAsia="en-US"/>
        </w:rPr>
        <w:t>vienas</w:t>
      </w:r>
      <w:proofErr w:type="spellEnd"/>
      <w:r w:rsidR="00A62C95">
        <w:rPr>
          <w:rFonts w:ascii="Times New Roman" w:hAnsi="Times New Roman"/>
          <w:b/>
          <w:szCs w:val="24"/>
          <w:lang w:eastAsia="en-US"/>
        </w:rPr>
        <w:t xml:space="preserve"> </w:t>
      </w:r>
      <w:proofErr w:type="spellStart"/>
      <w:r w:rsidR="00A62C95">
        <w:rPr>
          <w:rFonts w:ascii="Times New Roman" w:hAnsi="Times New Roman"/>
          <w:b/>
          <w:szCs w:val="24"/>
          <w:lang w:eastAsia="en-US"/>
        </w:rPr>
        <w:t>tūkstan</w:t>
      </w:r>
      <w:r w:rsidR="00D33F9A">
        <w:rPr>
          <w:rFonts w:ascii="Times New Roman" w:hAnsi="Times New Roman"/>
          <w:b/>
          <w:szCs w:val="24"/>
          <w:lang w:eastAsia="en-US"/>
        </w:rPr>
        <w:t>tis</w:t>
      </w:r>
      <w:proofErr w:type="spellEnd"/>
      <w:r w:rsidR="00D33F9A">
        <w:rPr>
          <w:rFonts w:ascii="Times New Roman" w:hAnsi="Times New Roman"/>
          <w:b/>
          <w:szCs w:val="24"/>
          <w:lang w:eastAsia="en-US"/>
        </w:rPr>
        <w:t xml:space="preserve"> </w:t>
      </w:r>
      <w:proofErr w:type="spellStart"/>
      <w:r w:rsidR="00D33F9A">
        <w:rPr>
          <w:rFonts w:ascii="Times New Roman" w:hAnsi="Times New Roman"/>
          <w:b/>
          <w:szCs w:val="24"/>
          <w:lang w:eastAsia="en-US"/>
        </w:rPr>
        <w:t>septyni</w:t>
      </w:r>
      <w:proofErr w:type="spellEnd"/>
      <w:r w:rsidR="00D33F9A">
        <w:rPr>
          <w:rFonts w:ascii="Times New Roman" w:hAnsi="Times New Roman"/>
          <w:b/>
          <w:szCs w:val="24"/>
          <w:lang w:eastAsia="en-US"/>
        </w:rPr>
        <w:t xml:space="preserve"> </w:t>
      </w:r>
      <w:proofErr w:type="spellStart"/>
      <w:r w:rsidR="00D33F9A">
        <w:rPr>
          <w:rFonts w:ascii="Times New Roman" w:hAnsi="Times New Roman"/>
          <w:b/>
          <w:szCs w:val="24"/>
          <w:lang w:eastAsia="en-US"/>
        </w:rPr>
        <w:t>šimtai</w:t>
      </w:r>
      <w:proofErr w:type="spellEnd"/>
      <w:r w:rsidR="00D33F9A">
        <w:rPr>
          <w:rFonts w:ascii="Times New Roman" w:hAnsi="Times New Roman"/>
          <w:b/>
          <w:szCs w:val="24"/>
          <w:lang w:eastAsia="en-US"/>
        </w:rPr>
        <w:t xml:space="preserve"> </w:t>
      </w:r>
      <w:proofErr w:type="spellStart"/>
      <w:r w:rsidR="00D33F9A">
        <w:rPr>
          <w:rFonts w:ascii="Times New Roman" w:hAnsi="Times New Roman"/>
          <w:b/>
          <w:szCs w:val="24"/>
          <w:lang w:eastAsia="en-US"/>
        </w:rPr>
        <w:t>aštuoniolika</w:t>
      </w:r>
      <w:proofErr w:type="spellEnd"/>
      <w:r w:rsidR="00EE6322">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144EC5">
        <w:rPr>
          <w:rFonts w:ascii="Times New Roman" w:hAnsi="Times New Roman"/>
          <w:b/>
          <w:szCs w:val="24"/>
          <w:lang w:eastAsia="en-US"/>
        </w:rPr>
        <w:t>ų</w:t>
      </w:r>
      <w:proofErr w:type="spellEnd"/>
      <w:r w:rsidR="00EE6322">
        <w:rPr>
          <w:rFonts w:ascii="Times New Roman" w:hAnsi="Times New Roman"/>
          <w:b/>
          <w:szCs w:val="24"/>
          <w:lang w:eastAsia="en-US"/>
        </w:rPr>
        <w:t xml:space="preserve"> </w:t>
      </w:r>
      <w:proofErr w:type="spellStart"/>
      <w:r w:rsidR="00EE6322">
        <w:rPr>
          <w:rFonts w:ascii="Times New Roman" w:hAnsi="Times New Roman"/>
          <w:b/>
          <w:szCs w:val="24"/>
          <w:lang w:eastAsia="en-US"/>
        </w:rPr>
        <w:t>ir</w:t>
      </w:r>
      <w:proofErr w:type="spellEnd"/>
      <w:r w:rsidR="00EE6322">
        <w:rPr>
          <w:rFonts w:ascii="Times New Roman" w:hAnsi="Times New Roman"/>
          <w:b/>
          <w:szCs w:val="24"/>
          <w:lang w:eastAsia="en-US"/>
        </w:rPr>
        <w:t xml:space="preserve"> </w:t>
      </w:r>
      <w:r w:rsidR="00A62C95">
        <w:rPr>
          <w:rFonts w:ascii="Times New Roman" w:hAnsi="Times New Roman"/>
          <w:b/>
          <w:szCs w:val="24"/>
          <w:lang w:eastAsia="en-US"/>
        </w:rPr>
        <w:t xml:space="preserve">0 euro </w:t>
      </w:r>
      <w:proofErr w:type="spellStart"/>
      <w:r w:rsidR="00A62C95">
        <w:rPr>
          <w:rFonts w:ascii="Times New Roman" w:hAnsi="Times New Roman"/>
          <w:b/>
          <w:szCs w:val="24"/>
          <w:lang w:eastAsia="en-US"/>
        </w:rPr>
        <w:t>cent</w:t>
      </w:r>
      <w:r w:rsidR="00EE6322">
        <w:rPr>
          <w:rFonts w:ascii="Times New Roman" w:hAnsi="Times New Roman"/>
          <w:b/>
          <w:szCs w:val="24"/>
          <w:lang w:eastAsia="en-US"/>
        </w:rPr>
        <w:t>ų</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w:t>
      </w:r>
      <w:r w:rsidR="00A62C95">
        <w:rPr>
          <w:rFonts w:ascii="Times New Roman" w:hAnsi="Times New Roman"/>
          <w:szCs w:val="24"/>
          <w:lang w:eastAsia="en-US"/>
        </w:rPr>
        <w:t>21 proc.</w:t>
      </w:r>
      <w:r w:rsidR="00EE6322">
        <w:rPr>
          <w:rFonts w:ascii="Times New Roman" w:hAnsi="Times New Roman"/>
          <w:szCs w:val="24"/>
          <w:lang w:eastAsia="en-US"/>
        </w:rPr>
        <w:t xml:space="preserve"> </w:t>
      </w:r>
      <w:r w:rsidRPr="007F4A71">
        <w:rPr>
          <w:rFonts w:ascii="Times New Roman" w:hAnsi="Times New Roman"/>
          <w:szCs w:val="24"/>
          <w:lang w:eastAsia="en-US"/>
        </w:rPr>
        <w:t xml:space="preserve">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A62C95">
        <w:rPr>
          <w:rFonts w:ascii="Times New Roman" w:hAnsi="Times New Roman"/>
          <w:b/>
          <w:szCs w:val="24"/>
          <w:lang w:eastAsia="en-US"/>
        </w:rPr>
        <w:t>360,</w:t>
      </w:r>
      <w:r w:rsidR="00D33F9A">
        <w:rPr>
          <w:rFonts w:ascii="Times New Roman" w:hAnsi="Times New Roman"/>
          <w:b/>
          <w:szCs w:val="24"/>
          <w:lang w:eastAsia="en-US"/>
        </w:rPr>
        <w:t>78</w:t>
      </w:r>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proofErr w:type="spellStart"/>
      <w:r w:rsidR="00A62C95">
        <w:rPr>
          <w:rFonts w:ascii="Times New Roman" w:hAnsi="Times New Roman"/>
          <w:szCs w:val="24"/>
          <w:lang w:eastAsia="en-US"/>
        </w:rPr>
        <w:t>trys</w:t>
      </w:r>
      <w:proofErr w:type="spellEnd"/>
      <w:r w:rsidR="00A62C95">
        <w:rPr>
          <w:rFonts w:ascii="Times New Roman" w:hAnsi="Times New Roman"/>
          <w:szCs w:val="24"/>
          <w:lang w:eastAsia="en-US"/>
        </w:rPr>
        <w:t xml:space="preserve"> </w:t>
      </w:r>
      <w:proofErr w:type="spellStart"/>
      <w:r w:rsidR="00A62C95">
        <w:rPr>
          <w:rFonts w:ascii="Times New Roman" w:hAnsi="Times New Roman"/>
          <w:szCs w:val="24"/>
          <w:lang w:eastAsia="en-US"/>
        </w:rPr>
        <w:t>šimtai</w:t>
      </w:r>
      <w:proofErr w:type="spellEnd"/>
      <w:r w:rsidR="00A62C95">
        <w:rPr>
          <w:rFonts w:ascii="Times New Roman" w:hAnsi="Times New Roman"/>
          <w:szCs w:val="24"/>
          <w:lang w:eastAsia="en-US"/>
        </w:rPr>
        <w:t xml:space="preserve"> </w:t>
      </w:r>
      <w:proofErr w:type="spellStart"/>
      <w:r w:rsidR="00A62C95">
        <w:rPr>
          <w:rFonts w:ascii="Times New Roman" w:hAnsi="Times New Roman"/>
          <w:szCs w:val="24"/>
          <w:lang w:eastAsia="en-US"/>
        </w:rPr>
        <w:t>šešiasdešimt</w:t>
      </w:r>
      <w:proofErr w:type="spellEnd"/>
      <w:r w:rsidR="00144EC5">
        <w:rPr>
          <w:rFonts w:ascii="Times New Roman" w:hAnsi="Times New Roman"/>
          <w:szCs w:val="24"/>
          <w:lang w:eastAsia="en-US"/>
        </w:rPr>
        <w:t xml:space="preserve"> </w:t>
      </w:r>
      <w:proofErr w:type="spellStart"/>
      <w:r w:rsidR="00144EC5">
        <w:rPr>
          <w:rFonts w:ascii="Times New Roman" w:hAnsi="Times New Roman"/>
          <w:szCs w:val="24"/>
          <w:lang w:eastAsia="en-US"/>
        </w:rPr>
        <w:t>eurų</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w:t>
      </w:r>
      <w:r w:rsidR="00D33F9A">
        <w:rPr>
          <w:rFonts w:ascii="Times New Roman" w:hAnsi="Times New Roman"/>
          <w:szCs w:val="24"/>
          <w:lang w:eastAsia="en-US"/>
        </w:rPr>
        <w:t>78</w:t>
      </w:r>
      <w:r w:rsidR="00A62C95">
        <w:rPr>
          <w:rFonts w:ascii="Times New Roman" w:hAnsi="Times New Roman"/>
          <w:szCs w:val="24"/>
          <w:lang w:eastAsia="en-US"/>
        </w:rPr>
        <w:t xml:space="preserve"> </w:t>
      </w:r>
      <w:r w:rsidR="006E4547">
        <w:rPr>
          <w:rFonts w:ascii="Times New Roman" w:hAnsi="Times New Roman"/>
          <w:szCs w:val="24"/>
          <w:lang w:eastAsia="en-US"/>
        </w:rPr>
        <w:t xml:space="preserve">euro </w:t>
      </w:r>
      <w:proofErr w:type="spellStart"/>
      <w:r w:rsidR="006E4547">
        <w:rPr>
          <w:rFonts w:ascii="Times New Roman" w:hAnsi="Times New Roman"/>
          <w:szCs w:val="24"/>
          <w:lang w:eastAsia="en-US"/>
        </w:rPr>
        <w:t>centų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r w:rsidR="00D33F9A">
        <w:rPr>
          <w:rFonts w:ascii="Times New Roman" w:hAnsi="Times New Roman"/>
          <w:szCs w:val="24"/>
          <w:lang w:eastAsia="en-US"/>
        </w:rPr>
        <w:t xml:space="preserve">Suma </w:t>
      </w:r>
      <w:proofErr w:type="spellStart"/>
      <w:r w:rsidR="00D33F9A">
        <w:rPr>
          <w:rFonts w:ascii="Times New Roman" w:hAnsi="Times New Roman"/>
          <w:szCs w:val="24"/>
          <w:lang w:eastAsia="en-US"/>
        </w:rPr>
        <w:t>su</w:t>
      </w:r>
      <w:proofErr w:type="spellEnd"/>
      <w:r w:rsidR="00D33F9A">
        <w:rPr>
          <w:rFonts w:ascii="Times New Roman" w:hAnsi="Times New Roman"/>
          <w:szCs w:val="24"/>
          <w:lang w:eastAsia="en-US"/>
        </w:rPr>
        <w:t xml:space="preserve"> PVM – 2078</w:t>
      </w:r>
      <w:proofErr w:type="gramStart"/>
      <w:r w:rsidR="00D33F9A">
        <w:rPr>
          <w:rFonts w:ascii="Times New Roman" w:hAnsi="Times New Roman"/>
          <w:szCs w:val="24"/>
          <w:lang w:eastAsia="en-US"/>
        </w:rPr>
        <w:t>,78</w:t>
      </w:r>
      <w:proofErr w:type="gramEnd"/>
      <w:r w:rsidR="00D33F9A">
        <w:rPr>
          <w:rFonts w:ascii="Times New Roman" w:hAnsi="Times New Roman"/>
          <w:szCs w:val="24"/>
          <w:lang w:eastAsia="en-US"/>
        </w:rPr>
        <w:t xml:space="preserve"> </w:t>
      </w:r>
      <w:proofErr w:type="spellStart"/>
      <w:r w:rsidR="00D33F9A">
        <w:rPr>
          <w:rFonts w:ascii="Times New Roman" w:hAnsi="Times New Roman"/>
          <w:szCs w:val="24"/>
          <w:lang w:eastAsia="en-US"/>
        </w:rPr>
        <w:t>eurų</w:t>
      </w:r>
      <w:proofErr w:type="spellEnd"/>
      <w:r w:rsidR="00D33F9A">
        <w:rPr>
          <w:rFonts w:ascii="Times New Roman" w:hAnsi="Times New Roman"/>
          <w:szCs w:val="24"/>
          <w:lang w:eastAsia="en-US"/>
        </w:rPr>
        <w:t>.</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proofErr w:type="gramStart"/>
      <w:r w:rsidR="00333BC5" w:rsidRPr="00333BC5">
        <w:rPr>
          <w:rFonts w:ascii="Times New Roman" w:hAnsi="Times New Roman"/>
          <w:b/>
          <w:szCs w:val="24"/>
          <w:lang w:eastAsia="en-US"/>
        </w:rPr>
        <w:t>P</w:t>
      </w:r>
      <w:r w:rsidR="00312F94">
        <w:rPr>
          <w:rFonts w:ascii="Times New Roman" w:hAnsi="Times New Roman"/>
          <w:b/>
          <w:szCs w:val="24"/>
          <w:lang w:eastAsia="en-US"/>
        </w:rPr>
        <w:t>aslaugų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D33F9A">
        <w:rPr>
          <w:rFonts w:ascii="Times New Roman" w:hAnsi="Times New Roman"/>
          <w:szCs w:val="24"/>
          <w:lang w:eastAsia="en-US"/>
        </w:rPr>
        <w:t xml:space="preserve"> </w:t>
      </w:r>
      <w:proofErr w:type="spellStart"/>
      <w:r w:rsidR="008C35E7">
        <w:rPr>
          <w:rFonts w:ascii="Times New Roman" w:hAnsi="Times New Roman"/>
          <w:szCs w:val="24"/>
          <w:lang w:eastAsia="en-US"/>
        </w:rPr>
        <w:t>nurodyti</w:t>
      </w:r>
      <w:proofErr w:type="spellEnd"/>
      <w:r w:rsidR="008C35E7">
        <w:rPr>
          <w:rFonts w:ascii="Times New Roman" w:hAnsi="Times New Roman"/>
          <w:szCs w:val="24"/>
          <w:lang w:eastAsia="en-US"/>
        </w:rPr>
        <w:t xml:space="preserve"> </w:t>
      </w:r>
      <w:proofErr w:type="spellStart"/>
      <w:r w:rsidR="008C35E7">
        <w:rPr>
          <w:rFonts w:ascii="Times New Roman" w:hAnsi="Times New Roman"/>
          <w:szCs w:val="24"/>
          <w:lang w:eastAsia="en-US"/>
        </w:rPr>
        <w:t>šios</w:t>
      </w:r>
      <w:proofErr w:type="spellEnd"/>
      <w:r w:rsidR="008C35E7">
        <w:rPr>
          <w:rFonts w:ascii="Times New Roman" w:hAnsi="Times New Roman"/>
          <w:szCs w:val="24"/>
          <w:lang w:eastAsia="en-US"/>
        </w:rPr>
        <w:t xml:space="preserve"> </w:t>
      </w:r>
      <w:proofErr w:type="spellStart"/>
      <w:r w:rsidR="008C35E7">
        <w:rPr>
          <w:rFonts w:ascii="Times New Roman" w:hAnsi="Times New Roman"/>
          <w:szCs w:val="24"/>
          <w:lang w:eastAsia="en-US"/>
        </w:rPr>
        <w:t>Sutarties</w:t>
      </w:r>
      <w:proofErr w:type="spellEnd"/>
      <w:r w:rsidR="008C35E7">
        <w:rPr>
          <w:rFonts w:ascii="Times New Roman" w:hAnsi="Times New Roman"/>
          <w:szCs w:val="24"/>
          <w:lang w:eastAsia="en-US"/>
        </w:rPr>
        <w:t xml:space="preserve"> </w:t>
      </w:r>
      <w:proofErr w:type="spellStart"/>
      <w:r w:rsidR="008C35E7">
        <w:rPr>
          <w:rFonts w:ascii="Times New Roman" w:hAnsi="Times New Roman"/>
          <w:szCs w:val="24"/>
          <w:lang w:eastAsia="en-US"/>
        </w:rPr>
        <w:t>preide</w:t>
      </w:r>
      <w:proofErr w:type="spellEnd"/>
      <w:r w:rsidR="008C35E7">
        <w:rPr>
          <w:rFonts w:ascii="Times New Roman" w:hAnsi="Times New Roman"/>
          <w:szCs w:val="24"/>
          <w:lang w:eastAsia="en-US"/>
        </w:rPr>
        <w:t xml:space="preserve"> Nr. </w:t>
      </w:r>
      <w:r w:rsidR="00D33F9A">
        <w:rPr>
          <w:rFonts w:ascii="Times New Roman" w:hAnsi="Times New Roman"/>
          <w:szCs w:val="24"/>
          <w:lang w:eastAsia="en-US"/>
        </w:rPr>
        <w:t>1</w:t>
      </w:r>
      <w:r w:rsidR="00925A59" w:rsidRPr="00925A59">
        <w:rPr>
          <w:rFonts w:ascii="Times New Roman" w:hAnsi="Times New Roman"/>
          <w:szCs w:val="24"/>
          <w:lang w:val="lt-LT" w:eastAsia="en-US"/>
        </w:rPr>
        <w:t xml:space="preserve"> </w:t>
      </w:r>
      <w:r w:rsidR="00925A59">
        <w:rPr>
          <w:rFonts w:ascii="Times New Roman" w:hAnsi="Times New Roman"/>
          <w:szCs w:val="24"/>
          <w:lang w:val="lt-LT" w:eastAsia="en-US"/>
        </w:rPr>
        <w:t>„Paslaugų aprašymas ir kaina“</w:t>
      </w:r>
      <w:r w:rsidR="00D33F9A">
        <w:rPr>
          <w:rFonts w:ascii="Times New Roman" w:hAnsi="Times New Roman"/>
          <w:szCs w:val="24"/>
          <w:lang w:eastAsia="en-US"/>
        </w:rPr>
        <w:t>.</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w:t>
      </w:r>
      <w:r w:rsidR="00312F94">
        <w:rPr>
          <w:rFonts w:ascii="Times New Roman" w:hAnsi="Times New Roman"/>
          <w:szCs w:val="24"/>
        </w:rPr>
        <w:t>aslaugų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w:t>
      </w:r>
      <w:r w:rsidR="00312F94">
        <w:t>aslaugas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w:t>
      </w:r>
      <w:r w:rsidR="00312F94">
        <w:t>aslaugų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312F94">
        <w:t>Paslaugos</w:t>
      </w:r>
      <w:proofErr w:type="spellEnd"/>
      <w:r w:rsidR="00312F94">
        <w:t xml:space="preserve"> </w:t>
      </w:r>
      <w:proofErr w:type="spellStart"/>
      <w:r w:rsidR="00312F94">
        <w:t>teikėjo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w:t>
      </w:r>
      <w:r w:rsidR="00312F94">
        <w:t>aslaugų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312F94">
        <w:t>Paslaugos</w:t>
      </w:r>
      <w:proofErr w:type="spellEnd"/>
      <w:r w:rsidR="00312F94">
        <w:t xml:space="preserve"> </w:t>
      </w:r>
      <w:proofErr w:type="spellStart"/>
      <w:r w:rsidR="00312F94">
        <w:t>teikėjo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8C35E7">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w:t>
      </w:r>
      <w:r w:rsidR="00312F94">
        <w:rPr>
          <w:rFonts w:ascii="Times New Roman" w:hAnsi="Times New Roman"/>
          <w:szCs w:val="24"/>
          <w:lang w:eastAsia="en-US"/>
        </w:rPr>
        <w:t>slaugos</w:t>
      </w:r>
      <w:proofErr w:type="spellEnd"/>
      <w:r w:rsidR="00312F94">
        <w:rPr>
          <w:rFonts w:ascii="Times New Roman" w:hAnsi="Times New Roman"/>
          <w:szCs w:val="24"/>
          <w:lang w:eastAsia="en-US"/>
        </w:rPr>
        <w:t xml:space="preserve"> </w:t>
      </w:r>
      <w:proofErr w:type="spellStart"/>
      <w:r w:rsidR="00312F94">
        <w:rPr>
          <w:rFonts w:ascii="Times New Roman" w:hAnsi="Times New Roman"/>
          <w:szCs w:val="24"/>
          <w:lang w:eastAsia="en-US"/>
        </w:rPr>
        <w:t>teikėjui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D8364A">
        <w:rPr>
          <w:rFonts w:ascii="Times New Roman" w:hAnsi="Times New Roman"/>
          <w:szCs w:val="24"/>
          <w:lang w:eastAsia="en-US"/>
        </w:rPr>
        <w:t>suteiktas</w:t>
      </w:r>
      <w:proofErr w:type="spellEnd"/>
      <w:r w:rsidR="00D8364A">
        <w:rPr>
          <w:rFonts w:ascii="Times New Roman" w:hAnsi="Times New Roman"/>
          <w:szCs w:val="24"/>
          <w:lang w:eastAsia="en-US"/>
        </w:rPr>
        <w:t xml:space="preserve"> </w:t>
      </w:r>
      <w:proofErr w:type="spellStart"/>
      <w:r w:rsidR="00D8364A">
        <w:rPr>
          <w:rFonts w:ascii="Times New Roman" w:hAnsi="Times New Roman"/>
          <w:szCs w:val="24"/>
          <w:lang w:eastAsia="en-US"/>
        </w:rPr>
        <w:t>Paslaugas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D8364A">
        <w:rPr>
          <w:rFonts w:ascii="Times New Roman" w:hAnsi="Times New Roman"/>
          <w:szCs w:val="24"/>
          <w:lang w:eastAsia="en-US"/>
        </w:rPr>
        <w:t>suteiktų</w:t>
      </w:r>
      <w:proofErr w:type="spellEnd"/>
      <w:r w:rsidR="00D8364A">
        <w:rPr>
          <w:rFonts w:ascii="Times New Roman" w:hAnsi="Times New Roman"/>
          <w:szCs w:val="24"/>
          <w:lang w:eastAsia="en-US"/>
        </w:rPr>
        <w:t xml:space="preserve"> </w:t>
      </w:r>
      <w:proofErr w:type="spellStart"/>
      <w:r w:rsidR="00D8364A">
        <w:rPr>
          <w:rFonts w:ascii="Times New Roman" w:hAnsi="Times New Roman"/>
          <w:szCs w:val="24"/>
          <w:lang w:eastAsia="en-US"/>
        </w:rPr>
        <w:t>Paslaugų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w:t>
      </w:r>
      <w:r w:rsidR="00D8364A">
        <w:rPr>
          <w:rFonts w:ascii="Times New Roman" w:hAnsi="Times New Roman"/>
          <w:szCs w:val="24"/>
          <w:lang w:eastAsia="en-US"/>
        </w:rPr>
        <w:t>aslaugos</w:t>
      </w:r>
      <w:proofErr w:type="spellEnd"/>
      <w:r w:rsidR="00D8364A">
        <w:rPr>
          <w:rFonts w:ascii="Times New Roman" w:hAnsi="Times New Roman"/>
          <w:szCs w:val="24"/>
          <w:lang w:eastAsia="en-US"/>
        </w:rPr>
        <w:t xml:space="preserve"> </w:t>
      </w:r>
      <w:proofErr w:type="spellStart"/>
      <w:r w:rsidR="00D8364A">
        <w:rPr>
          <w:rFonts w:ascii="Times New Roman" w:hAnsi="Times New Roman"/>
          <w:szCs w:val="24"/>
          <w:lang w:eastAsia="en-US"/>
        </w:rPr>
        <w:t>gavėjo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proofErr w:type="gram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r w:rsidR="000542C6">
        <w:rPr>
          <w:rFonts w:ascii="Times New Roman" w:hAnsi="Times New Roman"/>
          <w:szCs w:val="24"/>
          <w:lang w:eastAsia="en-US"/>
        </w:rPr>
        <w:t>2.2 p.</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w:t>
      </w:r>
      <w:proofErr w:type="gramEnd"/>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008569D1">
        <w:rPr>
          <w:rFonts w:ascii="Times New Roman" w:hAnsi="Times New Roman"/>
          <w:szCs w:val="24"/>
          <w:lang w:val="lt-LT" w:eastAsia="en-US"/>
        </w:rPr>
        <w:t xml:space="preserve"> </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w:t>
      </w:r>
      <w:r w:rsidRPr="007F4A71">
        <w:rPr>
          <w:rFonts w:ascii="Times New Roman" w:hAnsi="Times New Roman"/>
          <w:szCs w:val="24"/>
          <w:lang w:val="lt-LT" w:eastAsia="en-US"/>
        </w:rPr>
        <w:t xml:space="preserve"> </w:t>
      </w:r>
      <w:r w:rsidR="008A6A77">
        <w:rPr>
          <w:rFonts w:ascii="Times New Roman" w:hAnsi="Times New Roman"/>
          <w:szCs w:val="24"/>
          <w:lang w:val="lt-LT" w:eastAsia="en-US"/>
        </w:rPr>
        <w:t>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xml:space="preserve">)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indeksą „</w:t>
      </w:r>
      <w:proofErr w:type="spellStart"/>
      <w:r w:rsidR="008569D1" w:rsidRPr="00B533D7">
        <w:rPr>
          <w:rFonts w:ascii="Times New Roman" w:hAnsi="Times New Roman"/>
          <w:szCs w:val="24"/>
        </w:rPr>
        <w:t>Techninis</w:t>
      </w:r>
      <w:proofErr w:type="spellEnd"/>
      <w:r w:rsidR="008569D1" w:rsidRPr="00B533D7">
        <w:rPr>
          <w:rFonts w:ascii="Times New Roman" w:hAnsi="Times New Roman"/>
          <w:szCs w:val="24"/>
        </w:rPr>
        <w:t xml:space="preserve"> </w:t>
      </w:r>
      <w:proofErr w:type="spellStart"/>
      <w:r w:rsidR="008569D1" w:rsidRPr="00B533D7">
        <w:rPr>
          <w:rFonts w:ascii="Times New Roman" w:hAnsi="Times New Roman"/>
          <w:szCs w:val="24"/>
        </w:rPr>
        <w:t>tikrinimas</w:t>
      </w:r>
      <w:proofErr w:type="spellEnd"/>
      <w:r w:rsidR="008569D1" w:rsidRPr="00B533D7">
        <w:rPr>
          <w:rFonts w:ascii="Times New Roman" w:hAnsi="Times New Roman"/>
          <w:szCs w:val="24"/>
        </w:rPr>
        <w:t xml:space="preserve"> </w:t>
      </w:r>
      <w:proofErr w:type="spellStart"/>
      <w:r w:rsidR="008569D1" w:rsidRPr="00B533D7">
        <w:rPr>
          <w:rFonts w:ascii="Times New Roman" w:hAnsi="Times New Roman"/>
          <w:szCs w:val="24"/>
        </w:rPr>
        <w:t>ir</w:t>
      </w:r>
      <w:proofErr w:type="spellEnd"/>
      <w:r w:rsidR="008569D1" w:rsidRPr="00B533D7">
        <w:rPr>
          <w:rFonts w:ascii="Times New Roman" w:hAnsi="Times New Roman"/>
          <w:szCs w:val="24"/>
        </w:rPr>
        <w:t xml:space="preserve"> </w:t>
      </w:r>
      <w:proofErr w:type="spellStart"/>
      <w:r w:rsidR="008569D1" w:rsidRPr="00B533D7">
        <w:rPr>
          <w:rFonts w:ascii="Times New Roman" w:hAnsi="Times New Roman"/>
          <w:szCs w:val="24"/>
        </w:rPr>
        <w:t>analizė</w:t>
      </w:r>
      <w:proofErr w:type="spellEnd"/>
      <w:r w:rsidRPr="008569D1">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870661" w:rsidP="00025A2F">
      <w:pPr>
        <w:suppressAutoHyphens w:val="0"/>
        <w:ind w:firstLine="567"/>
        <w:jc w:val="center"/>
        <w:rPr>
          <w:rFonts w:ascii="Times New Roman" w:hAnsi="Times New Roman"/>
          <w:szCs w:val="24"/>
          <w:lang w:val="lt-LT" w:eastAsia="en-US"/>
        </w:rPr>
      </w:pPr>
      <w:r w:rsidRPr="00870661">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D33F9A">
        <w:rPr>
          <w:rFonts w:ascii="Times New Roman" w:hAnsi="Times New Roman"/>
          <w:szCs w:val="24"/>
          <w:lang w:val="lt-LT" w:eastAsia="en-US"/>
        </w:rPr>
        <w:t>indeksas „</w:t>
      </w:r>
      <w:proofErr w:type="spellStart"/>
      <w:r w:rsidR="00B533D7" w:rsidRPr="00D33F9A">
        <w:rPr>
          <w:rFonts w:ascii="Times New Roman" w:hAnsi="Times New Roman"/>
          <w:szCs w:val="24"/>
        </w:rPr>
        <w:t>Techninis</w:t>
      </w:r>
      <w:proofErr w:type="spellEnd"/>
      <w:r w:rsidR="00B533D7" w:rsidRPr="00D33F9A">
        <w:rPr>
          <w:rFonts w:ascii="Times New Roman" w:hAnsi="Times New Roman"/>
          <w:szCs w:val="24"/>
        </w:rPr>
        <w:t xml:space="preserve"> </w:t>
      </w:r>
      <w:proofErr w:type="spellStart"/>
      <w:r w:rsidR="00B533D7" w:rsidRPr="00D33F9A">
        <w:rPr>
          <w:rFonts w:ascii="Times New Roman" w:hAnsi="Times New Roman"/>
          <w:szCs w:val="24"/>
        </w:rPr>
        <w:t>tikrinimas</w:t>
      </w:r>
      <w:proofErr w:type="spellEnd"/>
      <w:r w:rsidR="00B533D7" w:rsidRPr="00D33F9A">
        <w:rPr>
          <w:rFonts w:ascii="Times New Roman" w:hAnsi="Times New Roman"/>
          <w:szCs w:val="24"/>
        </w:rPr>
        <w:t xml:space="preserve"> </w:t>
      </w:r>
      <w:proofErr w:type="spellStart"/>
      <w:r w:rsidR="00B533D7" w:rsidRPr="00D33F9A">
        <w:rPr>
          <w:rFonts w:ascii="Times New Roman" w:hAnsi="Times New Roman"/>
          <w:szCs w:val="24"/>
        </w:rPr>
        <w:t>ir</w:t>
      </w:r>
      <w:proofErr w:type="spellEnd"/>
      <w:r w:rsidR="00B533D7" w:rsidRPr="00D33F9A">
        <w:rPr>
          <w:rFonts w:ascii="Times New Roman" w:hAnsi="Times New Roman"/>
          <w:szCs w:val="24"/>
        </w:rPr>
        <w:t xml:space="preserve"> </w:t>
      </w:r>
      <w:proofErr w:type="spellStart"/>
      <w:r w:rsidR="00B533D7" w:rsidRPr="00D33F9A">
        <w:rPr>
          <w:rFonts w:ascii="Times New Roman" w:hAnsi="Times New Roman"/>
          <w:szCs w:val="24"/>
        </w:rPr>
        <w:t>analizė</w:t>
      </w:r>
      <w:proofErr w:type="spellEnd"/>
      <w:r w:rsidRPr="00D33F9A">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xml:space="preserve">)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indekso „</w:t>
      </w:r>
      <w:proofErr w:type="spellStart"/>
      <w:r w:rsidR="0068328F" w:rsidRPr="00B533D7">
        <w:rPr>
          <w:rFonts w:ascii="Times New Roman" w:hAnsi="Times New Roman"/>
          <w:szCs w:val="24"/>
        </w:rPr>
        <w:t>Techninis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tikrinimas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ir</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analizė</w:t>
      </w:r>
      <w:proofErr w:type="spellEnd"/>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870661"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eastAsia="Calibri" w:hAnsi="Times New Roman"/>
          <w:szCs w:val="24"/>
          <w:lang w:val="lt-LT" w:eastAsia="en-US"/>
        </w:rPr>
        <w:t>indeksą (</w:t>
      </w:r>
      <w:proofErr w:type="spellStart"/>
      <w:r w:rsidR="0068328F" w:rsidRPr="00B533D7">
        <w:rPr>
          <w:rFonts w:ascii="Times New Roman" w:hAnsi="Times New Roman"/>
          <w:szCs w:val="24"/>
        </w:rPr>
        <w:t>Techninis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tikrinimas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ir</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analizė</w:t>
      </w:r>
      <w:proofErr w:type="spellEnd"/>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w:lastRenderedPageBreak/>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proofErr w:type="spellStart"/>
      <w:r w:rsidR="0068328F" w:rsidRPr="00B533D7">
        <w:rPr>
          <w:rFonts w:ascii="Times New Roman" w:hAnsi="Times New Roman"/>
          <w:szCs w:val="24"/>
        </w:rPr>
        <w:t>Techninis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tikrinimas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ir</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analizė</w:t>
      </w:r>
      <w:proofErr w:type="spellEnd"/>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proofErr w:type="spellStart"/>
      <w:r w:rsidR="0068328F" w:rsidRPr="00B533D7">
        <w:rPr>
          <w:rFonts w:ascii="Times New Roman" w:hAnsi="Times New Roman"/>
          <w:szCs w:val="24"/>
        </w:rPr>
        <w:t>Techninis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tikrinimas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ir</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analizė</w:t>
      </w:r>
      <w:proofErr w:type="spellEnd"/>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proofErr w:type="spellStart"/>
      <w:r w:rsidR="0068328F" w:rsidRPr="00B533D7">
        <w:rPr>
          <w:rFonts w:ascii="Times New Roman" w:hAnsi="Times New Roman"/>
          <w:szCs w:val="24"/>
        </w:rPr>
        <w:t>Techninis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tikrinimas</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ir</w:t>
      </w:r>
      <w:proofErr w:type="spellEnd"/>
      <w:r w:rsidR="0068328F" w:rsidRPr="00B533D7">
        <w:rPr>
          <w:rFonts w:ascii="Times New Roman" w:hAnsi="Times New Roman"/>
          <w:szCs w:val="24"/>
        </w:rPr>
        <w:t xml:space="preserve"> </w:t>
      </w:r>
      <w:proofErr w:type="spellStart"/>
      <w:r w:rsidR="0068328F" w:rsidRPr="00B533D7">
        <w:rPr>
          <w:rFonts w:ascii="Times New Roman" w:hAnsi="Times New Roman"/>
          <w:szCs w:val="24"/>
        </w:rPr>
        <w:t>analizė</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00FB69B4">
        <w:rPr>
          <w:rFonts w:ascii="Times New Roman" w:hAnsi="Times New Roman"/>
          <w:szCs w:val="24"/>
          <w:lang w:val="lt-LT" w:eastAsia="en-US"/>
        </w:rPr>
        <w:t xml:space="preserv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w:t>
      </w:r>
      <w:r w:rsidR="00552917">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640D65">
        <w:rPr>
          <w:szCs w:val="24"/>
        </w:rPr>
        <w:t>___</w:t>
      </w:r>
      <w:r w:rsidR="00A249BE">
        <w:rPr>
          <w:szCs w:val="24"/>
        </w:rPr>
        <w:t xml:space="preserve">, </w:t>
      </w:r>
      <w:r w:rsidR="008C35E7">
        <w:rPr>
          <w:szCs w:val="24"/>
        </w:rPr>
        <w:t>_</w:t>
      </w:r>
      <w:r w:rsidR="00640D65">
        <w:rPr>
          <w:szCs w:val="24"/>
        </w:rPr>
        <w:t>____</w:t>
      </w:r>
      <w:r w:rsidR="00A62C95">
        <w:rPr>
          <w:szCs w:val="24"/>
        </w:rPr>
        <w:t xml:space="preserve"> </w:t>
      </w:r>
      <w:r w:rsidRPr="007F4A71">
        <w:rPr>
          <w:rFonts w:ascii="Times New Roman" w:hAnsi="Times New Roman"/>
          <w:szCs w:val="24"/>
          <w:lang w:val="lt-LT" w:eastAsia="en-US"/>
        </w:rPr>
        <w:t>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w:t>
      </w:r>
      <w:r w:rsidR="00552917">
        <w:rPr>
          <w:rFonts w:ascii="Times New Roman" w:hAnsi="Times New Roman"/>
          <w:szCs w:val="24"/>
          <w:lang w:val="lt-LT" w:eastAsia="en-US"/>
        </w:rPr>
        <w:t xml:space="preserve">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552917">
        <w:rPr>
          <w:rFonts w:ascii="Times New Roman" w:hAnsi="Times New Roman"/>
          <w:szCs w:val="24"/>
          <w:lang w:val="lt-LT" w:eastAsia="en-US"/>
        </w:rPr>
        <w:t>SABIS</w:t>
      </w:r>
      <w:r w:rsidRPr="007F4A71">
        <w:rPr>
          <w:rFonts w:ascii="Times New Roman" w:hAnsi="Times New Roman"/>
          <w:szCs w:val="24"/>
          <w:lang w:val="lt-LT" w:eastAsia="en-US"/>
        </w:rPr>
        <w:t>“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BD0563" w:rsidRPr="003D7D61">
        <w:rPr>
          <w:rFonts w:ascii="Times New Roman" w:hAnsi="Times New Roman"/>
          <w:szCs w:val="24"/>
          <w:lang w:val="lt-LT" w:eastAsia="en-US"/>
        </w:rPr>
        <w:t xml:space="preserve"> tiekiamos</w:t>
      </w:r>
      <w:r w:rsidR="003D7D61">
        <w:rPr>
          <w:rFonts w:ascii="Times New Roman" w:hAnsi="Times New Roman"/>
          <w:szCs w:val="24"/>
          <w:lang w:val="lt-LT" w:eastAsia="en-US"/>
        </w:rPr>
        <w:t xml:space="preserve"> </w:t>
      </w:r>
      <w:r w:rsidR="005E0FE9">
        <w:rPr>
          <w:rFonts w:ascii="Times New Roman" w:hAnsi="Times New Roman"/>
          <w:szCs w:val="24"/>
          <w:lang w:val="lt-LT" w:eastAsia="en-US"/>
        </w:rPr>
        <w:t>24</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sutarties kaina, priklausomai nuo to kuri sąlyga bus išpildyta pirmiau.</w:t>
      </w:r>
    </w:p>
    <w:p w:rsidR="008A6A77" w:rsidRPr="008A6A77" w:rsidRDefault="007F4A71" w:rsidP="006812FE">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8A6A77">
        <w:rPr>
          <w:rFonts w:ascii="Times New Roman" w:hAnsi="Times New Roman"/>
          <w:szCs w:val="24"/>
          <w:lang w:val="lt-LT" w:eastAsia="en-US"/>
        </w:rPr>
        <w:t xml:space="preserve">Paslaugos teikėjas </w:t>
      </w:r>
      <w:proofErr w:type="spellStart"/>
      <w:r w:rsidR="008A6A77">
        <w:rPr>
          <w:rFonts w:ascii="Times New Roman" w:hAnsi="Times New Roman"/>
          <w:color w:val="000000"/>
          <w:szCs w:val="24"/>
        </w:rPr>
        <w:t>paslaugas</w:t>
      </w:r>
      <w:proofErr w:type="spellEnd"/>
      <w:r w:rsidR="008A6A77">
        <w:rPr>
          <w:rFonts w:ascii="Times New Roman" w:hAnsi="Times New Roman"/>
          <w:color w:val="000000"/>
          <w:szCs w:val="24"/>
        </w:rPr>
        <w:t xml:space="preserve"> </w:t>
      </w:r>
      <w:proofErr w:type="spellStart"/>
      <w:r w:rsidR="008A6A77">
        <w:rPr>
          <w:rFonts w:ascii="Times New Roman" w:hAnsi="Times New Roman"/>
          <w:color w:val="000000"/>
          <w:szCs w:val="24"/>
        </w:rPr>
        <w:t>turi</w:t>
      </w:r>
      <w:proofErr w:type="spellEnd"/>
      <w:r w:rsidR="008A6A77" w:rsidRPr="008A6A77">
        <w:rPr>
          <w:rFonts w:ascii="Times New Roman" w:hAnsi="Times New Roman"/>
          <w:color w:val="000000"/>
          <w:szCs w:val="24"/>
        </w:rPr>
        <w:t xml:space="preserve"> </w:t>
      </w:r>
      <w:proofErr w:type="spellStart"/>
      <w:r w:rsidR="008A6A77">
        <w:rPr>
          <w:rFonts w:ascii="Times New Roman" w:hAnsi="Times New Roman"/>
          <w:color w:val="000000"/>
          <w:szCs w:val="24"/>
        </w:rPr>
        <w:t>suteikti</w:t>
      </w:r>
      <w:proofErr w:type="spellEnd"/>
      <w:r w:rsidR="008A6A77" w:rsidRPr="008A6A77">
        <w:rPr>
          <w:rFonts w:ascii="Times New Roman" w:hAnsi="Times New Roman"/>
          <w:color w:val="000000"/>
          <w:szCs w:val="24"/>
        </w:rPr>
        <w:t xml:space="preserve"> </w:t>
      </w:r>
      <w:r w:rsidR="008C35E7">
        <w:rPr>
          <w:rFonts w:ascii="Times New Roman" w:hAnsi="Times New Roman"/>
          <w:color w:val="000000"/>
          <w:szCs w:val="24"/>
        </w:rPr>
        <w:t xml:space="preserve">per </w:t>
      </w:r>
      <w:proofErr w:type="spellStart"/>
      <w:r w:rsidR="008C35E7">
        <w:rPr>
          <w:rFonts w:ascii="Times New Roman" w:hAnsi="Times New Roman"/>
          <w:color w:val="000000"/>
          <w:szCs w:val="24"/>
        </w:rPr>
        <w:t>su</w:t>
      </w:r>
      <w:proofErr w:type="spellEnd"/>
      <w:r w:rsidR="008C35E7">
        <w:rPr>
          <w:rFonts w:ascii="Times New Roman" w:hAnsi="Times New Roman"/>
          <w:color w:val="000000"/>
          <w:szCs w:val="24"/>
        </w:rPr>
        <w:t xml:space="preserve"> </w:t>
      </w:r>
      <w:proofErr w:type="spellStart"/>
      <w:r w:rsidR="008C35E7">
        <w:rPr>
          <w:rFonts w:ascii="Times New Roman" w:hAnsi="Times New Roman"/>
          <w:color w:val="000000"/>
          <w:szCs w:val="24"/>
        </w:rPr>
        <w:t>Paslaugos</w:t>
      </w:r>
      <w:proofErr w:type="spellEnd"/>
      <w:r w:rsidR="008C35E7">
        <w:rPr>
          <w:rFonts w:ascii="Times New Roman" w:hAnsi="Times New Roman"/>
          <w:color w:val="000000"/>
          <w:szCs w:val="24"/>
        </w:rPr>
        <w:t xml:space="preserve"> </w:t>
      </w:r>
      <w:proofErr w:type="spellStart"/>
      <w:r w:rsidR="008C35E7">
        <w:rPr>
          <w:rFonts w:ascii="Times New Roman" w:hAnsi="Times New Roman"/>
          <w:color w:val="000000"/>
          <w:szCs w:val="24"/>
        </w:rPr>
        <w:t>gavėju</w:t>
      </w:r>
      <w:proofErr w:type="spellEnd"/>
      <w:r w:rsidR="008C35E7">
        <w:rPr>
          <w:rFonts w:ascii="Times New Roman" w:hAnsi="Times New Roman"/>
          <w:color w:val="000000"/>
          <w:szCs w:val="24"/>
        </w:rPr>
        <w:t xml:space="preserve"> </w:t>
      </w:r>
      <w:proofErr w:type="spellStart"/>
      <w:r w:rsidR="008C35E7">
        <w:rPr>
          <w:rFonts w:ascii="Times New Roman" w:hAnsi="Times New Roman"/>
          <w:color w:val="000000"/>
          <w:szCs w:val="24"/>
        </w:rPr>
        <w:t>suderintus</w:t>
      </w:r>
      <w:proofErr w:type="spellEnd"/>
      <w:r w:rsidR="008C35E7">
        <w:rPr>
          <w:rFonts w:ascii="Times New Roman" w:hAnsi="Times New Roman"/>
          <w:color w:val="000000"/>
          <w:szCs w:val="24"/>
        </w:rPr>
        <w:t xml:space="preserve"> terminus.</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w:t>
      </w:r>
      <w:r w:rsidR="005F72C7">
        <w:rPr>
          <w:rFonts w:ascii="Times New Roman" w:hAnsi="Times New Roman"/>
          <w:b/>
          <w:szCs w:val="24"/>
          <w:lang w:val="lt-LT" w:eastAsia="en-US"/>
        </w:rPr>
        <w:t>aslaugų</w:t>
      </w:r>
      <w:r w:rsidR="007F4A71" w:rsidRPr="007F4A71">
        <w:rPr>
          <w:rFonts w:ascii="Times New Roman" w:hAnsi="Times New Roman"/>
          <w:b/>
          <w:szCs w:val="24"/>
          <w:lang w:val="lt-LT" w:eastAsia="en-US"/>
        </w:rPr>
        <w:t xml:space="preserve">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.1. </w:t>
      </w:r>
      <w:r w:rsidR="005F72C7">
        <w:rPr>
          <w:rFonts w:ascii="Times New Roman" w:hAnsi="Times New Roman"/>
          <w:szCs w:val="24"/>
          <w:lang w:val="lt-LT" w:eastAsia="en-US"/>
        </w:rPr>
        <w:t>Paslaugų atlikimas</w:t>
      </w:r>
      <w:r w:rsidR="007F4A71" w:rsidRPr="007F4A71">
        <w:rPr>
          <w:rFonts w:ascii="Times New Roman" w:hAnsi="Times New Roman"/>
          <w:szCs w:val="24"/>
          <w:lang w:val="lt-LT" w:eastAsia="en-US"/>
        </w:rPr>
        <w:t xml:space="preserve"> turės būti įforminamas </w:t>
      </w:r>
      <w:r w:rsidR="005F72C7">
        <w:rPr>
          <w:rFonts w:ascii="Times New Roman" w:hAnsi="Times New Roman"/>
          <w:szCs w:val="24"/>
          <w:lang w:val="lt-LT" w:eastAsia="en-US"/>
        </w:rPr>
        <w:t xml:space="preserve">paslaugų </w:t>
      </w:r>
      <w:r w:rsidR="00FE1AFA">
        <w:rPr>
          <w:rFonts w:ascii="Times New Roman" w:hAnsi="Times New Roman"/>
          <w:szCs w:val="24"/>
          <w:lang w:val="lt-LT" w:eastAsia="en-US"/>
        </w:rPr>
        <w:t>atlikimo</w:t>
      </w:r>
      <w:r w:rsidR="007F4A71" w:rsidRPr="007F4A71">
        <w:rPr>
          <w:rFonts w:ascii="Times New Roman" w:hAnsi="Times New Roman"/>
          <w:szCs w:val="24"/>
          <w:lang w:val="lt-LT" w:eastAsia="en-US"/>
        </w:rPr>
        <w:t xml:space="preserve"> aktu, kuriuo P</w:t>
      </w:r>
      <w:r w:rsidR="00FE1AFA">
        <w:rPr>
          <w:rFonts w:ascii="Times New Roman" w:hAnsi="Times New Roman"/>
          <w:szCs w:val="24"/>
          <w:lang w:val="lt-LT" w:eastAsia="en-US"/>
        </w:rPr>
        <w:t>aslaugos gavėjas</w:t>
      </w:r>
      <w:r w:rsidR="005068FC">
        <w:rPr>
          <w:rFonts w:ascii="Times New Roman" w:hAnsi="Times New Roman"/>
          <w:szCs w:val="24"/>
          <w:lang w:val="lt-LT" w:eastAsia="en-US"/>
        </w:rPr>
        <w:t xml:space="preserve"> patvirtins priėmęs, o P</w:t>
      </w:r>
      <w:r w:rsidR="00FE1AFA">
        <w:rPr>
          <w:rFonts w:ascii="Times New Roman" w:hAnsi="Times New Roman"/>
          <w:szCs w:val="24"/>
          <w:lang w:val="lt-LT" w:eastAsia="en-US"/>
        </w:rPr>
        <w:t>aslaugos teikėjas</w:t>
      </w:r>
      <w:r w:rsidR="007F4A71" w:rsidRPr="007F4A71">
        <w:rPr>
          <w:rFonts w:ascii="Times New Roman" w:hAnsi="Times New Roman"/>
          <w:szCs w:val="24"/>
          <w:lang w:val="lt-LT" w:eastAsia="en-US"/>
        </w:rPr>
        <w:t xml:space="preserve"> – </w:t>
      </w:r>
      <w:r w:rsidR="00FE1AFA">
        <w:rPr>
          <w:rFonts w:ascii="Times New Roman" w:hAnsi="Times New Roman"/>
          <w:szCs w:val="24"/>
          <w:lang w:val="lt-LT" w:eastAsia="en-US"/>
        </w:rPr>
        <w:t>atlikęs</w:t>
      </w:r>
      <w:r w:rsidR="007F4A71" w:rsidRPr="007F4A71">
        <w:rPr>
          <w:rFonts w:ascii="Times New Roman" w:hAnsi="Times New Roman"/>
          <w:szCs w:val="24"/>
          <w:lang w:val="lt-LT" w:eastAsia="en-US"/>
        </w:rPr>
        <w:t xml:space="preserve"> </w:t>
      </w:r>
      <w:r w:rsidR="00FE1AFA">
        <w:rPr>
          <w:rFonts w:ascii="Times New Roman" w:hAnsi="Times New Roman"/>
          <w:szCs w:val="24"/>
          <w:lang w:val="lt-LT" w:eastAsia="en-US"/>
        </w:rPr>
        <w:t>paslaugas</w:t>
      </w:r>
      <w:r w:rsidR="007F4A71" w:rsidRPr="007F4A71">
        <w:rPr>
          <w:rFonts w:ascii="Times New Roman" w:hAnsi="Times New Roman"/>
          <w:szCs w:val="24"/>
          <w:lang w:val="lt-LT" w:eastAsia="en-US"/>
        </w:rPr>
        <w:t xml:space="preserve">.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w:t>
      </w:r>
      <w:r w:rsidR="00FE1AFA">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atsako už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kokybę ir kompensuoja P</w:t>
      </w:r>
      <w:r w:rsidR="00FE1AFA">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visus dėl nekokybiškų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FE1AFA">
        <w:rPr>
          <w:rFonts w:ascii="Times New Roman" w:hAnsi="Times New Roman"/>
          <w:szCs w:val="24"/>
          <w:lang w:val="lt-LT" w:eastAsia="en-US"/>
        </w:rPr>
        <w:t>.3. Paslaugų</w:t>
      </w:r>
      <w:r w:rsidR="007F4A71" w:rsidRPr="007F4A71">
        <w:rPr>
          <w:rFonts w:ascii="Times New Roman" w:hAnsi="Times New Roman"/>
          <w:szCs w:val="24"/>
          <w:lang w:val="lt-LT" w:eastAsia="en-US"/>
        </w:rPr>
        <w:t xml:space="preserve"> priėmimo metu, dalyvaujant P</w:t>
      </w:r>
      <w:r w:rsidR="00FE1AFA">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atstovams, atliekamas jų kiekio ir kokybės bei komplektiškumo patikrinimas. P</w:t>
      </w:r>
      <w:r w:rsidR="00FE1AFA">
        <w:rPr>
          <w:rFonts w:ascii="Times New Roman" w:hAnsi="Times New Roman"/>
          <w:szCs w:val="24"/>
          <w:lang w:val="lt-LT" w:eastAsia="en-US"/>
        </w:rPr>
        <w:t>aslaugoms</w:t>
      </w:r>
      <w:r w:rsidR="007F4A71" w:rsidRPr="007F4A71">
        <w:rPr>
          <w:rFonts w:ascii="Times New Roman" w:hAnsi="Times New Roman"/>
          <w:szCs w:val="24"/>
          <w:lang w:val="lt-LT" w:eastAsia="en-US"/>
        </w:rPr>
        <w:t xml:space="preserve"> atitikus reikiamą kiekį, komplekt</w:t>
      </w:r>
      <w:r w:rsidR="00801D20">
        <w:rPr>
          <w:rFonts w:ascii="Times New Roman" w:hAnsi="Times New Roman"/>
          <w:szCs w:val="24"/>
          <w:lang w:val="lt-LT" w:eastAsia="en-US"/>
        </w:rPr>
        <w:t>iškumą</w:t>
      </w:r>
      <w:r w:rsidR="007F4A71" w:rsidRPr="007F4A71">
        <w:rPr>
          <w:rFonts w:ascii="Times New Roman" w:hAnsi="Times New Roman"/>
          <w:szCs w:val="24"/>
          <w:lang w:val="lt-LT" w:eastAsia="en-US"/>
        </w:rPr>
        <w:t xml:space="preserve"> ir kokybę, jos priimamos pasirašant </w:t>
      </w:r>
      <w:r w:rsidR="00FE1AFA">
        <w:rPr>
          <w:rFonts w:ascii="Times New Roman" w:hAnsi="Times New Roman"/>
          <w:szCs w:val="24"/>
          <w:lang w:val="lt-LT" w:eastAsia="en-US"/>
        </w:rPr>
        <w:t>paslaugų atlikimo</w:t>
      </w:r>
      <w:r w:rsidR="007F4A71" w:rsidRPr="007F4A71">
        <w:rPr>
          <w:rFonts w:ascii="Times New Roman" w:hAnsi="Times New Roman"/>
          <w:szCs w:val="24"/>
          <w:lang w:val="lt-LT" w:eastAsia="en-US"/>
        </w:rPr>
        <w:t xml:space="preserve">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w:t>
      </w:r>
      <w:r w:rsidR="00FE1AFA">
        <w:rPr>
          <w:rFonts w:ascii="Times New Roman" w:hAnsi="Times New Roman"/>
          <w:szCs w:val="24"/>
          <w:lang w:val="lt-LT" w:eastAsia="en-US"/>
        </w:rPr>
        <w:t xml:space="preserve">Paslaugų kokybės, kiekio ir/ ar komplektiškumo </w:t>
      </w:r>
      <w:r w:rsidR="007F4A71" w:rsidRPr="007F4A71">
        <w:rPr>
          <w:rFonts w:ascii="Times New Roman" w:hAnsi="Times New Roman"/>
          <w:szCs w:val="24"/>
          <w:lang w:val="lt-LT" w:eastAsia="en-US"/>
        </w:rPr>
        <w:t>neatitikimus pirkimo sąlygoms</w:t>
      </w:r>
      <w:r w:rsidR="00FE1AFA">
        <w:rPr>
          <w:rFonts w:ascii="Times New Roman" w:hAnsi="Times New Roman"/>
          <w:szCs w:val="24"/>
          <w:lang w:val="lt-LT" w:eastAsia="en-US"/>
        </w:rPr>
        <w:t>, standartams</w:t>
      </w:r>
      <w:r w:rsidR="007F4A71" w:rsidRPr="007F4A71">
        <w:rPr>
          <w:rFonts w:ascii="Times New Roman" w:hAnsi="Times New Roman"/>
          <w:szCs w:val="24"/>
          <w:lang w:val="lt-LT" w:eastAsia="en-US"/>
        </w:rPr>
        <w:t xml:space="preserve">,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w:t>
      </w:r>
      <w:r w:rsidR="00316F6C">
        <w:rPr>
          <w:rFonts w:ascii="Times New Roman" w:hAnsi="Times New Roman"/>
          <w:szCs w:val="24"/>
          <w:lang w:val="lt-LT" w:eastAsia="en-US"/>
        </w:rPr>
        <w:t xml:space="preserve">Apie nustatytus neatitikimus </w:t>
      </w:r>
      <w:r w:rsidR="00801D20">
        <w:rPr>
          <w:rFonts w:ascii="Times New Roman" w:hAnsi="Times New Roman"/>
          <w:szCs w:val="24"/>
          <w:lang w:val="lt-LT" w:eastAsia="en-US"/>
        </w:rPr>
        <w:t xml:space="preserve">Paslaugos gavėjas nedelsiant </w:t>
      </w:r>
      <w:r w:rsidR="00FE1AFA">
        <w:rPr>
          <w:rFonts w:ascii="Times New Roman" w:hAnsi="Times New Roman"/>
          <w:szCs w:val="24"/>
          <w:lang w:val="lt-LT" w:eastAsia="en-US"/>
        </w:rPr>
        <w:t xml:space="preserve">informuoja </w:t>
      </w:r>
      <w:r w:rsidR="007B0FFD">
        <w:rPr>
          <w:rFonts w:ascii="Times New Roman" w:hAnsi="Times New Roman"/>
          <w:szCs w:val="24"/>
          <w:lang w:val="lt-LT" w:eastAsia="en-US"/>
        </w:rPr>
        <w:t xml:space="preserve">Paslaugos teikėją Sutartyje nurodytu </w:t>
      </w:r>
      <w:r w:rsidR="00FE1AFA">
        <w:rPr>
          <w:rFonts w:ascii="Times New Roman" w:hAnsi="Times New Roman"/>
          <w:szCs w:val="24"/>
          <w:lang w:val="lt-LT" w:eastAsia="en-US"/>
        </w:rPr>
        <w:t>el. paštu ar faksu</w:t>
      </w:r>
      <w:r w:rsidR="007B0FFD">
        <w:rPr>
          <w:rFonts w:ascii="Times New Roman" w:hAnsi="Times New Roman"/>
          <w:szCs w:val="24"/>
          <w:lang w:val="lt-LT" w:eastAsia="en-US"/>
        </w:rPr>
        <w:t>.</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w:t>
      </w:r>
      <w:r w:rsidR="007B0FFD">
        <w:rPr>
          <w:rFonts w:ascii="Times New Roman" w:hAnsi="Times New Roman"/>
          <w:szCs w:val="24"/>
          <w:lang w:val="lt-LT" w:eastAsia="en-US"/>
        </w:rPr>
        <w:t xml:space="preserve">Paslaugų </w:t>
      </w:r>
      <w:r w:rsidR="007F4A71" w:rsidRPr="007F4A71">
        <w:rPr>
          <w:rFonts w:ascii="Times New Roman" w:hAnsi="Times New Roman"/>
          <w:szCs w:val="24"/>
          <w:lang w:val="lt-LT" w:eastAsia="en-US"/>
        </w:rPr>
        <w:t>priėmimo metu tarp šalių kyla ginčų nustatant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kokybės neatitikimo ar kiekio</w:t>
      </w:r>
      <w:r w:rsidR="007B0FFD">
        <w:rPr>
          <w:rFonts w:ascii="Times New Roman" w:hAnsi="Times New Roman"/>
          <w:szCs w:val="24"/>
          <w:lang w:val="lt-LT" w:eastAsia="en-US"/>
        </w:rPr>
        <w:t>, komplektiškumo</w:t>
      </w:r>
      <w:r w:rsidR="007F4A71" w:rsidRPr="007F4A71">
        <w:rPr>
          <w:rFonts w:ascii="Times New Roman" w:hAnsi="Times New Roman"/>
          <w:szCs w:val="24"/>
          <w:lang w:val="lt-LT" w:eastAsia="en-US"/>
        </w:rPr>
        <w:t xml:space="preserve">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w:t>
      </w:r>
      <w:r w:rsidR="007B0FFD">
        <w:rPr>
          <w:rFonts w:ascii="Times New Roman" w:hAnsi="Times New Roman"/>
          <w:b/>
          <w:bCs/>
          <w:szCs w:val="24"/>
          <w:lang w:val="lt-LT" w:eastAsia="en-US"/>
        </w:rPr>
        <w:t>slaugos teikėjo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w:t>
      </w:r>
      <w:r w:rsidR="005E0FE9">
        <w:rPr>
          <w:rFonts w:ascii="Times New Roman" w:hAnsi="Times New Roman"/>
          <w:szCs w:val="24"/>
          <w:lang w:val="lt-LT" w:eastAsia="en-US"/>
        </w:rPr>
        <w:t>sutartu</w:t>
      </w:r>
      <w:r w:rsidR="007F4A71" w:rsidRPr="007F4A71">
        <w:rPr>
          <w:rFonts w:ascii="Times New Roman" w:hAnsi="Times New Roman"/>
          <w:szCs w:val="24"/>
          <w:lang w:val="lt-LT" w:eastAsia="en-US"/>
        </w:rPr>
        <w:t xml:space="preserve"> terminu tiekti </w:t>
      </w:r>
      <w:r w:rsidR="007B0FFD">
        <w:rPr>
          <w:rFonts w:ascii="Times New Roman" w:hAnsi="Times New Roman"/>
          <w:szCs w:val="24"/>
          <w:lang w:val="lt-LT" w:eastAsia="en-US"/>
        </w:rPr>
        <w:t>Paslaugas</w:t>
      </w:r>
      <w:r w:rsidR="007F4A71" w:rsidRPr="007F4A71">
        <w:rPr>
          <w:rFonts w:ascii="Times New Roman" w:hAnsi="Times New Roman"/>
          <w:szCs w:val="24"/>
          <w:lang w:val="lt-LT" w:eastAsia="en-US"/>
        </w:rPr>
        <w:t>, atlikti kitus įsipareigojimus, numatytus Sutartyje;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8C35E7" w:rsidRDefault="008D2C65" w:rsidP="008C35E7">
      <w:pPr>
        <w:tabs>
          <w:tab w:val="left" w:pos="660"/>
        </w:tabs>
        <w:suppressAutoHyphens w:val="0"/>
        <w:ind w:firstLine="567"/>
        <w:jc w:val="both"/>
        <w:rPr>
          <w:rFonts w:ascii="Times New Roman" w:hAnsi="Times New Roman"/>
          <w:color w:val="000000"/>
          <w:szCs w:val="24"/>
        </w:rPr>
      </w:pPr>
      <w:r>
        <w:rPr>
          <w:rFonts w:ascii="Times New Roman" w:hAnsi="Times New Roman"/>
          <w:szCs w:val="24"/>
          <w:lang w:val="lt-LT" w:eastAsia="en-US"/>
        </w:rPr>
        <w:t>5</w:t>
      </w:r>
      <w:r w:rsidR="007F4A71" w:rsidRPr="007F4A71">
        <w:rPr>
          <w:rFonts w:ascii="Times New Roman" w:hAnsi="Times New Roman"/>
          <w:szCs w:val="24"/>
          <w:lang w:val="lt-LT" w:eastAsia="en-US"/>
        </w:rPr>
        <w:t>.1.3.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8C35E7" w:rsidRDefault="008C35E7" w:rsidP="008C35E7">
      <w:pPr>
        <w:tabs>
          <w:tab w:val="left" w:pos="660"/>
        </w:tabs>
        <w:suppressAutoHyphens w:val="0"/>
        <w:ind w:firstLine="567"/>
        <w:jc w:val="both"/>
        <w:rPr>
          <w:rFonts w:ascii="Times New Roman" w:hAnsi="Times New Roman"/>
          <w:color w:val="000000"/>
          <w:szCs w:val="24"/>
        </w:rPr>
      </w:pPr>
      <w:r>
        <w:rPr>
          <w:rFonts w:ascii="Times New Roman" w:hAnsi="Times New Roman"/>
          <w:color w:val="000000"/>
          <w:szCs w:val="24"/>
        </w:rPr>
        <w:t xml:space="preserve">5.1.4. </w:t>
      </w:r>
      <w:proofErr w:type="gramStart"/>
      <w:r w:rsidR="007F4A71" w:rsidRPr="006812FE">
        <w:rPr>
          <w:rFonts w:ascii="Times New Roman" w:hAnsi="Times New Roman"/>
          <w:szCs w:val="24"/>
          <w:lang w:val="lt-LT" w:eastAsia="en-US"/>
        </w:rPr>
        <w:t>užtikrinti</w:t>
      </w:r>
      <w:proofErr w:type="gramEnd"/>
      <w:r w:rsidR="007F4A71" w:rsidRPr="006812FE">
        <w:rPr>
          <w:rFonts w:ascii="Times New Roman" w:hAnsi="Times New Roman"/>
          <w:szCs w:val="24"/>
          <w:lang w:val="lt-LT" w:eastAsia="en-US"/>
        </w:rPr>
        <w:t xml:space="preserve">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Sutarties vykdymo metu gautos ir su Sutarties vykdymu susijusios informacijos konfidencialumą ir apsaugą. Sutarties vykdymo laikotarpio pabaigoje P</w:t>
      </w:r>
      <w:r w:rsidR="007B0FFD" w:rsidRPr="006812FE">
        <w:rPr>
          <w:rFonts w:ascii="Times New Roman" w:hAnsi="Times New Roman"/>
          <w:szCs w:val="24"/>
          <w:lang w:val="lt-LT" w:eastAsia="en-US"/>
        </w:rPr>
        <w:t>aslaugos gavėjui</w:t>
      </w:r>
      <w:r w:rsidR="007F4A71" w:rsidRPr="006812FE">
        <w:rPr>
          <w:rFonts w:ascii="Times New Roman" w:hAnsi="Times New Roman"/>
          <w:szCs w:val="24"/>
          <w:lang w:val="lt-LT" w:eastAsia="en-US"/>
        </w:rPr>
        <w:t xml:space="preserve"> paprašius raštu, grąžinti visus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5</w:t>
      </w:r>
      <w:r w:rsidR="007F4A71" w:rsidRPr="007F4A71">
        <w:rPr>
          <w:rFonts w:ascii="Times New Roman" w:hAnsi="Times New Roman"/>
          <w:szCs w:val="24"/>
          <w:lang w:val="lt-LT" w:eastAsia="en-US"/>
        </w:rPr>
        <w:t xml:space="preserve">. per </w:t>
      </w:r>
      <w:r w:rsidR="007B0FFD">
        <w:rPr>
          <w:rFonts w:ascii="Times New Roman" w:hAnsi="Times New Roman"/>
          <w:szCs w:val="24"/>
          <w:lang w:val="lt-LT" w:eastAsia="en-US"/>
        </w:rPr>
        <w:t>3</w:t>
      </w:r>
      <w:r w:rsidR="007F4A71" w:rsidRPr="007F4A71">
        <w:rPr>
          <w:rFonts w:ascii="Times New Roman" w:hAnsi="Times New Roman"/>
          <w:szCs w:val="24"/>
          <w:lang w:val="lt-LT" w:eastAsia="en-US"/>
        </w:rPr>
        <w:t xml:space="preserve"> (</w:t>
      </w:r>
      <w:r w:rsidR="007B0FFD">
        <w:rPr>
          <w:rFonts w:ascii="Times New Roman" w:hAnsi="Times New Roman"/>
          <w:szCs w:val="24"/>
          <w:lang w:val="lt-LT" w:eastAsia="en-US"/>
        </w:rPr>
        <w:t>tris</w:t>
      </w:r>
      <w:r w:rsidR="007F4A71" w:rsidRPr="007F4A71">
        <w:rPr>
          <w:rFonts w:ascii="Times New Roman" w:hAnsi="Times New Roman"/>
          <w:szCs w:val="24"/>
          <w:lang w:val="lt-LT" w:eastAsia="en-US"/>
        </w:rPr>
        <w:t>)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nuo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w:t>
      </w:r>
      <w:r w:rsidR="007B0FFD">
        <w:rPr>
          <w:rFonts w:ascii="Times New Roman" w:hAnsi="Times New Roman"/>
          <w:szCs w:val="24"/>
          <w:lang w:val="lt-LT" w:eastAsia="en-US"/>
        </w:rPr>
        <w:t>aslaugų t</w:t>
      </w:r>
      <w:r w:rsidR="007F4A71" w:rsidRPr="007F4A71">
        <w:rPr>
          <w:rFonts w:ascii="Times New Roman" w:hAnsi="Times New Roman"/>
          <w:szCs w:val="24"/>
          <w:lang w:val="lt-LT" w:eastAsia="en-US"/>
        </w:rPr>
        <w:t>e</w:t>
      </w:r>
      <w:r w:rsidR="007B0FFD">
        <w:rPr>
          <w:rFonts w:ascii="Times New Roman" w:hAnsi="Times New Roman"/>
          <w:szCs w:val="24"/>
          <w:lang w:val="lt-LT" w:eastAsia="en-US"/>
        </w:rPr>
        <w:t>i</w:t>
      </w:r>
      <w:r w:rsidR="007F4A71" w:rsidRPr="007F4A71">
        <w:rPr>
          <w:rFonts w:ascii="Times New Roman" w:hAnsi="Times New Roman"/>
          <w:szCs w:val="24"/>
          <w:lang w:val="lt-LT" w:eastAsia="en-US"/>
        </w:rPr>
        <w:t>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6</w:t>
      </w:r>
      <w:r w:rsidR="007F4A71" w:rsidRPr="007F4A71">
        <w:rPr>
          <w:rFonts w:ascii="Times New Roman" w:hAnsi="Times New Roman"/>
          <w:szCs w:val="24"/>
          <w:lang w:val="lt-LT" w:eastAsia="en-US"/>
        </w:rPr>
        <w:t>. kartu su P</w:t>
      </w:r>
      <w:r w:rsidR="007B0FFD">
        <w:rPr>
          <w:rFonts w:ascii="Times New Roman" w:hAnsi="Times New Roman"/>
          <w:szCs w:val="24"/>
          <w:lang w:val="lt-LT" w:eastAsia="en-US"/>
        </w:rPr>
        <w:t>aslaugomis</w:t>
      </w:r>
      <w:r w:rsidR="007F4A71" w:rsidRPr="007F4A71">
        <w:rPr>
          <w:rFonts w:ascii="Times New Roman" w:hAnsi="Times New Roman"/>
          <w:szCs w:val="24"/>
          <w:lang w:val="lt-LT" w:eastAsia="en-US"/>
        </w:rPr>
        <w:t xml:space="preserve"> pateikti P</w:t>
      </w:r>
      <w:r w:rsidR="007B0FFD">
        <w:rPr>
          <w:rFonts w:ascii="Times New Roman" w:hAnsi="Times New Roman"/>
          <w:szCs w:val="24"/>
          <w:lang w:val="lt-LT" w:eastAsia="en-US"/>
        </w:rPr>
        <w:t>aslaugos gavėjui visą būtiną dokumentaciją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 xml:space="preserve">ir </w:t>
      </w:r>
      <w:r w:rsidR="007F4A71" w:rsidRPr="007F4A71">
        <w:rPr>
          <w:rFonts w:ascii="Times New Roman" w:hAnsi="Times New Roman"/>
          <w:szCs w:val="24"/>
          <w:lang w:val="lt-LT" w:eastAsia="en-US"/>
        </w:rPr>
        <w:t>konsultuoti P</w:t>
      </w:r>
      <w:r w:rsidR="007B0FFD">
        <w:rPr>
          <w:rFonts w:ascii="Times New Roman" w:hAnsi="Times New Roman"/>
          <w:szCs w:val="24"/>
          <w:lang w:val="lt-LT" w:eastAsia="en-US"/>
        </w:rPr>
        <w:t>aslaugos gavėją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 P</w:t>
      </w:r>
      <w:r w:rsidR="007B0FFD">
        <w:rPr>
          <w:rFonts w:ascii="Times New Roman" w:hAnsi="Times New Roman"/>
          <w:szCs w:val="24"/>
          <w:lang w:val="lt-LT" w:eastAsia="en-US"/>
        </w:rPr>
        <w:t>aslaugomis</w:t>
      </w:r>
      <w:r>
        <w:rPr>
          <w:rFonts w:ascii="Times New Roman" w:hAnsi="Times New Roman"/>
          <w:szCs w:val="24"/>
          <w:lang w:val="lt-LT" w:eastAsia="en-US"/>
        </w:rPr>
        <w:t xml:space="preserv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7</w:t>
      </w:r>
      <w:r w:rsidR="007F4A71" w:rsidRPr="007F4A71">
        <w:rPr>
          <w:rFonts w:ascii="Times New Roman" w:hAnsi="Times New Roman"/>
          <w:szCs w:val="24"/>
          <w:lang w:val="lt-LT" w:eastAsia="en-US"/>
        </w:rPr>
        <w:t>. nenaudoti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ženklų ar pavadinimo jokioje reklamoje, leidiniuose ar kt. be išankstinio raštiško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sutikimo;</w:t>
      </w:r>
    </w:p>
    <w:p w:rsidR="007F2A4C"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8</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8C35E7">
        <w:rPr>
          <w:rFonts w:ascii="Times New Roman" w:hAnsi="Times New Roman"/>
          <w:szCs w:val="24"/>
          <w:lang w:val="lt-LT" w:eastAsia="en-US"/>
        </w:rPr>
        <w:t>9</w:t>
      </w:r>
      <w:r>
        <w:rPr>
          <w:rFonts w:ascii="Times New Roman" w:hAnsi="Times New Roman"/>
          <w:szCs w:val="24"/>
          <w:lang w:val="lt-LT" w:eastAsia="en-US"/>
        </w:rPr>
        <w:t>.</w:t>
      </w:r>
      <w:r w:rsidRPr="00801D20">
        <w:rPr>
          <w:color w:val="000000"/>
          <w:sz w:val="22"/>
          <w:szCs w:val="22"/>
        </w:rPr>
        <w:t xml:space="preserve"> </w:t>
      </w:r>
      <w:proofErr w:type="spellStart"/>
      <w:r w:rsidR="00EE6322">
        <w:rPr>
          <w:rFonts w:ascii="Times New Roman" w:hAnsi="Times New Roman"/>
          <w:color w:val="000000"/>
          <w:szCs w:val="24"/>
        </w:rPr>
        <w:t>Paslaugas</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organizuoti</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taip</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kad</w:t>
      </w:r>
      <w:proofErr w:type="spellEnd"/>
      <w:r w:rsidRPr="00801D20">
        <w:rPr>
          <w:rFonts w:ascii="Times New Roman" w:hAnsi="Times New Roman"/>
          <w:color w:val="000000"/>
          <w:szCs w:val="24"/>
        </w:rPr>
        <w:t xml:space="preserve"> </w:t>
      </w:r>
      <w:proofErr w:type="spellStart"/>
      <w:r w:rsidR="00EE6322">
        <w:rPr>
          <w:rFonts w:ascii="Times New Roman" w:hAnsi="Times New Roman"/>
          <w:color w:val="000000"/>
          <w:szCs w:val="24"/>
        </w:rPr>
        <w:t>Paslaugos</w:t>
      </w:r>
      <w:proofErr w:type="spellEnd"/>
      <w:r w:rsidR="00EE6322">
        <w:rPr>
          <w:rFonts w:ascii="Times New Roman" w:hAnsi="Times New Roman"/>
          <w:color w:val="000000"/>
          <w:szCs w:val="24"/>
        </w:rPr>
        <w:t xml:space="preserve"> </w:t>
      </w:r>
      <w:proofErr w:type="spellStart"/>
      <w:r w:rsidR="00EE6322">
        <w:rPr>
          <w:rFonts w:ascii="Times New Roman" w:hAnsi="Times New Roman"/>
          <w:color w:val="000000"/>
          <w:szCs w:val="24"/>
        </w:rPr>
        <w:t>gavėjas</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nepatirtų</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jokių</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papildomų</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nepatogumų</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ir</w:t>
      </w:r>
      <w:proofErr w:type="spellEnd"/>
      <w:r w:rsidR="00EE6322">
        <w:rPr>
          <w:rFonts w:ascii="Times New Roman" w:hAnsi="Times New Roman"/>
          <w:color w:val="000000"/>
          <w:szCs w:val="24"/>
        </w:rPr>
        <w:t xml:space="preserve">/ </w:t>
      </w:r>
      <w:proofErr w:type="spellStart"/>
      <w:r w:rsidR="00EE6322">
        <w:rPr>
          <w:rFonts w:ascii="Times New Roman" w:hAnsi="Times New Roman"/>
          <w:color w:val="000000"/>
          <w:szCs w:val="24"/>
        </w:rPr>
        <w:t>ar</w:t>
      </w:r>
      <w:proofErr w:type="spellEnd"/>
      <w:r w:rsidRPr="00801D20">
        <w:rPr>
          <w:rFonts w:ascii="Times New Roman" w:hAnsi="Times New Roman"/>
          <w:color w:val="000000"/>
          <w:szCs w:val="24"/>
        </w:rPr>
        <w:t xml:space="preserve"> </w:t>
      </w:r>
      <w:proofErr w:type="spellStart"/>
      <w:r w:rsidRPr="00801D20">
        <w:rPr>
          <w:rFonts w:ascii="Times New Roman" w:hAnsi="Times New Roman"/>
          <w:color w:val="000000"/>
          <w:szCs w:val="24"/>
        </w:rPr>
        <w:t>nuostolių</w:t>
      </w:r>
      <w:proofErr w:type="spellEnd"/>
      <w:r>
        <w:rPr>
          <w:rFonts w:ascii="Times New Roman" w:hAnsi="Times New Roman"/>
          <w:color w:val="000000"/>
          <w:szCs w:val="24"/>
        </w:rPr>
        <w:t>;</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5.1.1</w:t>
      </w:r>
      <w:r w:rsidR="008C35E7">
        <w:rPr>
          <w:rFonts w:ascii="Times New Roman" w:hAnsi="Times New Roman"/>
          <w:szCs w:val="24"/>
          <w:lang w:val="lt-LT" w:eastAsia="en-US"/>
        </w:rPr>
        <w:t>0</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 xml:space="preserve">.1.1.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kėjui</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 xml:space="preserve">nesuteikus Paslaugos per </w:t>
      </w:r>
      <w:r w:rsidR="0022116C">
        <w:rPr>
          <w:rFonts w:ascii="Times New Roman" w:hAnsi="Times New Roman"/>
          <w:szCs w:val="24"/>
          <w:lang w:val="lt-LT" w:eastAsia="en-US"/>
        </w:rPr>
        <w:t>šalių suderintą terminą</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5E0FE9">
        <w:rPr>
          <w:rFonts w:ascii="Times New Roman" w:hAnsi="Times New Roman"/>
          <w:szCs w:val="24"/>
          <w:lang w:val="lt-LT" w:eastAsia="en-US"/>
        </w:rPr>
        <w:t>5</w:t>
      </w:r>
      <w:r w:rsidR="007F4A71" w:rsidRPr="007F4A71">
        <w:rPr>
          <w:rFonts w:ascii="Times New Roman" w:hAnsi="Times New Roman"/>
          <w:szCs w:val="24"/>
          <w:lang w:val="lt-LT" w:eastAsia="en-US"/>
        </w:rPr>
        <w:t>0,00 EUR (</w:t>
      </w:r>
      <w:r w:rsidR="005E0FE9">
        <w:rPr>
          <w:rFonts w:ascii="Times New Roman" w:hAnsi="Times New Roman"/>
          <w:szCs w:val="24"/>
          <w:lang w:val="lt-LT" w:eastAsia="en-US"/>
        </w:rPr>
        <w:t>penkiasdešimt</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w:t>
      </w:r>
      <w:r w:rsidR="00542BD1">
        <w:rPr>
          <w:rFonts w:ascii="Times New Roman" w:hAnsi="Times New Roman"/>
          <w:szCs w:val="24"/>
          <w:lang w:eastAsia="en-US"/>
        </w:rPr>
        <w:t>aslaugos</w:t>
      </w:r>
      <w:proofErr w:type="spellEnd"/>
      <w:r w:rsidR="00542BD1">
        <w:rPr>
          <w:rFonts w:ascii="Times New Roman" w:hAnsi="Times New Roman"/>
          <w:szCs w:val="24"/>
          <w:lang w:eastAsia="en-US"/>
        </w:rPr>
        <w:t xml:space="preserve"> </w:t>
      </w:r>
      <w:proofErr w:type="spellStart"/>
      <w:r w:rsidR="00542BD1">
        <w:rPr>
          <w:rFonts w:ascii="Times New Roman" w:hAnsi="Times New Roman"/>
          <w:szCs w:val="24"/>
          <w:lang w:eastAsia="en-US"/>
        </w:rPr>
        <w:t>gavėjo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nesuteikia kokybiškos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paslaugos per</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3</w:t>
      </w:r>
      <w:r w:rsidR="00542BD1">
        <w:rPr>
          <w:rFonts w:ascii="Times New Roman" w:hAnsi="Times New Roman"/>
          <w:szCs w:val="24"/>
          <w:lang w:val="lt-LT" w:eastAsia="en-US"/>
        </w:rPr>
        <w:t xml:space="preserve"> </w:t>
      </w:r>
      <w:r w:rsidR="007F2A4C">
        <w:rPr>
          <w:rFonts w:ascii="Times New Roman" w:hAnsi="Times New Roman"/>
          <w:szCs w:val="24"/>
          <w:lang w:val="lt-LT" w:eastAsia="en-US"/>
        </w:rPr>
        <w:t>valandas nuo pranešimo apie nekokybiškai suteiktas paslaugas gavimo</w:t>
      </w:r>
      <w:r w:rsidR="007F4A71" w:rsidRPr="007F4A71">
        <w:rPr>
          <w:rFonts w:ascii="Times New Roman" w:hAnsi="Times New Roman"/>
          <w:szCs w:val="24"/>
          <w:lang w:val="lt-LT" w:eastAsia="en-US"/>
        </w:rPr>
        <w:t xml:space="preserve">, jis turi sumokėti </w:t>
      </w:r>
      <w:r w:rsidR="005E0FE9">
        <w:rPr>
          <w:rFonts w:ascii="Times New Roman" w:hAnsi="Times New Roman"/>
          <w:szCs w:val="24"/>
          <w:lang w:val="lt-LT" w:eastAsia="en-US"/>
        </w:rPr>
        <w:t>5</w:t>
      </w:r>
      <w:r w:rsidR="00700569" w:rsidRPr="007F4A71">
        <w:rPr>
          <w:rFonts w:ascii="Times New Roman" w:hAnsi="Times New Roman"/>
          <w:szCs w:val="24"/>
          <w:lang w:val="lt-LT" w:eastAsia="en-US"/>
        </w:rPr>
        <w:t>0,00 EUR (</w:t>
      </w:r>
      <w:r w:rsidR="005E0FE9">
        <w:rPr>
          <w:rFonts w:ascii="Times New Roman" w:hAnsi="Times New Roman"/>
          <w:szCs w:val="24"/>
          <w:lang w:val="lt-LT" w:eastAsia="en-US"/>
        </w:rPr>
        <w:t>penkiasdešimt</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1.3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5E0FE9">
        <w:rPr>
          <w:rFonts w:ascii="Times New Roman" w:hAnsi="Times New Roman"/>
          <w:szCs w:val="24"/>
          <w:lang w:val="lt-LT" w:eastAsia="en-US"/>
        </w:rPr>
        <w:t>3</w:t>
      </w:r>
      <w:r w:rsidR="006E433E" w:rsidRPr="007F4A71">
        <w:rPr>
          <w:rFonts w:ascii="Times New Roman" w:hAnsi="Times New Roman"/>
          <w:szCs w:val="24"/>
          <w:lang w:val="lt-LT" w:eastAsia="en-US"/>
        </w:rPr>
        <w:t>0,00 EUR (</w:t>
      </w:r>
      <w:r w:rsidR="005E0FE9">
        <w:rPr>
          <w:rFonts w:ascii="Times New Roman" w:hAnsi="Times New Roman"/>
          <w:szCs w:val="24"/>
          <w:lang w:val="lt-LT" w:eastAsia="en-US"/>
        </w:rPr>
        <w:t>tris</w:t>
      </w:r>
      <w:r w:rsidR="00700569">
        <w:rPr>
          <w:rFonts w:ascii="Times New Roman" w:hAnsi="Times New Roman"/>
          <w:szCs w:val="24"/>
          <w:lang w:val="lt-LT" w:eastAsia="en-US"/>
        </w:rPr>
        <w:t>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.2. Šalis, prašanti ją atleisti nuo atsakomybės, privalo pranešti kitai Šaliai raštu apie nenugalimos jėgos aplinkybes nedelsiant, bet ne vėliau kaip per 3 (tris) darbo dienas nuo tokių </w:t>
      </w:r>
      <w:r w:rsidR="007F4A71" w:rsidRPr="007F4A71">
        <w:rPr>
          <w:rFonts w:ascii="Times New Roman" w:hAnsi="Times New Roman"/>
          <w:szCs w:val="24"/>
          <w:lang w:val="lt-LT" w:eastAsia="en-US"/>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nepasitelks.</w:t>
      </w:r>
      <w:proofErr w:type="gramEnd"/>
      <w:r w:rsidRPr="007F4A71">
        <w:rPr>
          <w:rFonts w:ascii="Times New Roman" w:hAnsi="Times New Roman"/>
          <w:szCs w:val="24"/>
          <w:lang w:val="lt-LT" w:eastAsia="en-US"/>
        </w:rPr>
        <w:t xml:space="preserve"> </w:t>
      </w:r>
    </w:p>
    <w:p w:rsidR="0022116C" w:rsidRPr="007F4A71" w:rsidRDefault="0022116C"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lastRenderedPageBreak/>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 Sutarties priedai:</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 Priedas Nr. 1</w:t>
      </w:r>
      <w:r w:rsidR="00B919BC">
        <w:rPr>
          <w:rFonts w:ascii="Times New Roman" w:hAnsi="Times New Roman"/>
          <w:szCs w:val="24"/>
          <w:lang w:val="lt-LT" w:eastAsia="en-US"/>
        </w:rPr>
        <w:t xml:space="preserve"> „Paslaugų a</w:t>
      </w:r>
      <w:r w:rsidR="005E0FE9">
        <w:rPr>
          <w:rFonts w:ascii="Times New Roman" w:hAnsi="Times New Roman"/>
          <w:szCs w:val="24"/>
          <w:lang w:val="lt-LT" w:eastAsia="en-US"/>
        </w:rPr>
        <w:t>prašymas ir kaina“.</w:t>
      </w: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p w:rsidR="00E677A0" w:rsidRPr="007F4A71" w:rsidRDefault="00E677A0" w:rsidP="00EE6322">
      <w:pPr>
        <w:suppressAutoHyphens w:val="0"/>
        <w:contextualSpacing/>
        <w:jc w:val="center"/>
        <w:outlineLvl w:val="0"/>
        <w:rPr>
          <w:rFonts w:ascii="Times New Roman" w:hAnsi="Times New Roman"/>
          <w:b/>
          <w:szCs w:val="24"/>
          <w:lang w:val="lt-LT" w:eastAsia="en-US"/>
        </w:rPr>
      </w:pP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Pr="00EA604C">
              <w:rPr>
                <w:rFonts w:ascii="Times New Roman" w:hAnsi="Times New Roman"/>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banko kodas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A249BE" w:rsidRDefault="00A249BE" w:rsidP="00EE6322">
            <w:pPr>
              <w:suppressAutoHyphens w:val="0"/>
              <w:contextualSpacing/>
              <w:rPr>
                <w:rFonts w:ascii="Times New Roman" w:hAnsi="Times New Roman"/>
                <w:szCs w:val="24"/>
                <w:lang w:val="lt-LT" w:eastAsia="en-US"/>
              </w:rPr>
            </w:pPr>
          </w:p>
          <w:p w:rsidR="00936A95" w:rsidRDefault="00936A95"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00936A95">
              <w:rPr>
                <w:rFonts w:ascii="Times New Roman" w:hAnsi="Times New Roman"/>
                <w:szCs w:val="24"/>
                <w:lang w:val="lt-LT" w:eastAsia="en-US"/>
              </w:rPr>
              <w:t>______</w:t>
            </w:r>
            <w:r w:rsidRPr="00EA604C">
              <w:rPr>
                <w:rFonts w:ascii="Times New Roman" w:hAnsi="Times New Roman"/>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Default="007F4A71" w:rsidP="00EE6322">
            <w:pPr>
              <w:widowControl w:val="0"/>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teikėjas</w:t>
            </w:r>
          </w:p>
          <w:p w:rsidR="005E0FE9" w:rsidRPr="008D6DD5" w:rsidRDefault="005E0FE9" w:rsidP="005E0FE9">
            <w:pPr>
              <w:rPr>
                <w:b/>
                <w:color w:val="000000"/>
                <w:szCs w:val="24"/>
                <w:lang w:val="sv-SE"/>
              </w:rPr>
            </w:pPr>
            <w:r w:rsidRPr="008D6DD5">
              <w:rPr>
                <w:b/>
                <w:color w:val="000000"/>
                <w:szCs w:val="24"/>
                <w:lang w:val="sv-SE"/>
              </w:rPr>
              <w:t>UAB „</w:t>
            </w:r>
            <w:proofErr w:type="spellStart"/>
            <w:r w:rsidRPr="008D6DD5">
              <w:rPr>
                <w:b/>
                <w:szCs w:val="24"/>
              </w:rPr>
              <w:t>Asanmeda</w:t>
            </w:r>
            <w:proofErr w:type="spellEnd"/>
            <w:r w:rsidRPr="008D6DD5">
              <w:rPr>
                <w:b/>
                <w:color w:val="000000"/>
                <w:szCs w:val="24"/>
                <w:lang w:val="sv-SE"/>
              </w:rPr>
              <w:t>”</w:t>
            </w:r>
          </w:p>
          <w:p w:rsidR="005E0FE9" w:rsidRPr="00D026FC" w:rsidRDefault="005E0FE9" w:rsidP="005E0FE9">
            <w:pPr>
              <w:rPr>
                <w:color w:val="000000"/>
                <w:szCs w:val="24"/>
                <w:lang w:val="sv-SE"/>
              </w:rPr>
            </w:pPr>
            <w:r>
              <w:rPr>
                <w:color w:val="000000"/>
                <w:szCs w:val="24"/>
                <w:lang w:val="sv-SE"/>
              </w:rPr>
              <w:t xml:space="preserve">V.A.Graičiūno g. 4, </w:t>
            </w:r>
            <w:r w:rsidRPr="00D026FC">
              <w:rPr>
                <w:color w:val="000000"/>
                <w:szCs w:val="24"/>
                <w:lang w:val="sv-SE"/>
              </w:rPr>
              <w:t>02241, Vilnius</w:t>
            </w:r>
          </w:p>
          <w:p w:rsidR="005E0FE9" w:rsidRPr="00D026FC" w:rsidRDefault="005E0FE9" w:rsidP="005E0FE9">
            <w:pPr>
              <w:rPr>
                <w:color w:val="000000"/>
                <w:szCs w:val="24"/>
                <w:lang w:val="sv-SE"/>
              </w:rPr>
            </w:pPr>
            <w:r w:rsidRPr="00D026FC">
              <w:rPr>
                <w:color w:val="000000"/>
                <w:szCs w:val="24"/>
                <w:lang w:val="sv-SE"/>
              </w:rPr>
              <w:t>Tel. 8 5 264 9696, faks. 8 5 260 2055</w:t>
            </w:r>
          </w:p>
          <w:p w:rsidR="005E0FE9" w:rsidRPr="00D026FC" w:rsidRDefault="005E0FE9" w:rsidP="005E0FE9">
            <w:pPr>
              <w:rPr>
                <w:color w:val="000000"/>
                <w:szCs w:val="24"/>
                <w:lang w:val="en-US"/>
              </w:rPr>
            </w:pPr>
            <w:r w:rsidRPr="00D026FC">
              <w:rPr>
                <w:color w:val="000000"/>
                <w:szCs w:val="24"/>
                <w:lang w:val="sv-SE"/>
              </w:rPr>
              <w:t xml:space="preserve">El. Paštas </w:t>
            </w:r>
            <w:r w:rsidR="00870661">
              <w:rPr>
                <w:szCs w:val="24"/>
                <w:lang w:val="sv-SE"/>
              </w:rPr>
              <w:fldChar w:fldCharType="begin"/>
            </w:r>
            <w:r>
              <w:rPr>
                <w:szCs w:val="24"/>
                <w:lang w:val="sv-SE"/>
              </w:rPr>
              <w:instrText xml:space="preserve"> HYPERLINK "mailto:</w:instrText>
            </w:r>
            <w:r w:rsidRPr="008D6DD5">
              <w:rPr>
                <w:szCs w:val="24"/>
                <w:lang w:val="sv-SE"/>
              </w:rPr>
              <w:instrText>info</w:instrText>
            </w:r>
            <w:r w:rsidRPr="008D6DD5">
              <w:rPr>
                <w:szCs w:val="24"/>
                <w:lang w:val="en-US"/>
              </w:rPr>
              <w:instrText>@asanmeda.lt</w:instrText>
            </w:r>
            <w:r>
              <w:rPr>
                <w:szCs w:val="24"/>
                <w:lang w:val="sv-SE"/>
              </w:rPr>
              <w:instrText xml:space="preserve">" </w:instrText>
            </w:r>
            <w:r w:rsidR="00870661">
              <w:rPr>
                <w:szCs w:val="24"/>
                <w:lang w:val="sv-SE"/>
              </w:rPr>
              <w:fldChar w:fldCharType="separate"/>
            </w:r>
            <w:r w:rsidRPr="00F95CB5">
              <w:rPr>
                <w:rStyle w:val="Hipersaitas"/>
                <w:szCs w:val="24"/>
                <w:lang w:val="sv-SE"/>
              </w:rPr>
              <w:t>info</w:t>
            </w:r>
            <w:r w:rsidRPr="00F95CB5">
              <w:rPr>
                <w:rStyle w:val="Hipersaitas"/>
                <w:szCs w:val="24"/>
                <w:lang w:val="en-US"/>
              </w:rPr>
              <w:t>@</w:t>
            </w:r>
            <w:proofErr w:type="spellStart"/>
            <w:r w:rsidRPr="00F95CB5">
              <w:rPr>
                <w:rStyle w:val="Hipersaitas"/>
                <w:szCs w:val="24"/>
                <w:lang w:val="en-US"/>
              </w:rPr>
              <w:t>asanmeda.lt</w:t>
            </w:r>
            <w:proofErr w:type="spellEnd"/>
            <w:r w:rsidR="00870661">
              <w:rPr>
                <w:szCs w:val="24"/>
                <w:lang w:val="sv-SE"/>
              </w:rPr>
              <w:fldChar w:fldCharType="end"/>
            </w:r>
          </w:p>
          <w:p w:rsidR="005E0FE9" w:rsidRPr="00D026FC" w:rsidRDefault="005E0FE9" w:rsidP="005E0FE9">
            <w:pPr>
              <w:rPr>
                <w:color w:val="000000"/>
                <w:szCs w:val="24"/>
                <w:lang w:val="en-US"/>
              </w:rPr>
            </w:pPr>
            <w:r w:rsidRPr="00D026FC">
              <w:rPr>
                <w:color w:val="000000"/>
                <w:szCs w:val="24"/>
              </w:rPr>
              <w:t>Į</w:t>
            </w:r>
            <w:r w:rsidRPr="00D026FC">
              <w:rPr>
                <w:color w:val="000000"/>
                <w:szCs w:val="24"/>
                <w:lang w:val="en-US"/>
              </w:rPr>
              <w:t xml:space="preserve">m. </w:t>
            </w:r>
            <w:proofErr w:type="spellStart"/>
            <w:r w:rsidRPr="00D026FC">
              <w:rPr>
                <w:color w:val="000000"/>
                <w:szCs w:val="24"/>
                <w:lang w:val="en-US"/>
              </w:rPr>
              <w:t>kodas</w:t>
            </w:r>
            <w:proofErr w:type="spellEnd"/>
            <w:r w:rsidRPr="00D026FC">
              <w:rPr>
                <w:color w:val="000000"/>
                <w:szCs w:val="24"/>
                <w:lang w:val="en-US"/>
              </w:rPr>
              <w:t xml:space="preserve"> 221906050</w:t>
            </w:r>
          </w:p>
          <w:p w:rsidR="005E0FE9" w:rsidRPr="00D026FC" w:rsidRDefault="005E0FE9" w:rsidP="005E0FE9">
            <w:pPr>
              <w:rPr>
                <w:color w:val="000000"/>
                <w:szCs w:val="24"/>
                <w:lang w:val="en-US"/>
              </w:rPr>
            </w:pPr>
            <w:r>
              <w:rPr>
                <w:color w:val="000000"/>
                <w:szCs w:val="24"/>
                <w:lang w:val="en-US"/>
              </w:rPr>
              <w:t xml:space="preserve">A/s LT </w:t>
            </w:r>
          </w:p>
          <w:p w:rsidR="005E0FE9" w:rsidRPr="00D026FC" w:rsidRDefault="005E0FE9" w:rsidP="005E0FE9">
            <w:pPr>
              <w:rPr>
                <w:color w:val="000000"/>
                <w:szCs w:val="24"/>
                <w:lang w:val="en-US"/>
              </w:rPr>
            </w:pPr>
            <w:proofErr w:type="spellStart"/>
            <w:r w:rsidRPr="00D026FC">
              <w:rPr>
                <w:color w:val="000000"/>
                <w:szCs w:val="24"/>
                <w:lang w:val="en-US"/>
              </w:rPr>
              <w:t>bankas</w:t>
            </w:r>
            <w:proofErr w:type="spellEnd"/>
            <w:r w:rsidRPr="00D026FC">
              <w:rPr>
                <w:color w:val="000000"/>
                <w:szCs w:val="24"/>
                <w:lang w:val="en-US"/>
              </w:rPr>
              <w:t>, b</w:t>
            </w:r>
            <w:r>
              <w:rPr>
                <w:color w:val="000000"/>
                <w:szCs w:val="24"/>
                <w:lang w:val="en-US"/>
              </w:rPr>
              <w:t>/</w:t>
            </w:r>
            <w:r w:rsidRPr="00D026FC">
              <w:rPr>
                <w:color w:val="000000"/>
                <w:szCs w:val="24"/>
                <w:lang w:val="en-US"/>
              </w:rPr>
              <w:t xml:space="preserve">k </w:t>
            </w:r>
          </w:p>
          <w:p w:rsidR="005E0FE9" w:rsidRDefault="005E0FE9" w:rsidP="005E0FE9">
            <w:pPr>
              <w:rPr>
                <w:color w:val="000000"/>
                <w:szCs w:val="24"/>
                <w:lang w:val="en-US"/>
              </w:rPr>
            </w:pPr>
          </w:p>
          <w:p w:rsidR="005E0FE9" w:rsidRPr="00D026FC" w:rsidRDefault="005E0FE9" w:rsidP="005E0FE9">
            <w:pPr>
              <w:rPr>
                <w:color w:val="000000"/>
                <w:szCs w:val="24"/>
                <w:lang w:val="en-US"/>
              </w:rPr>
            </w:pPr>
          </w:p>
          <w:p w:rsidR="005E0FE9" w:rsidRPr="00D026FC" w:rsidRDefault="005E0FE9" w:rsidP="005E0FE9">
            <w:pPr>
              <w:rPr>
                <w:color w:val="000000"/>
                <w:szCs w:val="24"/>
                <w:lang w:val="en-US"/>
              </w:rPr>
            </w:pPr>
            <w:proofErr w:type="spellStart"/>
            <w:r w:rsidRPr="00D026FC">
              <w:rPr>
                <w:color w:val="000000"/>
                <w:szCs w:val="24"/>
                <w:lang w:val="en-US"/>
              </w:rPr>
              <w:t>Generalinis</w:t>
            </w:r>
            <w:proofErr w:type="spellEnd"/>
            <w:r w:rsidRPr="00D026FC">
              <w:rPr>
                <w:color w:val="000000"/>
                <w:szCs w:val="24"/>
                <w:lang w:val="en-US"/>
              </w:rPr>
              <w:t xml:space="preserve"> </w:t>
            </w:r>
            <w:proofErr w:type="spellStart"/>
            <w:r w:rsidRPr="00D026FC">
              <w:rPr>
                <w:color w:val="000000"/>
                <w:szCs w:val="24"/>
                <w:lang w:val="en-US"/>
              </w:rPr>
              <w:t>direktorius</w:t>
            </w:r>
            <w:proofErr w:type="spellEnd"/>
          </w:p>
          <w:p w:rsidR="005E0FE9" w:rsidRPr="00D026FC" w:rsidRDefault="005E0FE9" w:rsidP="005E0FE9">
            <w:pPr>
              <w:rPr>
                <w:color w:val="000000"/>
                <w:szCs w:val="24"/>
                <w:lang w:val="en-US"/>
              </w:rPr>
            </w:pPr>
            <w:proofErr w:type="spellStart"/>
            <w:r>
              <w:rPr>
                <w:color w:val="000000"/>
                <w:szCs w:val="24"/>
                <w:lang w:val="en-US"/>
              </w:rPr>
              <w:t>Virginijus</w:t>
            </w:r>
            <w:proofErr w:type="spellEnd"/>
            <w:r>
              <w:rPr>
                <w:color w:val="000000"/>
                <w:szCs w:val="24"/>
                <w:lang w:val="en-US"/>
              </w:rPr>
              <w:t xml:space="preserve"> </w:t>
            </w:r>
            <w:proofErr w:type="spellStart"/>
            <w:r>
              <w:rPr>
                <w:color w:val="000000"/>
                <w:szCs w:val="24"/>
                <w:lang w:val="en-US"/>
              </w:rPr>
              <w:t>Domarkas</w:t>
            </w:r>
            <w:proofErr w:type="spellEnd"/>
            <w:r>
              <w:rPr>
                <w:color w:val="000000"/>
                <w:szCs w:val="24"/>
                <w:lang w:val="en-US"/>
              </w:rPr>
              <w:t>______</w:t>
            </w:r>
          </w:p>
          <w:p w:rsidR="00A62C95" w:rsidRPr="00A62C95" w:rsidRDefault="00A62C95" w:rsidP="00A62C95">
            <w:pPr>
              <w:rPr>
                <w:lang w:val="lt-LT" w:eastAsia="en-US"/>
              </w:rPr>
            </w:pPr>
          </w:p>
        </w:tc>
      </w:tr>
    </w:tbl>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lastRenderedPageBreak/>
        <w:t>Sutarties 202</w:t>
      </w:r>
      <w:r w:rsidR="00936A95">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936A95">
        <w:rPr>
          <w:rFonts w:ascii="Times New Roman" w:eastAsia="Calibri" w:hAnsi="Times New Roman"/>
          <w:sz w:val="22"/>
          <w:szCs w:val="22"/>
          <w:lang w:val="lt-LT" w:eastAsia="en-US"/>
        </w:rPr>
        <w:t xml:space="preserve">gruodžio </w:t>
      </w:r>
      <w:r w:rsidR="00C9540D">
        <w:rPr>
          <w:rFonts w:ascii="Times New Roman" w:eastAsia="Calibri" w:hAnsi="Times New Roman"/>
          <w:sz w:val="22"/>
          <w:szCs w:val="22"/>
          <w:lang w:val="lt-LT" w:eastAsia="en-US"/>
        </w:rPr>
        <w:t>15</w:t>
      </w:r>
      <w:r w:rsidR="00936A95">
        <w:rPr>
          <w:rFonts w:ascii="Times New Roman" w:eastAsia="Calibri" w:hAnsi="Times New Roman"/>
          <w:sz w:val="22"/>
          <w:szCs w:val="22"/>
          <w:lang w:val="lt-LT" w:eastAsia="en-US"/>
        </w:rPr>
        <w:t xml:space="preserve"> </w:t>
      </w:r>
      <w:r>
        <w:rPr>
          <w:rFonts w:ascii="Times New Roman" w:eastAsia="Calibri" w:hAnsi="Times New Roman"/>
          <w:sz w:val="22"/>
          <w:szCs w:val="22"/>
          <w:lang w:val="lt-LT" w:eastAsia="en-US"/>
        </w:rPr>
        <w:t xml:space="preserve"> d. Nr. </w:t>
      </w:r>
      <w:r w:rsidR="00F3152D">
        <w:rPr>
          <w:rFonts w:ascii="Times New Roman" w:eastAsia="Calibri" w:hAnsi="Times New Roman"/>
          <w:sz w:val="22"/>
          <w:szCs w:val="22"/>
          <w:lang w:val="lt-LT" w:eastAsia="en-US"/>
        </w:rPr>
        <w:t>LS-</w:t>
      </w:r>
      <w:r w:rsidR="009867F9">
        <w:rPr>
          <w:rFonts w:ascii="Times New Roman" w:eastAsia="Calibri" w:hAnsi="Times New Roman"/>
          <w:sz w:val="22"/>
          <w:szCs w:val="22"/>
          <w:lang w:val="lt-LT" w:eastAsia="en-US"/>
        </w:rPr>
        <w:t>133</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F3152D">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79466D" w:rsidRDefault="00B919BC" w:rsidP="0079466D">
      <w:pPr>
        <w:suppressAutoHyphens w:val="0"/>
        <w:autoSpaceDE w:val="0"/>
        <w:autoSpaceDN w:val="0"/>
        <w:adjustRightInd w:val="0"/>
        <w:jc w:val="center"/>
        <w:rPr>
          <w:rFonts w:ascii="Times New Roman" w:hAnsi="Times New Roman"/>
          <w:b/>
          <w:color w:val="000000"/>
          <w:szCs w:val="24"/>
          <w:lang w:eastAsia="en-US"/>
        </w:rPr>
      </w:pPr>
      <w:r>
        <w:rPr>
          <w:rFonts w:ascii="Times New Roman" w:hAnsi="Times New Roman"/>
          <w:b/>
          <w:color w:val="000000"/>
          <w:szCs w:val="24"/>
          <w:lang w:eastAsia="en-US"/>
        </w:rPr>
        <w:t xml:space="preserve">PASLAUGŲ </w:t>
      </w:r>
      <w:r w:rsidR="00936A95">
        <w:rPr>
          <w:rFonts w:ascii="Times New Roman" w:hAnsi="Times New Roman"/>
          <w:b/>
          <w:color w:val="000000"/>
          <w:szCs w:val="24"/>
          <w:lang w:eastAsia="en-US"/>
        </w:rPr>
        <w:t>APRAŠYMAS IR KAINA</w:t>
      </w:r>
    </w:p>
    <w:p w:rsidR="0079466D" w:rsidRPr="0079466D" w:rsidRDefault="0079466D" w:rsidP="0079466D">
      <w:pPr>
        <w:suppressAutoHyphens w:val="0"/>
        <w:ind w:firstLine="720"/>
        <w:jc w:val="both"/>
        <w:rPr>
          <w:rFonts w:ascii="Times New Roman" w:hAnsi="Times New Roman"/>
          <w:lang w:val="lt-LT" w:eastAsia="en-US"/>
        </w:rPr>
      </w:pPr>
    </w:p>
    <w:p w:rsidR="00FC4323" w:rsidRPr="006E433E" w:rsidRDefault="00FC4323" w:rsidP="006E433E">
      <w:pPr>
        <w:suppressAutoHyphens w:val="0"/>
        <w:ind w:firstLine="720"/>
        <w:rPr>
          <w:rFonts w:ascii="Times New Roman" w:hAnsi="Times New Roman"/>
          <w:lang w:val="lt-LT" w:eastAsia="en-US"/>
        </w:rPr>
      </w:pPr>
    </w:p>
    <w:tbl>
      <w:tblPr>
        <w:tblStyle w:val="Lentelstinklelis"/>
        <w:tblW w:w="0" w:type="auto"/>
        <w:tblLayout w:type="fixed"/>
        <w:tblLook w:val="04A0"/>
      </w:tblPr>
      <w:tblGrid>
        <w:gridCol w:w="886"/>
        <w:gridCol w:w="4325"/>
        <w:gridCol w:w="1701"/>
        <w:gridCol w:w="1560"/>
        <w:gridCol w:w="1291"/>
      </w:tblGrid>
      <w:tr w:rsidR="00936A95" w:rsidTr="00A514D7">
        <w:trPr>
          <w:trHeight w:val="769"/>
        </w:trPr>
        <w:tc>
          <w:tcPr>
            <w:tcW w:w="886"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Eil. Nr.</w:t>
            </w:r>
          </w:p>
        </w:tc>
        <w:tc>
          <w:tcPr>
            <w:tcW w:w="4325"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Paslaugų pavadinimas</w:t>
            </w:r>
          </w:p>
        </w:tc>
        <w:tc>
          <w:tcPr>
            <w:tcW w:w="1701"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Preliminarus kiekis per 24 mėnesius</w:t>
            </w:r>
          </w:p>
        </w:tc>
        <w:tc>
          <w:tcPr>
            <w:tcW w:w="1560"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 xml:space="preserve">Įkainis </w:t>
            </w:r>
            <w:proofErr w:type="spellStart"/>
            <w:r>
              <w:rPr>
                <w:rFonts w:ascii="Times New Roman" w:eastAsia="Calibri" w:hAnsi="Times New Roman"/>
                <w:lang w:val="lt-LT" w:eastAsia="en-US"/>
              </w:rPr>
              <w:t>Eur</w:t>
            </w:r>
            <w:proofErr w:type="spellEnd"/>
            <w:r>
              <w:rPr>
                <w:rFonts w:ascii="Times New Roman" w:eastAsia="Calibri" w:hAnsi="Times New Roman"/>
                <w:lang w:val="lt-LT" w:eastAsia="en-US"/>
              </w:rPr>
              <w:t xml:space="preserve"> be PVM</w:t>
            </w:r>
          </w:p>
        </w:tc>
        <w:tc>
          <w:tcPr>
            <w:tcW w:w="1291"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 xml:space="preserve">Bendra vertė </w:t>
            </w:r>
            <w:proofErr w:type="spellStart"/>
            <w:r>
              <w:rPr>
                <w:rFonts w:ascii="Times New Roman" w:eastAsia="Calibri" w:hAnsi="Times New Roman"/>
                <w:lang w:val="lt-LT" w:eastAsia="en-US"/>
              </w:rPr>
              <w:t>Eur</w:t>
            </w:r>
            <w:proofErr w:type="spellEnd"/>
            <w:r>
              <w:rPr>
                <w:rFonts w:ascii="Times New Roman" w:eastAsia="Calibri" w:hAnsi="Times New Roman"/>
                <w:lang w:val="lt-LT" w:eastAsia="en-US"/>
              </w:rPr>
              <w:t xml:space="preserve"> be PVM</w:t>
            </w:r>
          </w:p>
        </w:tc>
      </w:tr>
      <w:tr w:rsidR="00936A95" w:rsidTr="00A514D7">
        <w:trPr>
          <w:trHeight w:val="252"/>
        </w:trPr>
        <w:tc>
          <w:tcPr>
            <w:tcW w:w="886"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1</w:t>
            </w:r>
          </w:p>
        </w:tc>
        <w:tc>
          <w:tcPr>
            <w:tcW w:w="4325"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 xml:space="preserve">Rentgeno aparatas </w:t>
            </w:r>
            <w:proofErr w:type="spellStart"/>
            <w:r>
              <w:rPr>
                <w:rFonts w:ascii="Times New Roman" w:eastAsia="Calibri" w:hAnsi="Times New Roman"/>
                <w:lang w:val="lt-LT" w:eastAsia="en-US"/>
              </w:rPr>
              <w:t>Radiography</w:t>
            </w:r>
            <w:proofErr w:type="spellEnd"/>
            <w:r>
              <w:rPr>
                <w:rFonts w:ascii="Times New Roman" w:eastAsia="Calibri" w:hAnsi="Times New Roman"/>
                <w:lang w:val="lt-LT" w:eastAsia="en-US"/>
              </w:rPr>
              <w:t xml:space="preserve"> 7300C</w:t>
            </w:r>
          </w:p>
        </w:tc>
        <w:tc>
          <w:tcPr>
            <w:tcW w:w="1701" w:type="dxa"/>
          </w:tcPr>
          <w:p w:rsidR="00936A95" w:rsidRDefault="00936A95" w:rsidP="00A514D7">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2 (metin</w:t>
            </w:r>
            <w:r w:rsidR="00A514D7">
              <w:rPr>
                <w:rFonts w:ascii="Times New Roman" w:eastAsia="Calibri" w:hAnsi="Times New Roman"/>
                <w:lang w:val="lt-LT" w:eastAsia="en-US"/>
              </w:rPr>
              <w:t>iai</w:t>
            </w:r>
            <w:r>
              <w:rPr>
                <w:rFonts w:ascii="Times New Roman" w:eastAsia="Calibri" w:hAnsi="Times New Roman"/>
                <w:lang w:val="lt-LT" w:eastAsia="en-US"/>
              </w:rPr>
              <w:t>)</w:t>
            </w:r>
          </w:p>
        </w:tc>
        <w:tc>
          <w:tcPr>
            <w:tcW w:w="1560" w:type="dxa"/>
          </w:tcPr>
          <w:p w:rsidR="00936A95"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79,00</w:t>
            </w:r>
          </w:p>
        </w:tc>
        <w:tc>
          <w:tcPr>
            <w:tcW w:w="1291" w:type="dxa"/>
          </w:tcPr>
          <w:p w:rsidR="00936A95" w:rsidRDefault="00C9540D"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158,00</w:t>
            </w:r>
          </w:p>
        </w:tc>
      </w:tr>
      <w:tr w:rsidR="00936A95" w:rsidTr="00A514D7">
        <w:trPr>
          <w:trHeight w:val="266"/>
        </w:trPr>
        <w:tc>
          <w:tcPr>
            <w:tcW w:w="886"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2</w:t>
            </w:r>
          </w:p>
        </w:tc>
        <w:tc>
          <w:tcPr>
            <w:tcW w:w="4325" w:type="dxa"/>
          </w:tcPr>
          <w:p w:rsidR="00936A95" w:rsidRDefault="00936A95">
            <w:r w:rsidRPr="00D83111">
              <w:rPr>
                <w:rFonts w:ascii="Times New Roman" w:eastAsia="Calibri" w:hAnsi="Times New Roman"/>
                <w:lang w:val="lt-LT" w:eastAsia="en-US"/>
              </w:rPr>
              <w:t xml:space="preserve">Rentgeno aparatas </w:t>
            </w:r>
            <w:proofErr w:type="spellStart"/>
            <w:r w:rsidRPr="00D83111">
              <w:rPr>
                <w:rFonts w:ascii="Times New Roman" w:eastAsia="Calibri" w:hAnsi="Times New Roman"/>
                <w:lang w:val="lt-LT" w:eastAsia="en-US"/>
              </w:rPr>
              <w:t>Radiography</w:t>
            </w:r>
            <w:proofErr w:type="spellEnd"/>
            <w:r w:rsidRPr="00D83111">
              <w:rPr>
                <w:rFonts w:ascii="Times New Roman" w:eastAsia="Calibri" w:hAnsi="Times New Roman"/>
                <w:lang w:val="lt-LT" w:eastAsia="en-US"/>
              </w:rPr>
              <w:t xml:space="preserve"> 7300C</w:t>
            </w:r>
          </w:p>
        </w:tc>
        <w:tc>
          <w:tcPr>
            <w:tcW w:w="1701" w:type="dxa"/>
          </w:tcPr>
          <w:p w:rsidR="00936A95" w:rsidRDefault="00936A95" w:rsidP="00A514D7">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8 (ketvirtin</w:t>
            </w:r>
            <w:r w:rsidR="00A514D7">
              <w:rPr>
                <w:rFonts w:ascii="Times New Roman" w:eastAsia="Calibri" w:hAnsi="Times New Roman"/>
                <w:lang w:val="lt-LT" w:eastAsia="en-US"/>
              </w:rPr>
              <w:t>iai</w:t>
            </w:r>
            <w:r>
              <w:rPr>
                <w:rFonts w:ascii="Times New Roman" w:eastAsia="Calibri" w:hAnsi="Times New Roman"/>
                <w:lang w:val="lt-LT" w:eastAsia="en-US"/>
              </w:rPr>
              <w:t>)</w:t>
            </w:r>
          </w:p>
        </w:tc>
        <w:tc>
          <w:tcPr>
            <w:tcW w:w="1560" w:type="dxa"/>
          </w:tcPr>
          <w:p w:rsidR="00936A95"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45,00</w:t>
            </w:r>
          </w:p>
        </w:tc>
        <w:tc>
          <w:tcPr>
            <w:tcW w:w="1291" w:type="dxa"/>
          </w:tcPr>
          <w:p w:rsidR="00936A95" w:rsidRDefault="00C9540D"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360,00</w:t>
            </w:r>
          </w:p>
        </w:tc>
      </w:tr>
      <w:tr w:rsidR="00936A95" w:rsidTr="00A514D7">
        <w:trPr>
          <w:trHeight w:val="252"/>
        </w:trPr>
        <w:tc>
          <w:tcPr>
            <w:tcW w:w="886" w:type="dxa"/>
          </w:tcPr>
          <w:p w:rsidR="00936A95" w:rsidRDefault="00936A95"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3</w:t>
            </w:r>
          </w:p>
        </w:tc>
        <w:tc>
          <w:tcPr>
            <w:tcW w:w="4325" w:type="dxa"/>
          </w:tcPr>
          <w:p w:rsidR="00936A95" w:rsidRDefault="00936A95">
            <w:r w:rsidRPr="00D83111">
              <w:rPr>
                <w:rFonts w:ascii="Times New Roman" w:eastAsia="Calibri" w:hAnsi="Times New Roman"/>
                <w:lang w:val="lt-LT" w:eastAsia="en-US"/>
              </w:rPr>
              <w:t xml:space="preserve">Rentgeno aparatas </w:t>
            </w:r>
            <w:proofErr w:type="spellStart"/>
            <w:r w:rsidRPr="00D83111">
              <w:rPr>
                <w:rFonts w:ascii="Times New Roman" w:eastAsia="Calibri" w:hAnsi="Times New Roman"/>
                <w:lang w:val="lt-LT" w:eastAsia="en-US"/>
              </w:rPr>
              <w:t>Radiography</w:t>
            </w:r>
            <w:proofErr w:type="spellEnd"/>
            <w:r w:rsidRPr="00D83111">
              <w:rPr>
                <w:rFonts w:ascii="Times New Roman" w:eastAsia="Calibri" w:hAnsi="Times New Roman"/>
                <w:lang w:val="lt-LT" w:eastAsia="en-US"/>
              </w:rPr>
              <w:t xml:space="preserve"> 7300C</w:t>
            </w:r>
          </w:p>
        </w:tc>
        <w:tc>
          <w:tcPr>
            <w:tcW w:w="1701" w:type="dxa"/>
          </w:tcPr>
          <w:p w:rsidR="00936A95" w:rsidRDefault="00936A95" w:rsidP="00A514D7">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24 (mėnesin</w:t>
            </w:r>
            <w:r w:rsidR="00A514D7">
              <w:rPr>
                <w:rFonts w:ascii="Times New Roman" w:eastAsia="Calibri" w:hAnsi="Times New Roman"/>
                <w:lang w:val="lt-LT" w:eastAsia="en-US"/>
              </w:rPr>
              <w:t>iai</w:t>
            </w:r>
            <w:r>
              <w:rPr>
                <w:rFonts w:ascii="Times New Roman" w:eastAsia="Calibri" w:hAnsi="Times New Roman"/>
                <w:lang w:val="lt-LT" w:eastAsia="en-US"/>
              </w:rPr>
              <w:t>)</w:t>
            </w:r>
          </w:p>
        </w:tc>
        <w:tc>
          <w:tcPr>
            <w:tcW w:w="1560" w:type="dxa"/>
          </w:tcPr>
          <w:p w:rsidR="00936A95"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50,00</w:t>
            </w:r>
          </w:p>
        </w:tc>
        <w:tc>
          <w:tcPr>
            <w:tcW w:w="1291" w:type="dxa"/>
          </w:tcPr>
          <w:p w:rsidR="00936A95" w:rsidRDefault="00C9540D" w:rsidP="00936A95">
            <w:pPr>
              <w:suppressAutoHyphens w:val="0"/>
              <w:contextualSpacing/>
              <w:jc w:val="both"/>
              <w:rPr>
                <w:rFonts w:ascii="Times New Roman" w:eastAsia="Calibri" w:hAnsi="Times New Roman"/>
                <w:lang w:val="lt-LT" w:eastAsia="en-US"/>
              </w:rPr>
            </w:pPr>
            <w:r>
              <w:rPr>
                <w:rFonts w:ascii="Times New Roman" w:eastAsia="Calibri" w:hAnsi="Times New Roman"/>
                <w:lang w:val="lt-LT" w:eastAsia="en-US"/>
              </w:rPr>
              <w:t>1200,00</w:t>
            </w:r>
          </w:p>
        </w:tc>
      </w:tr>
      <w:tr w:rsidR="00C9540D" w:rsidTr="00A514D7">
        <w:trPr>
          <w:trHeight w:val="266"/>
        </w:trPr>
        <w:tc>
          <w:tcPr>
            <w:tcW w:w="8472" w:type="dxa"/>
            <w:gridSpan w:val="4"/>
          </w:tcPr>
          <w:p w:rsidR="00C9540D" w:rsidRDefault="00C9540D" w:rsidP="00C9540D">
            <w:pPr>
              <w:suppressAutoHyphens w:val="0"/>
              <w:contextualSpacing/>
              <w:jc w:val="right"/>
              <w:rPr>
                <w:rFonts w:ascii="Times New Roman" w:eastAsia="Calibri" w:hAnsi="Times New Roman"/>
                <w:lang w:val="lt-LT" w:eastAsia="en-US"/>
              </w:rPr>
            </w:pPr>
            <w:r>
              <w:rPr>
                <w:rFonts w:ascii="Times New Roman" w:eastAsia="Calibri" w:hAnsi="Times New Roman"/>
                <w:lang w:val="lt-LT" w:eastAsia="en-US"/>
              </w:rPr>
              <w:t>Bendra vertė be PVM</w:t>
            </w:r>
          </w:p>
        </w:tc>
        <w:tc>
          <w:tcPr>
            <w:tcW w:w="1291" w:type="dxa"/>
          </w:tcPr>
          <w:p w:rsidR="00C9540D"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1718,00</w:t>
            </w:r>
          </w:p>
        </w:tc>
      </w:tr>
      <w:tr w:rsidR="00C9540D" w:rsidTr="00A514D7">
        <w:trPr>
          <w:trHeight w:val="266"/>
        </w:trPr>
        <w:tc>
          <w:tcPr>
            <w:tcW w:w="8472" w:type="dxa"/>
            <w:gridSpan w:val="4"/>
          </w:tcPr>
          <w:p w:rsidR="00C9540D" w:rsidRDefault="00C9540D" w:rsidP="00C9540D">
            <w:pPr>
              <w:suppressAutoHyphens w:val="0"/>
              <w:contextualSpacing/>
              <w:jc w:val="right"/>
              <w:rPr>
                <w:rFonts w:ascii="Times New Roman" w:eastAsia="Calibri" w:hAnsi="Times New Roman"/>
                <w:lang w:val="lt-LT" w:eastAsia="en-US"/>
              </w:rPr>
            </w:pPr>
            <w:r>
              <w:rPr>
                <w:rFonts w:ascii="Times New Roman" w:eastAsia="Calibri" w:hAnsi="Times New Roman"/>
                <w:lang w:val="lt-LT" w:eastAsia="en-US"/>
              </w:rPr>
              <w:t>PVM 21 proc.</w:t>
            </w:r>
          </w:p>
        </w:tc>
        <w:tc>
          <w:tcPr>
            <w:tcW w:w="1291" w:type="dxa"/>
          </w:tcPr>
          <w:p w:rsidR="00C9540D"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360,78</w:t>
            </w:r>
          </w:p>
        </w:tc>
      </w:tr>
      <w:tr w:rsidR="00C9540D" w:rsidTr="00A514D7">
        <w:trPr>
          <w:trHeight w:val="266"/>
        </w:trPr>
        <w:tc>
          <w:tcPr>
            <w:tcW w:w="8472" w:type="dxa"/>
            <w:gridSpan w:val="4"/>
          </w:tcPr>
          <w:p w:rsidR="00C9540D" w:rsidRDefault="00C9540D" w:rsidP="00C9540D">
            <w:pPr>
              <w:suppressAutoHyphens w:val="0"/>
              <w:contextualSpacing/>
              <w:jc w:val="right"/>
              <w:rPr>
                <w:rFonts w:ascii="Times New Roman" w:eastAsia="Calibri" w:hAnsi="Times New Roman"/>
                <w:lang w:val="lt-LT" w:eastAsia="en-US"/>
              </w:rPr>
            </w:pPr>
            <w:r>
              <w:rPr>
                <w:rFonts w:ascii="Times New Roman" w:eastAsia="Calibri" w:hAnsi="Times New Roman"/>
                <w:lang w:val="lt-LT" w:eastAsia="en-US"/>
              </w:rPr>
              <w:t>Bendra vertė su PVM</w:t>
            </w:r>
          </w:p>
        </w:tc>
        <w:tc>
          <w:tcPr>
            <w:tcW w:w="1291" w:type="dxa"/>
          </w:tcPr>
          <w:p w:rsidR="00C9540D" w:rsidRPr="00C9540D" w:rsidRDefault="00C9540D" w:rsidP="00936A95">
            <w:pPr>
              <w:suppressAutoHyphens w:val="0"/>
              <w:contextualSpacing/>
              <w:jc w:val="both"/>
              <w:rPr>
                <w:rFonts w:ascii="Times New Roman" w:eastAsia="Calibri" w:hAnsi="Times New Roman"/>
                <w:b/>
                <w:lang w:val="lt-LT" w:eastAsia="en-US"/>
              </w:rPr>
            </w:pPr>
            <w:r w:rsidRPr="00C9540D">
              <w:rPr>
                <w:rFonts w:ascii="Times New Roman" w:eastAsia="Calibri" w:hAnsi="Times New Roman"/>
                <w:b/>
                <w:lang w:val="lt-LT" w:eastAsia="en-US"/>
              </w:rPr>
              <w:t>2078,78</w:t>
            </w:r>
          </w:p>
        </w:tc>
      </w:tr>
    </w:tbl>
    <w:p w:rsidR="00FC4323" w:rsidRDefault="00FC4323" w:rsidP="00936A95">
      <w:pPr>
        <w:suppressAutoHyphens w:val="0"/>
        <w:ind w:firstLine="567"/>
        <w:contextualSpacing/>
        <w:jc w:val="both"/>
        <w:rPr>
          <w:rFonts w:ascii="Times New Roman" w:eastAsia="Calibri" w:hAnsi="Times New Roman"/>
          <w:sz w:val="22"/>
          <w:szCs w:val="22"/>
          <w:lang w:val="lt-LT" w:eastAsia="en-US"/>
        </w:rPr>
      </w:pPr>
    </w:p>
    <w:p w:rsidR="00936A95" w:rsidRDefault="00936A95" w:rsidP="0079466D">
      <w:pPr>
        <w:suppressAutoHyphens w:val="0"/>
        <w:ind w:left="3888" w:firstLine="1176"/>
        <w:contextualSpacing/>
        <w:rPr>
          <w:rFonts w:ascii="Times New Roman" w:eastAsia="Calibri" w:hAnsi="Times New Roman"/>
          <w:sz w:val="22"/>
          <w:szCs w:val="22"/>
          <w:lang w:val="lt-LT" w:eastAsia="en-US"/>
        </w:rPr>
      </w:pPr>
    </w:p>
    <w:p w:rsidR="00936A95" w:rsidRDefault="00936A95"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3152D" w:rsidP="00F3152D">
      <w:pPr>
        <w:suppressAutoHyphens w:val="0"/>
        <w:ind w:firstLine="567"/>
        <w:contextualSpacing/>
        <w:jc w:val="center"/>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__________________</w:t>
      </w: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4D7" w:rsidRDefault="00A514D7">
      <w:r>
        <w:separator/>
      </w:r>
    </w:p>
  </w:endnote>
  <w:endnote w:type="continuationSeparator" w:id="1">
    <w:p w:rsidR="00A514D7" w:rsidRDefault="00A51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4D7" w:rsidRDefault="00A514D7">
      <w:r>
        <w:separator/>
      </w:r>
    </w:p>
  </w:footnote>
  <w:footnote w:type="continuationSeparator" w:id="1">
    <w:p w:rsidR="00A514D7" w:rsidRDefault="00A51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D7" w:rsidRPr="007D7232" w:rsidRDefault="00870661">
    <w:pPr>
      <w:pStyle w:val="Antrats"/>
      <w:jc w:val="center"/>
      <w:rPr>
        <w:rFonts w:ascii="Times New Roman" w:hAnsi="Times New Roman"/>
      </w:rPr>
    </w:pPr>
    <w:r w:rsidRPr="007D7232">
      <w:rPr>
        <w:rFonts w:ascii="Times New Roman" w:hAnsi="Times New Roman"/>
      </w:rPr>
      <w:fldChar w:fldCharType="begin"/>
    </w:r>
    <w:r w:rsidR="00A514D7" w:rsidRPr="007D7232">
      <w:rPr>
        <w:rFonts w:ascii="Times New Roman" w:hAnsi="Times New Roman"/>
      </w:rPr>
      <w:instrText>PAGE   \* MERGEFORMAT</w:instrText>
    </w:r>
    <w:r w:rsidRPr="007D7232">
      <w:rPr>
        <w:rFonts w:ascii="Times New Roman" w:hAnsi="Times New Roman"/>
      </w:rPr>
      <w:fldChar w:fldCharType="separate"/>
    </w:r>
    <w:r w:rsidR="00F24A68" w:rsidRPr="00F24A68">
      <w:rPr>
        <w:rFonts w:ascii="Times New Roman" w:hAnsi="Times New Roman"/>
        <w:noProof/>
        <w:lang w:val="lt-LT"/>
      </w:rPr>
      <w:t>2</w:t>
    </w:r>
    <w:r w:rsidRPr="007D7232">
      <w:rPr>
        <w:rFonts w:ascii="Times New Roman" w:hAnsi="Times New Roman"/>
      </w:rPr>
      <w:fldChar w:fldCharType="end"/>
    </w:r>
  </w:p>
  <w:p w:rsidR="00A514D7" w:rsidRPr="00EE7295" w:rsidRDefault="00A514D7">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D7" w:rsidRDefault="00A514D7">
    <w:pPr>
      <w:pStyle w:val="Antrats"/>
      <w:jc w:val="center"/>
    </w:pPr>
  </w:p>
  <w:p w:rsidR="00A514D7" w:rsidRDefault="00A514D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C5968"/>
    <w:multiLevelType w:val="multilevel"/>
    <w:tmpl w:val="4D4A8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6"/>
  </w:num>
  <w:num w:numId="6">
    <w:abstractNumId w:val="5"/>
  </w:num>
  <w:num w:numId="7">
    <w:abstractNumId w:val="4"/>
  </w:num>
  <w:num w:numId="8">
    <w:abstractNumId w:val="7"/>
  </w:num>
  <w:num w:numId="9">
    <w:abstractNumId w:val="2"/>
  </w:num>
  <w:num w:numId="10">
    <w:abstractNumId w:val="3"/>
  </w:num>
  <w:num w:numId="11">
    <w:abstractNumId w:val="11"/>
  </w:num>
  <w:num w:numId="12">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50177"/>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0ADD"/>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3232"/>
    <w:rsid w:val="003B4EFB"/>
    <w:rsid w:val="003B6004"/>
    <w:rsid w:val="003B7482"/>
    <w:rsid w:val="003C1ADA"/>
    <w:rsid w:val="003C1D24"/>
    <w:rsid w:val="003C5F88"/>
    <w:rsid w:val="003D2446"/>
    <w:rsid w:val="003D2827"/>
    <w:rsid w:val="003D336F"/>
    <w:rsid w:val="003D4C2E"/>
    <w:rsid w:val="003D52AB"/>
    <w:rsid w:val="003D6564"/>
    <w:rsid w:val="003D7D61"/>
    <w:rsid w:val="003E0E3F"/>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2D14"/>
    <w:rsid w:val="004429FC"/>
    <w:rsid w:val="00442B04"/>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0F78"/>
    <w:rsid w:val="004D17B4"/>
    <w:rsid w:val="004D38A3"/>
    <w:rsid w:val="004D3D26"/>
    <w:rsid w:val="004D43B4"/>
    <w:rsid w:val="004D725E"/>
    <w:rsid w:val="004D7723"/>
    <w:rsid w:val="004F2AB1"/>
    <w:rsid w:val="004F48A2"/>
    <w:rsid w:val="004F57D6"/>
    <w:rsid w:val="004F7B60"/>
    <w:rsid w:val="005068FC"/>
    <w:rsid w:val="00507778"/>
    <w:rsid w:val="00507EA3"/>
    <w:rsid w:val="00507F3F"/>
    <w:rsid w:val="0051074C"/>
    <w:rsid w:val="005123D7"/>
    <w:rsid w:val="00514BB7"/>
    <w:rsid w:val="00520451"/>
    <w:rsid w:val="00525C2A"/>
    <w:rsid w:val="0052636A"/>
    <w:rsid w:val="005278E0"/>
    <w:rsid w:val="00527E51"/>
    <w:rsid w:val="00533231"/>
    <w:rsid w:val="00534AC5"/>
    <w:rsid w:val="0053552B"/>
    <w:rsid w:val="005414AE"/>
    <w:rsid w:val="00542BB4"/>
    <w:rsid w:val="00542BD1"/>
    <w:rsid w:val="00543EDE"/>
    <w:rsid w:val="0055089A"/>
    <w:rsid w:val="005514CD"/>
    <w:rsid w:val="00552028"/>
    <w:rsid w:val="00552917"/>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0FE9"/>
    <w:rsid w:val="005E1B84"/>
    <w:rsid w:val="005E2EDA"/>
    <w:rsid w:val="005E508F"/>
    <w:rsid w:val="005E76E2"/>
    <w:rsid w:val="005F01F6"/>
    <w:rsid w:val="005F074D"/>
    <w:rsid w:val="005F24AB"/>
    <w:rsid w:val="005F59DD"/>
    <w:rsid w:val="005F6C62"/>
    <w:rsid w:val="005F72C7"/>
    <w:rsid w:val="005F7A41"/>
    <w:rsid w:val="006001CB"/>
    <w:rsid w:val="0060204B"/>
    <w:rsid w:val="006035E9"/>
    <w:rsid w:val="00612FAB"/>
    <w:rsid w:val="00613BB7"/>
    <w:rsid w:val="00617DE4"/>
    <w:rsid w:val="006205AD"/>
    <w:rsid w:val="006246B9"/>
    <w:rsid w:val="006279BB"/>
    <w:rsid w:val="00631AA3"/>
    <w:rsid w:val="00633A44"/>
    <w:rsid w:val="00637ED3"/>
    <w:rsid w:val="00640D65"/>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12FE"/>
    <w:rsid w:val="0068328F"/>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E7575"/>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4824"/>
    <w:rsid w:val="008569D1"/>
    <w:rsid w:val="008576E3"/>
    <w:rsid w:val="00865F9F"/>
    <w:rsid w:val="00870661"/>
    <w:rsid w:val="00870F67"/>
    <w:rsid w:val="00872E41"/>
    <w:rsid w:val="008735DB"/>
    <w:rsid w:val="008756DF"/>
    <w:rsid w:val="008760E4"/>
    <w:rsid w:val="0088185B"/>
    <w:rsid w:val="00883F22"/>
    <w:rsid w:val="00887143"/>
    <w:rsid w:val="008913D4"/>
    <w:rsid w:val="00892991"/>
    <w:rsid w:val="00893317"/>
    <w:rsid w:val="008936A3"/>
    <w:rsid w:val="00897679"/>
    <w:rsid w:val="008A3F79"/>
    <w:rsid w:val="008A6A77"/>
    <w:rsid w:val="008A6AC9"/>
    <w:rsid w:val="008A75B3"/>
    <w:rsid w:val="008A7C1B"/>
    <w:rsid w:val="008A7CD2"/>
    <w:rsid w:val="008B0269"/>
    <w:rsid w:val="008B6FC3"/>
    <w:rsid w:val="008C0AEB"/>
    <w:rsid w:val="008C13C9"/>
    <w:rsid w:val="008C35E7"/>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5A59"/>
    <w:rsid w:val="0092622C"/>
    <w:rsid w:val="00931B3D"/>
    <w:rsid w:val="00936A95"/>
    <w:rsid w:val="00937606"/>
    <w:rsid w:val="0094259B"/>
    <w:rsid w:val="00942977"/>
    <w:rsid w:val="00946915"/>
    <w:rsid w:val="00951619"/>
    <w:rsid w:val="009541C4"/>
    <w:rsid w:val="009562C5"/>
    <w:rsid w:val="00957F2F"/>
    <w:rsid w:val="00960588"/>
    <w:rsid w:val="009706AD"/>
    <w:rsid w:val="00971E94"/>
    <w:rsid w:val="00976B10"/>
    <w:rsid w:val="00982A7A"/>
    <w:rsid w:val="00985926"/>
    <w:rsid w:val="009867F9"/>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9BE"/>
    <w:rsid w:val="00A25458"/>
    <w:rsid w:val="00A32998"/>
    <w:rsid w:val="00A335B1"/>
    <w:rsid w:val="00A47269"/>
    <w:rsid w:val="00A514D7"/>
    <w:rsid w:val="00A6156B"/>
    <w:rsid w:val="00A62C95"/>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18D"/>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33D7"/>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19BC"/>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077D9"/>
    <w:rsid w:val="00C10BF5"/>
    <w:rsid w:val="00C13304"/>
    <w:rsid w:val="00C1470C"/>
    <w:rsid w:val="00C217BF"/>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716F8"/>
    <w:rsid w:val="00C740FF"/>
    <w:rsid w:val="00C743C5"/>
    <w:rsid w:val="00C74B1A"/>
    <w:rsid w:val="00C75ED6"/>
    <w:rsid w:val="00C76C9E"/>
    <w:rsid w:val="00C80FE9"/>
    <w:rsid w:val="00C9125D"/>
    <w:rsid w:val="00C922C7"/>
    <w:rsid w:val="00C9287B"/>
    <w:rsid w:val="00C92C92"/>
    <w:rsid w:val="00C942D3"/>
    <w:rsid w:val="00C9540D"/>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06333"/>
    <w:rsid w:val="00D15C41"/>
    <w:rsid w:val="00D15F30"/>
    <w:rsid w:val="00D166D0"/>
    <w:rsid w:val="00D246A5"/>
    <w:rsid w:val="00D33F9A"/>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2945"/>
    <w:rsid w:val="00D7534D"/>
    <w:rsid w:val="00D824BC"/>
    <w:rsid w:val="00D8327D"/>
    <w:rsid w:val="00D8364A"/>
    <w:rsid w:val="00D84157"/>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4A68"/>
    <w:rsid w:val="00F2557D"/>
    <w:rsid w:val="00F271C9"/>
    <w:rsid w:val="00F3152D"/>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18373</Words>
  <Characters>10473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28789</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3</cp:revision>
  <cp:lastPrinted>2024-04-17T11:13:00Z</cp:lastPrinted>
  <dcterms:created xsi:type="dcterms:W3CDTF">2025-12-22T08:18:00Z</dcterms:created>
  <dcterms:modified xsi:type="dcterms:W3CDTF">2025-12-22T08:19:00Z</dcterms:modified>
</cp:coreProperties>
</file>