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1"/>
        <w:jc w:val="center"/>
        <w:rPr/>
      </w:pPr>
      <w:r>
        <w:rPr>
          <w:rStyle w:val="FontStyle24"/>
          <w:rFonts w:ascii="Times New Roman" w:hAnsi="Times New Roman"/>
          <w:sz w:val="22"/>
          <w:szCs w:val="22"/>
          <w:lang w:eastAsia="en-US"/>
        </w:rPr>
        <w:t>SUSITARIMAS DĖL 2025-04-02 SUTARTIES NR. C</w:t>
      </w:r>
      <w:r>
        <w:rPr>
          <w:rFonts w:ascii="Times New Roman" w:hAnsi="Times New Roman"/>
          <w:b/>
          <w:bCs/>
          <w:sz w:val="22"/>
          <w:szCs w:val="22"/>
          <w:lang w:val="en-GB" w:eastAsia="en-US"/>
        </w:rPr>
        <w:t>PO339621/9.7.-31 KEITIMO</w:t>
      </w:r>
    </w:p>
    <w:p>
      <w:pPr>
        <w:pStyle w:val="Style31"/>
        <w:jc w:val="center"/>
        <w:rPr/>
      </w:pPr>
      <w:r>
        <w:rPr>
          <w:rFonts w:ascii="Times New Roman" w:hAnsi="Times New Roman"/>
          <w:sz w:val="22"/>
          <w:szCs w:val="22"/>
          <w:lang w:val="en-GB" w:eastAsia="en-US"/>
        </w:rPr>
        <w:t xml:space="preserve"> </w:t>
      </w:r>
      <w:r>
        <w:rPr>
          <w:rStyle w:val="FontStyle23"/>
          <w:rFonts w:ascii="Times New Roman" w:hAnsi="Times New Roman"/>
          <w:sz w:val="22"/>
          <w:szCs w:val="22"/>
        </w:rPr>
        <w:t>2025 m. gruodžio  d.</w:t>
      </w:r>
    </w:p>
    <w:p>
      <w:pPr>
        <w:pStyle w:val="Style31"/>
        <w:jc w:val="center"/>
        <w:rPr/>
      </w:pPr>
      <w:r>
        <w:rPr>
          <w:rStyle w:val="FontStyle23"/>
          <w:rFonts w:ascii="Times New Roman" w:hAnsi="Times New Roman"/>
          <w:sz w:val="22"/>
          <w:szCs w:val="22"/>
          <w:lang w:eastAsia="en-US" w:bidi="ar-SA"/>
        </w:rPr>
        <w:t>Vilnius</w:t>
      </w:r>
    </w:p>
    <w:p>
      <w:pPr>
        <w:pStyle w:val="Style61"/>
        <w:rPr>
          <w:rFonts w:ascii="Times New Roman" w:hAnsi="Times New Roman"/>
          <w:sz w:val="22"/>
          <w:szCs w:val="22"/>
        </w:rPr>
      </w:pPr>
      <w:r>
        <w:rPr>
          <w:rFonts w:ascii="Times New Roman" w:hAnsi="Times New Roman"/>
          <w:sz w:val="22"/>
          <w:szCs w:val="22"/>
        </w:rPr>
      </w:r>
    </w:p>
    <w:p>
      <w:pPr>
        <w:pStyle w:val="Style61"/>
        <w:jc w:val="both"/>
        <w:rPr/>
      </w:pPr>
      <w:r>
        <w:rPr>
          <w:rStyle w:val="FontStyle23"/>
          <w:rFonts w:ascii="Times New Roman" w:hAnsi="Times New Roman"/>
          <w:b/>
          <w:bCs/>
          <w:sz w:val="22"/>
          <w:szCs w:val="22"/>
        </w:rPr>
        <w:t>Lietuvos Respublikos generalinė prokuratūra</w:t>
      </w:r>
      <w:r>
        <w:rPr>
          <w:rStyle w:val="FontStyle23"/>
          <w:rFonts w:ascii="Times New Roman" w:hAnsi="Times New Roman"/>
          <w:sz w:val="22"/>
          <w:szCs w:val="22"/>
        </w:rPr>
        <w:t>, (juridinio asmens kodas 288603320), registruota adresu Rinktinės g. 5A, Vilnius, atstovaujama (toliau – Užsakovas),</w:t>
      </w:r>
    </w:p>
    <w:p>
      <w:pPr>
        <w:pStyle w:val="Style61"/>
        <w:jc w:val="both"/>
        <w:rPr/>
      </w:pPr>
      <w:r>
        <w:rPr>
          <w:rStyle w:val="FontStyle23"/>
          <w:rFonts w:ascii="Times New Roman" w:hAnsi="Times New Roman"/>
          <w:sz w:val="22"/>
          <w:szCs w:val="22"/>
        </w:rPr>
        <w:t>ir</w:t>
      </w:r>
    </w:p>
    <w:p>
      <w:pPr>
        <w:pStyle w:val="Standard"/>
        <w:jc w:val="both"/>
        <w:rPr/>
      </w:pPr>
      <w:r>
        <w:rPr>
          <w:rFonts w:ascii="Times New Roman" w:hAnsi="Times New Roman"/>
          <w:b/>
          <w:bCs/>
          <w:sz w:val="22"/>
          <w:szCs w:val="22"/>
        </w:rPr>
        <w:t xml:space="preserve">UAB CNC Cleaning </w:t>
      </w:r>
      <w:r>
        <w:rPr>
          <w:rFonts w:ascii="Times New Roman" w:hAnsi="Times New Roman"/>
          <w:sz w:val="22"/>
          <w:szCs w:val="22"/>
        </w:rPr>
        <w:t>(juridinio asmens kodas 305550855), registruota adresu Palangos g. 30, Kretinga</w:t>
      </w:r>
      <w:r>
        <w:rPr>
          <w:rStyle w:val="FontStyle68"/>
          <w:rFonts w:ascii="Times New Roman" w:hAnsi="Times New Roman"/>
          <w:sz w:val="22"/>
          <w:szCs w:val="22"/>
        </w:rPr>
        <w:t xml:space="preserve">, kuriai atstovauja </w:t>
      </w:r>
      <w:r>
        <w:rPr>
          <w:rFonts w:ascii="Times New Roman" w:hAnsi="Times New Roman"/>
          <w:sz w:val="22"/>
          <w:szCs w:val="22"/>
          <w:lang w:eastAsia="lt-LT"/>
        </w:rPr>
        <w:t xml:space="preserve">direktorė Skirmantė Norvaišaitė-Toleikienė, </w:t>
      </w:r>
      <w:r>
        <w:rPr>
          <w:rFonts w:ascii="Times New Roman" w:hAnsi="Times New Roman"/>
          <w:sz w:val="22"/>
          <w:szCs w:val="22"/>
        </w:rPr>
        <w:t>veikianti pagal bendrovės įstatus (toliau – Paslaugų teikėjas),</w:t>
      </w:r>
      <w:r>
        <w:rPr>
          <w:rStyle w:val="FontStyle23"/>
          <w:rFonts w:ascii="Times New Roman" w:hAnsi="Times New Roman"/>
          <w:sz w:val="22"/>
          <w:szCs w:val="22"/>
        </w:rPr>
        <w:t xml:space="preserve">toliau kiekvienas atskirai vadinamas </w:t>
      </w:r>
      <w:r>
        <w:rPr>
          <w:rStyle w:val="FontStyle25"/>
          <w:rFonts w:ascii="Times New Roman" w:hAnsi="Times New Roman"/>
          <w:sz w:val="22"/>
          <w:szCs w:val="22"/>
        </w:rPr>
        <w:t xml:space="preserve">Šalimi, </w:t>
      </w:r>
      <w:r>
        <w:rPr>
          <w:rStyle w:val="FontStyle23"/>
          <w:rFonts w:ascii="Times New Roman" w:hAnsi="Times New Roman"/>
          <w:sz w:val="22"/>
          <w:szCs w:val="22"/>
        </w:rPr>
        <w:t xml:space="preserve">o kartu </w:t>
      </w:r>
      <w:r>
        <w:rPr>
          <w:rStyle w:val="FontStyle25"/>
          <w:rFonts w:ascii="Times New Roman" w:hAnsi="Times New Roman"/>
          <w:sz w:val="22"/>
          <w:szCs w:val="22"/>
        </w:rPr>
        <w:t>Šalimis,</w:t>
        <w:tab/>
      </w:r>
    </w:p>
    <w:p>
      <w:pPr>
        <w:pStyle w:val="Standard"/>
        <w:jc w:val="both"/>
        <w:rPr/>
      </w:pPr>
      <w:r>
        <w:rPr/>
      </w:r>
    </w:p>
    <w:p>
      <w:pPr>
        <w:pStyle w:val="Style51"/>
        <w:jc w:val="both"/>
        <w:rPr/>
      </w:pPr>
      <w:r>
        <w:rPr>
          <w:rStyle w:val="FontStyle22"/>
          <w:rFonts w:ascii="Times New Roman" w:hAnsi="Times New Roman"/>
          <w:sz w:val="22"/>
          <w:szCs w:val="22"/>
        </w:rPr>
        <w:t>Atsižvelgdamos į tai, kad:</w:t>
      </w:r>
    </w:p>
    <w:p>
      <w:pPr>
        <w:pStyle w:val="Style31"/>
        <w:jc w:val="both"/>
        <w:rPr/>
      </w:pPr>
      <w:r>
        <w:rPr>
          <w:rStyle w:val="FontStyle23"/>
          <w:rFonts w:ascii="Times New Roman" w:hAnsi="Times New Roman"/>
          <w:sz w:val="22"/>
          <w:szCs w:val="22"/>
        </w:rPr>
        <w:t xml:space="preserve">Šalys 2025-04-02 sudarė </w:t>
      </w:r>
      <w:r>
        <w:rPr>
          <w:rStyle w:val="PoratDiagrama"/>
          <w:rFonts w:ascii="Times New Roman" w:hAnsi="Times New Roman"/>
          <w:sz w:val="22"/>
          <w:szCs w:val="22"/>
        </w:rPr>
        <w:t xml:space="preserve">paslaugų teikimo </w:t>
      </w:r>
      <w:r>
        <w:rPr>
          <w:rStyle w:val="FontStyle23"/>
          <w:rFonts w:ascii="Times New Roman" w:hAnsi="Times New Roman"/>
          <w:sz w:val="22"/>
          <w:szCs w:val="22"/>
        </w:rPr>
        <w:t>sutartį Nr. C</w:t>
      </w:r>
      <w:r>
        <w:rPr>
          <w:rFonts w:ascii="Times New Roman" w:hAnsi="Times New Roman"/>
          <w:sz w:val="22"/>
          <w:szCs w:val="22"/>
        </w:rPr>
        <w:t xml:space="preserve">PO 339621/9.7.- 31 </w:t>
      </w:r>
      <w:r>
        <w:rPr>
          <w:rStyle w:val="FontStyle23"/>
          <w:rFonts w:ascii="Times New Roman" w:hAnsi="Times New Roman"/>
          <w:sz w:val="22"/>
          <w:szCs w:val="22"/>
        </w:rPr>
        <w:t xml:space="preserve">(toliau – </w:t>
      </w:r>
      <w:r>
        <w:rPr>
          <w:rStyle w:val="FontStyle25"/>
          <w:rFonts w:ascii="Times New Roman" w:hAnsi="Times New Roman"/>
          <w:sz w:val="22"/>
          <w:szCs w:val="22"/>
        </w:rPr>
        <w:t xml:space="preserve">Sutartis), </w:t>
      </w:r>
      <w:r>
        <w:rPr>
          <w:rStyle w:val="FontStyle23"/>
          <w:rFonts w:ascii="Times New Roman" w:hAnsi="Times New Roman"/>
          <w:sz w:val="22"/>
          <w:szCs w:val="22"/>
        </w:rPr>
        <w:t xml:space="preserve">kuria Paslaugų teikėjas įsipareigojo Užsakovui teikti valymo paslaugas prokuratūros pastate adresu Santaikos g. 26, Alytus  </w:t>
      </w:r>
      <w:r>
        <w:rPr>
          <w:rStyle w:val="PoratDiagrama"/>
          <w:rFonts w:ascii="Times New Roman" w:hAnsi="Times New Roman"/>
          <w:sz w:val="22"/>
          <w:szCs w:val="22"/>
        </w:rPr>
        <w:t>(toliau – Paslaugos)</w:t>
      </w:r>
      <w:r>
        <w:rPr>
          <w:rStyle w:val="FontStyle23"/>
          <w:rFonts w:ascii="Times New Roman" w:hAnsi="Times New Roman"/>
          <w:sz w:val="22"/>
          <w:szCs w:val="22"/>
        </w:rPr>
        <w:t>;</w:t>
      </w:r>
    </w:p>
    <w:p>
      <w:pPr>
        <w:pStyle w:val="Style18"/>
        <w:numPr>
          <w:ilvl w:val="0"/>
          <w:numId w:val="4"/>
        </w:numPr>
        <w:ind w:hanging="0" w:left="0"/>
        <w:jc w:val="both"/>
        <w:rPr/>
      </w:pPr>
      <w:r>
        <w:rPr>
          <w:rStyle w:val="FontStyle23"/>
          <w:rFonts w:cs="Times New Roman" w:ascii="Times New Roman" w:hAnsi="Times New Roman"/>
          <w:sz w:val="22"/>
          <w:szCs w:val="22"/>
        </w:rPr>
        <w:t>Sutarties 4.7.2.1. punktas numato, p</w:t>
      </w:r>
      <w:r>
        <w:rPr>
          <w:rFonts w:cs="Times New Roman" w:ascii="Times New Roman" w:hAnsi="Times New Roman"/>
          <w:sz w:val="22"/>
          <w:szCs w:val="22"/>
        </w:rPr>
        <w:t>irkimo sutartyje numatyti įkainiai taip pat perskaičiuojami Lietuvos Respublikoje pakeitus minimalią mėnesinę algą.   pastraipa</w:t>
        <w:tab/>
        <w:t>k= Ind(naujausias) / Ind(pradžia) x 100 – 100 (proc.), k1 = NMMA(naujausia) / MMA(pradžia) x 100 – 100 (proc.), a1 = a+( a * 0,8 * k1/100) + (a * 0,2 * k/100),  kur k – pagal paslaugų kainų indeksą Ūkio subjektams suteiktų paslaugų grupės „N812 Valymo veikla“ apskaičiuotas kainų pokytis (padidėjimas arba sumažėjimas) (%). Ind(naujausias) – kreipimosi dėl įkainių perskaičiavimo išsiuntimo kitai Šaliai datą (ketvirtį) naujausias paskelbtas Ūkio subjektams suteiktų paslaugų grupės „N812 Valymo veikla“ paslaugų kainų indeksas; Ind (pradžia) – laikotarpio pradžios datos (ketvirčio) Ūkio subjektams suteiktų paslaugų grupės „N812 Valymo veikla“ paslaugų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ketvirtis.k1 – MMA pokytis (padidėjimas arba sumažėjimas) (%);NMMA(naujausias) – kreipimosi dėl įkainių perskaičiavimo išsiuntimo kitai Šaliai datą (ketvirtį) naujausia paskelbta minimali mėnesinė alga; MMA(pradžia) – laikotarpio pradžios datos (ketvirčio) minimali mėnesinė alga. Pirmojo perskaičiavimo atveju laikotarpio pradžia (ketvirtis) yra Pirkimo sutarties sudarymo dienos ketvirtis. Antrojo ir vėlesnių perskaičiavimų atveju laikotarpio pradžia (ketvirtis) yra paskutinio perskaičiavimo metu naudotos paskelbtos atitinkamos minimalios mėnesinės algos reikšmės ketvirtis. a – įkainis (Eur be PVM)) (jei jis jau buvo perskaičiuotas, tai po paskutinio perskaičiavimo). a1 – perskaičiuotas (pakeistas) įkainis (Eur be PVM).</w:t>
      </w:r>
    </w:p>
    <w:p>
      <w:pPr>
        <w:pStyle w:val="ListParagraph"/>
        <w:numPr>
          <w:ilvl w:val="0"/>
          <w:numId w:val="5"/>
        </w:numPr>
        <w:spacing w:before="0" w:after="0"/>
        <w:ind w:hanging="0" w:left="0"/>
        <w:contextualSpacing w:val="false"/>
        <w:jc w:val="both"/>
        <w:rPr/>
      </w:pPr>
      <w:r>
        <w:rPr>
          <w:rStyle w:val="FontStyle23"/>
          <w:rFonts w:eastAsia="SimSun" w:cs="Times New Roman" w:ascii="Times New Roman" w:hAnsi="Times New Roman"/>
          <w:color w:val="auto"/>
          <w:spacing w:val="-6"/>
          <w:sz w:val="22"/>
          <w:szCs w:val="22"/>
        </w:rPr>
        <w:t>Sutarties 4.7.2.2. punktas numato skaičiavimams indeksų reikšmės imamos keturių skaitmenų po kablelio tikslumu. Apskaičiuotas pokytis (k) tolimesniems skaičiavimams naudojamas suapvalinus iki vieno skaitmens po kablelio, o apskaičiuotas įkainis „a“ suapvalinamas iki tiek skaitmenų, kiek įkainiams nurodyti naudojama sudarytoje Pirkimo sutartyje, skaitmenų po kablelio.</w:t>
      </w:r>
    </w:p>
    <w:p>
      <w:pPr>
        <w:pStyle w:val="Style51"/>
        <w:spacing w:before="120" w:after="120"/>
        <w:ind w:left="720"/>
        <w:jc w:val="both"/>
        <w:rPr/>
      </w:pPr>
      <w:r>
        <w:rPr>
          <w:rStyle w:val="FontStyle23"/>
          <w:rFonts w:cs="Times New Roman" w:ascii="Times New Roman" w:hAnsi="Times New Roman"/>
          <w:sz w:val="22"/>
          <w:szCs w:val="22"/>
        </w:rPr>
        <w:t>Paslaugų įkainiai perskaičiuojami Šalims pasirašant Sutarties Šalių susitarimą.</w:t>
      </w:r>
    </w:p>
    <w:p>
      <w:pPr>
        <w:pStyle w:val="Style51"/>
        <w:widowControl/>
        <w:spacing w:before="120" w:after="120"/>
        <w:jc w:val="both"/>
        <w:rPr/>
      </w:pPr>
      <w:r>
        <w:rPr>
          <w:rStyle w:val="FontStyle22"/>
          <w:rFonts w:cs="Times New Roman" w:ascii="Times New Roman" w:hAnsi="Times New Roman"/>
          <w:sz w:val="22"/>
          <w:szCs w:val="22"/>
        </w:rPr>
        <w:t>susitaria taip:</w:t>
      </w:r>
    </w:p>
    <w:p>
      <w:pPr>
        <w:pStyle w:val="Style61"/>
        <w:jc w:val="both"/>
        <w:rPr/>
      </w:pPr>
      <w:r>
        <w:rPr>
          <w:rStyle w:val="FontStyle23"/>
          <w:rFonts w:cs="Times New Roman" w:ascii="Times New Roman" w:hAnsi="Times New Roman"/>
          <w:sz w:val="22"/>
          <w:szCs w:val="22"/>
        </w:rPr>
        <w:t xml:space="preserve">    </w:t>
      </w:r>
      <w:r>
        <w:rPr>
          <w:rStyle w:val="FontStyle23"/>
          <w:rFonts w:cs="Times New Roman" w:ascii="Times New Roman" w:hAnsi="Times New Roman"/>
          <w:sz w:val="22"/>
          <w:szCs w:val="22"/>
        </w:rPr>
        <w:t>1. Perskaičiuoti nauji Paslaugų įkainiai, numatyti Susitarimo priede, pradedami taikyti nuo 2026 01 01.</w:t>
      </w:r>
    </w:p>
    <w:p>
      <w:pPr>
        <w:pStyle w:val="Style61"/>
        <w:jc w:val="both"/>
        <w:rPr/>
      </w:pPr>
      <w:r>
        <w:rPr>
          <w:rStyle w:val="FontStyle23"/>
          <w:rFonts w:cs="Times New Roman" w:ascii="Times New Roman" w:hAnsi="Times New Roman"/>
          <w:sz w:val="22"/>
          <w:szCs w:val="22"/>
        </w:rPr>
        <w:t xml:space="preserve">    </w:t>
      </w:r>
      <w:r>
        <w:rPr>
          <w:rStyle w:val="FontStyle23"/>
          <w:rFonts w:cs="Times New Roman" w:ascii="Times New Roman" w:hAnsi="Times New Roman"/>
          <w:sz w:val="22"/>
          <w:szCs w:val="22"/>
        </w:rPr>
        <w:t>2. Šalių pasirašytas Susitarimas įsigalioja ir yra privalomas Šalims nuo 2026 01 01.</w:t>
      </w:r>
    </w:p>
    <w:p>
      <w:pPr>
        <w:pStyle w:val="Style61"/>
        <w:jc w:val="both"/>
        <w:rPr/>
      </w:pPr>
      <w:r>
        <w:rPr>
          <w:rStyle w:val="FontStyle23"/>
          <w:rFonts w:cs="Times New Roman" w:ascii="Times New Roman" w:hAnsi="Times New Roman"/>
          <w:sz w:val="22"/>
          <w:szCs w:val="22"/>
        </w:rPr>
        <w:t xml:space="preserve">    </w:t>
      </w:r>
      <w:r>
        <w:rPr>
          <w:rStyle w:val="FontStyle23"/>
          <w:rFonts w:cs="Times New Roman" w:ascii="Times New Roman" w:hAnsi="Times New Roman"/>
          <w:sz w:val="22"/>
          <w:szCs w:val="22"/>
        </w:rPr>
        <w:t>3. Susitarimą Šalys pasirašo kvalifikuotu el. parašu.</w:t>
      </w:r>
    </w:p>
    <w:p>
      <w:pPr>
        <w:pStyle w:val="Style61"/>
        <w:jc w:val="both"/>
        <w:rPr/>
      </w:pPr>
      <w:r>
        <w:rPr>
          <w:rStyle w:val="FontStyle23"/>
          <w:rFonts w:cs="Times New Roman" w:ascii="Times New Roman" w:hAnsi="Times New Roman"/>
          <w:sz w:val="22"/>
          <w:szCs w:val="22"/>
        </w:rPr>
        <w:t xml:space="preserve">    </w:t>
      </w:r>
      <w:r>
        <w:rPr>
          <w:rStyle w:val="FontStyle23"/>
          <w:rFonts w:cs="Times New Roman" w:ascii="Times New Roman" w:hAnsi="Times New Roman"/>
          <w:sz w:val="22"/>
          <w:szCs w:val="22"/>
        </w:rPr>
        <w:t>4. Susitarimo priedas -„Paslaugų įkainiai“</w:t>
      </w:r>
    </w:p>
    <w:tbl>
      <w:tblPr>
        <w:tblW w:w="9717" w:type="dxa"/>
        <w:jc w:val="left"/>
        <w:tblInd w:w="33" w:type="dxa"/>
        <w:tblLayout w:type="fixed"/>
        <w:tblCellMar>
          <w:top w:w="0" w:type="dxa"/>
          <w:left w:w="108" w:type="dxa"/>
          <w:bottom w:w="0" w:type="dxa"/>
          <w:right w:w="108" w:type="dxa"/>
        </w:tblCellMar>
        <w:tblLook w:firstRow="1" w:noVBand="1" w:lastRow="0" w:firstColumn="1" w:lastColumn="0" w:noHBand="0" w:val="04a0"/>
      </w:tblPr>
      <w:tblGrid>
        <w:gridCol w:w="5352"/>
        <w:gridCol w:w="4364"/>
      </w:tblGrid>
      <w:tr>
        <w:trPr>
          <w:trHeight w:val="1507" w:hRule="atLeast"/>
        </w:trPr>
        <w:tc>
          <w:tcPr>
            <w:tcW w:w="5352" w:type="dxa"/>
            <w:tcBorders/>
          </w:tcPr>
          <w:p>
            <w:pPr>
              <w:pStyle w:val="Style16"/>
              <w:widowControl/>
              <w:tabs>
                <w:tab w:val="clear" w:pos="709"/>
                <w:tab w:val="left" w:pos="6096" w:leader="none"/>
              </w:tabs>
              <w:jc w:val="both"/>
              <w:rPr/>
            </w:pPr>
            <w:r>
              <w:rPr/>
            </w:r>
          </w:p>
          <w:p>
            <w:pPr>
              <w:pStyle w:val="Style16"/>
              <w:widowControl/>
              <w:tabs>
                <w:tab w:val="clear" w:pos="709"/>
                <w:tab w:val="left" w:pos="6096" w:leader="none"/>
              </w:tabs>
              <w:jc w:val="both"/>
              <w:rPr/>
            </w:pPr>
            <w:r>
              <w:rPr>
                <w:rStyle w:val="FontStyle23"/>
                <w:rFonts w:cs="Times New Roman" w:ascii="Times New Roman" w:hAnsi="Times New Roman"/>
                <w:b/>
                <w:bCs/>
                <w:kern w:val="0"/>
                <w:sz w:val="22"/>
                <w:szCs w:val="22"/>
              </w:rPr>
              <w:t>Užsakovo vardu</w:t>
            </w:r>
          </w:p>
          <w:p>
            <w:pPr>
              <w:pStyle w:val="Style16"/>
              <w:tabs>
                <w:tab w:val="clear" w:pos="709"/>
                <w:tab w:val="left" w:pos="6096" w:leader="none"/>
              </w:tabs>
              <w:jc w:val="both"/>
              <w:rPr/>
            </w:pPr>
            <w:r>
              <w:rPr>
                <w:rFonts w:cs="Times New Roman" w:ascii="Times New Roman" w:hAnsi="Times New Roman"/>
                <w:bCs/>
                <w:sz w:val="22"/>
                <w:szCs w:val="22"/>
              </w:rPr>
              <w:t>Kancleris</w:t>
            </w:r>
          </w:p>
          <w:p>
            <w:pPr>
              <w:pStyle w:val="Style16"/>
              <w:tabs>
                <w:tab w:val="clear" w:pos="709"/>
                <w:tab w:val="left" w:pos="6096" w:leader="none"/>
              </w:tabs>
              <w:jc w:val="both"/>
              <w:rPr/>
            </w:pPr>
            <w:r>
              <w:rPr>
                <w:rStyle w:val="FontStyle23"/>
                <w:rFonts w:cs="Times New Roman" w:ascii="Times New Roman" w:hAnsi="Times New Roman"/>
                <w:sz w:val="22"/>
                <w:szCs w:val="22"/>
              </w:rPr>
              <w:t>Nerijus Rudaitis</w:t>
            </w:r>
          </w:p>
        </w:tc>
        <w:tc>
          <w:tcPr>
            <w:tcW w:w="4364" w:type="dxa"/>
            <w:tcBorders/>
          </w:tcPr>
          <w:p>
            <w:pPr>
              <w:pStyle w:val="Style16"/>
              <w:widowControl/>
              <w:jc w:val="both"/>
              <w:rPr/>
            </w:pPr>
            <w:r>
              <w:rPr/>
            </w:r>
          </w:p>
          <w:p>
            <w:pPr>
              <w:pStyle w:val="Style16"/>
              <w:widowControl/>
              <w:jc w:val="both"/>
              <w:rPr/>
            </w:pPr>
            <w:r>
              <w:rPr>
                <w:rStyle w:val="FontStyle23"/>
                <w:rFonts w:cs="Times New Roman" w:ascii="Times New Roman" w:hAnsi="Times New Roman"/>
                <w:b/>
                <w:bCs/>
                <w:kern w:val="0"/>
                <w:sz w:val="22"/>
                <w:szCs w:val="22"/>
              </w:rPr>
              <w:t>Paslaugų teikėjo vardu</w:t>
            </w:r>
          </w:p>
          <w:p>
            <w:pPr>
              <w:pStyle w:val="Style61"/>
              <w:widowControl/>
              <w:jc w:val="both"/>
              <w:rPr/>
            </w:pPr>
            <w:r>
              <w:rPr>
                <w:rStyle w:val="FontStyle23"/>
                <w:rFonts w:cs="Times New Roman" w:ascii="Times New Roman" w:hAnsi="Times New Roman"/>
                <w:kern w:val="0"/>
                <w:sz w:val="22"/>
                <w:szCs w:val="22"/>
              </w:rPr>
              <w:t>Direktorė</w:t>
            </w:r>
          </w:p>
          <w:p>
            <w:pPr>
              <w:pStyle w:val="Style61"/>
              <w:widowControl/>
              <w:jc w:val="both"/>
              <w:rPr/>
            </w:pPr>
            <w:r>
              <w:rPr>
                <w:rStyle w:val="FontStyle23"/>
                <w:rFonts w:cs="Times New Roman" w:ascii="Times New Roman" w:hAnsi="Times New Roman"/>
                <w:kern w:val="0"/>
                <w:sz w:val="22"/>
                <w:szCs w:val="22"/>
              </w:rPr>
              <w:t>Skirmantė Norvaišaitė-Toleikienė</w:t>
            </w:r>
          </w:p>
          <w:p>
            <w:pPr>
              <w:pStyle w:val="Style61"/>
              <w:widowControl/>
              <w:jc w:val="both"/>
              <w:rPr>
                <w:rFonts w:ascii="Times New Roman" w:hAnsi="Times New Roman" w:cs="Times New Roman"/>
                <w:sz w:val="22"/>
                <w:szCs w:val="22"/>
              </w:rPr>
            </w:pPr>
            <w:r>
              <w:rPr>
                <w:rFonts w:cs="Times New Roman" w:ascii="Times New Roman" w:hAnsi="Times New Roman"/>
                <w:sz w:val="22"/>
                <w:szCs w:val="22"/>
              </w:rPr>
            </w:r>
          </w:p>
          <w:p>
            <w:pPr>
              <w:pStyle w:val="Style61"/>
              <w:widowControl/>
              <w:jc w:val="both"/>
              <w:rPr>
                <w:rFonts w:ascii="Times New Roman" w:hAnsi="Times New Roman" w:cs="Times New Roman"/>
                <w:sz w:val="22"/>
                <w:szCs w:val="22"/>
              </w:rPr>
            </w:pPr>
            <w:r>
              <w:rPr>
                <w:rFonts w:cs="Times New Roman" w:ascii="Times New Roman" w:hAnsi="Times New Roman"/>
                <w:sz w:val="22"/>
                <w:szCs w:val="22"/>
              </w:rPr>
            </w:r>
          </w:p>
        </w:tc>
      </w:tr>
    </w:tbl>
    <w:p>
      <w:pPr>
        <w:pStyle w:val="Style16"/>
        <w:widowControl/>
        <w:spacing w:before="120" w:after="120"/>
        <w:jc w:val="right"/>
        <w:rPr>
          <w:rFonts w:ascii="Times New Roman" w:hAnsi="Times New Roman" w:eastAsia="Calibri" w:cs="Times New Roman"/>
          <w:b/>
          <w:bCs/>
          <w:sz w:val="22"/>
          <w:szCs w:val="22"/>
          <w:lang w:eastAsia="en-US" w:bidi="ar-SA"/>
        </w:rPr>
      </w:pPr>
      <w:r>
        <w:rPr>
          <w:rFonts w:eastAsia="Calibri" w:cs="Times New Roman" w:ascii="Times New Roman" w:hAnsi="Times New Roman"/>
          <w:b/>
          <w:bCs/>
          <w:sz w:val="22"/>
          <w:szCs w:val="22"/>
          <w:lang w:eastAsia="en-US" w:bidi="ar-SA"/>
        </w:rPr>
      </w:r>
    </w:p>
    <w:p>
      <w:pPr>
        <w:pStyle w:val="Style16"/>
        <w:widowControl/>
        <w:spacing w:before="120" w:after="120"/>
        <w:jc w:val="right"/>
        <w:rPr>
          <w:rFonts w:ascii="Times New Roman" w:hAnsi="Times New Roman" w:eastAsia="Calibri" w:cs="Times New Roman"/>
          <w:b/>
          <w:bCs/>
          <w:sz w:val="22"/>
          <w:szCs w:val="22"/>
          <w:lang w:eastAsia="en-US" w:bidi="ar-SA"/>
        </w:rPr>
      </w:pPr>
      <w:r>
        <w:rPr>
          <w:rFonts w:eastAsia="Calibri" w:cs="Times New Roman" w:ascii="Times New Roman" w:hAnsi="Times New Roman"/>
          <w:b/>
          <w:bCs/>
          <w:sz w:val="22"/>
          <w:szCs w:val="22"/>
          <w:lang w:eastAsia="en-US" w:bidi="ar-SA"/>
        </w:rPr>
      </w:r>
    </w:p>
    <w:p>
      <w:pPr>
        <w:pStyle w:val="Style16"/>
        <w:widowControl/>
        <w:spacing w:before="120" w:after="120"/>
        <w:jc w:val="right"/>
        <w:rPr>
          <w:rFonts w:ascii="Times New Roman" w:hAnsi="Times New Roman" w:cs="Times New Roman"/>
          <w:sz w:val="22"/>
          <w:szCs w:val="22"/>
          <w:shd w:fill="FFFFFF" w:val="clear"/>
          <w:lang w:val="fi-FI"/>
        </w:rPr>
      </w:pPr>
      <w:r>
        <w:rPr>
          <w:rFonts w:cs="Times New Roman" w:ascii="Times New Roman" w:hAnsi="Times New Roman"/>
          <w:sz w:val="22"/>
          <w:szCs w:val="22"/>
          <w:shd w:fill="FFFFFF" w:val="clear"/>
          <w:lang w:val="fi-FI"/>
        </w:rPr>
      </w:r>
    </w:p>
    <w:p>
      <w:pPr>
        <w:pStyle w:val="Style16"/>
        <w:widowControl/>
        <w:spacing w:before="120" w:after="120"/>
        <w:jc w:val="right"/>
        <w:rPr>
          <w:rFonts w:ascii="Times New Roman" w:hAnsi="Times New Roman" w:cs="Times New Roman"/>
          <w:sz w:val="22"/>
          <w:szCs w:val="22"/>
          <w:shd w:fill="FFFFFF" w:val="clear"/>
          <w:lang w:val="en-GB"/>
        </w:rPr>
      </w:pPr>
      <w:r>
        <w:rPr>
          <w:rFonts w:cs="Times New Roman" w:ascii="Times New Roman" w:hAnsi="Times New Roman"/>
          <w:sz w:val="22"/>
          <w:szCs w:val="22"/>
          <w:shd w:fill="FFFFFF" w:val="clear"/>
          <w:lang w:val="en-GB"/>
        </w:rPr>
        <w:t>Susitarimo priedas</w:t>
      </w:r>
    </w:p>
    <w:p>
      <w:pPr>
        <w:pStyle w:val="Style16"/>
        <w:widowControl/>
        <w:spacing w:before="120" w:after="120"/>
        <w:jc w:val="center"/>
        <w:rPr/>
      </w:pPr>
      <w:r>
        <w:rPr>
          <w:rFonts w:ascii="Times New Roman" w:hAnsi="Times New Roman"/>
          <w:b/>
          <w:bCs/>
          <w:sz w:val="22"/>
          <w:szCs w:val="22"/>
        </w:rPr>
        <w:t>PASLAUGŲ ĮKAINIAI</w:t>
      </w:r>
    </w:p>
    <w:tbl>
      <w:tblPr>
        <w:tblW w:w="9918"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62"/>
        <w:gridCol w:w="2378"/>
        <w:gridCol w:w="3734"/>
        <w:gridCol w:w="1116"/>
        <w:gridCol w:w="1001"/>
        <w:gridCol w:w="1126"/>
      </w:tblGrid>
      <w:tr>
        <w:trPr>
          <w:trHeight w:val="1575" w:hRule="atLeast"/>
        </w:trPr>
        <w:tc>
          <w:tcPr>
            <w:tcW w:w="5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Eil.Nr.</w:t>
            </w:r>
          </w:p>
        </w:tc>
        <w:tc>
          <w:tcPr>
            <w:tcW w:w="2378" w:type="dxa"/>
            <w:tcBorders>
              <w:top w:val="single" w:sz="4" w:space="0" w:color="000000"/>
              <w:bottom w:val="single" w:sz="4" w:space="0" w:color="000000"/>
              <w:right w:val="single" w:sz="4" w:space="0" w:color="000000"/>
            </w:tcBorders>
            <w:shd w:color="auto" w:fill="FFFFFF" w:val="clear"/>
          </w:tcPr>
          <w:p>
            <w:pPr>
              <w:pStyle w:val="Standard"/>
              <w:jc w:val="center"/>
              <w:rPr>
                <w:rFonts w:ascii="Times New Roman" w:hAnsi="Times New Roman"/>
                <w:sz w:val="22"/>
                <w:szCs w:val="22"/>
              </w:rPr>
            </w:pPr>
            <w:r>
              <w:rPr>
                <w:rFonts w:ascii="Times New Roman" w:hAnsi="Times New Roman"/>
                <w:sz w:val="22"/>
                <w:szCs w:val="22"/>
              </w:rPr>
            </w:r>
          </w:p>
          <w:p>
            <w:pPr>
              <w:pStyle w:val="Standard"/>
              <w:jc w:val="center"/>
              <w:rPr>
                <w:rFonts w:ascii="Times New Roman" w:hAnsi="Times New Roman"/>
                <w:sz w:val="22"/>
                <w:szCs w:val="22"/>
              </w:rPr>
            </w:pPr>
            <w:r>
              <w:rPr>
                <w:rFonts w:ascii="Times New Roman" w:hAnsi="Times New Roman"/>
                <w:sz w:val="22"/>
                <w:szCs w:val="22"/>
              </w:rPr>
            </w:r>
          </w:p>
          <w:p>
            <w:pPr>
              <w:pStyle w:val="Standard"/>
              <w:jc w:val="center"/>
              <w:rPr>
                <w:rFonts w:ascii="Times New Roman" w:hAnsi="Times New Roman"/>
                <w:sz w:val="22"/>
                <w:szCs w:val="22"/>
              </w:rPr>
            </w:pPr>
            <w:r>
              <w:rPr>
                <w:rFonts w:ascii="Times New Roman" w:hAnsi="Times New Roman"/>
                <w:sz w:val="22"/>
                <w:szCs w:val="22"/>
              </w:rPr>
            </w:r>
          </w:p>
          <w:p>
            <w:pPr>
              <w:pStyle w:val="Standard"/>
              <w:jc w:val="center"/>
              <w:rPr>
                <w:rFonts w:ascii="Times New Roman" w:hAnsi="Times New Roman"/>
                <w:sz w:val="22"/>
                <w:szCs w:val="22"/>
              </w:rPr>
            </w:pPr>
            <w:r>
              <w:rPr>
                <w:rFonts w:ascii="Times New Roman" w:hAnsi="Times New Roman"/>
                <w:sz w:val="22"/>
                <w:szCs w:val="22"/>
              </w:rPr>
              <w:t>Objekto adresas</w:t>
            </w:r>
          </w:p>
        </w:tc>
        <w:tc>
          <w:tcPr>
            <w:tcW w:w="37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Paslaugos/prekės pavadinimas</w:t>
            </w:r>
          </w:p>
        </w:tc>
        <w:tc>
          <w:tcPr>
            <w:tcW w:w="1116" w:type="dxa"/>
            <w:tcBorders>
              <w:top w:val="single" w:sz="4" w:space="0" w:color="000000"/>
              <w:bottom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Paslaugos  įkainis (m²) EUR be PVM iki perskaičiavimo</w:t>
            </w:r>
          </w:p>
        </w:tc>
        <w:tc>
          <w:tcPr>
            <w:tcW w:w="1001"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MMA pokytis</w:t>
            </w:r>
          </w:p>
        </w:tc>
        <w:tc>
          <w:tcPr>
            <w:tcW w:w="11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Paslaugos  įkainis (m²) EUR be PVM po perskaičiavimo</w:t>
            </w:r>
          </w:p>
        </w:tc>
      </w:tr>
      <w:tr>
        <w:trPr>
          <w:trHeight w:val="574" w:hRule="atLeast"/>
        </w:trPr>
        <w:tc>
          <w:tcPr>
            <w:tcW w:w="5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1</w:t>
            </w:r>
          </w:p>
        </w:tc>
        <w:tc>
          <w:tcPr>
            <w:tcW w:w="237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i w:val="false"/>
                <w:i w:val="false"/>
                <w:iCs w:val="false"/>
              </w:rPr>
            </w:pPr>
            <w:r>
              <w:rPr>
                <w:rFonts w:ascii="Times New Roman" w:hAnsi="Times New Roman"/>
                <w:b/>
                <w:i w:val="false"/>
                <w:iCs w:val="false"/>
                <w:sz w:val="22"/>
                <w:szCs w:val="22"/>
              </w:rPr>
              <w:t>Objektas Nr.1</w:t>
            </w:r>
          </w:p>
          <w:p>
            <w:pPr>
              <w:pStyle w:val="Standard"/>
              <w:rPr>
                <w:i w:val="false"/>
                <w:i w:val="false"/>
                <w:iCs w:val="false"/>
              </w:rPr>
            </w:pPr>
            <w:r>
              <w:rPr>
                <w:rFonts w:ascii="Times New Roman" w:hAnsi="Times New Roman"/>
                <w:i w:val="false"/>
                <w:iCs w:val="false"/>
                <w:color w:val="000000"/>
                <w:sz w:val="22"/>
                <w:szCs w:val="22"/>
              </w:rPr>
              <w:t>Kauno apygardos prokuratūros Alytaus apylinkės prokuratūra (Santaikos g. 26, Alytus)</w:t>
            </w:r>
          </w:p>
        </w:tc>
        <w:tc>
          <w:tcPr>
            <w:tcW w:w="37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jc w:val="both"/>
              <w:rPr/>
            </w:pPr>
            <w:r>
              <w:rPr>
                <w:rStyle w:val="FontStyle23"/>
                <w:rFonts w:cs="Times New Roman" w:ascii="Times New Roman" w:hAnsi="Times New Roman"/>
                <w:b w:val="false"/>
                <w:bCs w:val="false"/>
                <w:i w:val="false"/>
                <w:iCs w:val="false"/>
                <w:color w:val="auto"/>
                <w:sz w:val="24"/>
                <w:szCs w:val="24"/>
              </w:rPr>
              <w:t>1.1. „Kietų grindų įprastinio valymo paslaugos (grindys taip pat valomos po kilimais, keičiamais purvą sugeriančiais kilimėliais, mobiliais baldais)“</w:t>
            </w:r>
          </w:p>
        </w:tc>
        <w:tc>
          <w:tcPr>
            <w:tcW w:w="1116"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i w:val="false"/>
                <w:i w:val="false"/>
                <w:iCs w:val="false"/>
              </w:rPr>
            </w:pPr>
            <w:r>
              <w:rPr>
                <w:rFonts w:ascii="Times New Roman" w:hAnsi="Times New Roman"/>
                <w:i w:val="false"/>
                <w:iCs w:val="false"/>
                <w:color w:val="000000"/>
                <w:sz w:val="22"/>
                <w:szCs w:val="22"/>
              </w:rPr>
              <w:t>0,042</w:t>
            </w:r>
          </w:p>
        </w:tc>
        <w:tc>
          <w:tcPr>
            <w:tcW w:w="1001"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i w:val="false"/>
                <w:i w:val="false"/>
                <w:iCs w:val="false"/>
              </w:rPr>
            </w:pPr>
            <w:r>
              <w:rPr>
                <w:rFonts w:ascii="Times New Roman" w:hAnsi="Times New Roman"/>
                <w:i w:val="false"/>
                <w:iCs w:val="false"/>
                <w:sz w:val="22"/>
                <w:szCs w:val="22"/>
                <w:shd w:fill="FFFFFF" w:val="clear"/>
              </w:rPr>
              <w:t>11,1%</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Standard"/>
              <w:spacing w:lineRule="auto" w:line="480"/>
              <w:jc w:val="center"/>
              <w:rPr>
                <w:i w:val="false"/>
                <w:i w:val="false"/>
                <w:iCs w:val="false"/>
              </w:rPr>
            </w:pPr>
            <w:r>
              <w:rPr>
                <w:rFonts w:ascii="Times New Roman" w:hAnsi="Times New Roman"/>
                <w:i w:val="false"/>
                <w:iCs w:val="false"/>
                <w:sz w:val="22"/>
                <w:szCs w:val="22"/>
              </w:rPr>
              <w:t>0,046</w:t>
            </w:r>
          </w:p>
        </w:tc>
      </w:tr>
      <w:tr>
        <w:trPr>
          <w:trHeight w:val="574" w:hRule="atLeast"/>
        </w:trPr>
        <w:tc>
          <w:tcPr>
            <w:tcW w:w="5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2</w:t>
            </w:r>
          </w:p>
        </w:tc>
        <w:tc>
          <w:tcPr>
            <w:tcW w:w="237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i w:val="false"/>
                <w:i w:val="false"/>
                <w:iCs w:val="false"/>
                <w:sz w:val="22"/>
                <w:szCs w:val="22"/>
              </w:rPr>
            </w:pPr>
            <w:r>
              <w:rPr>
                <w:rFonts w:ascii="Times New Roman" w:hAnsi="Times New Roman"/>
                <w:b/>
                <w:i w:val="false"/>
                <w:iCs w:val="false"/>
                <w:sz w:val="22"/>
                <w:szCs w:val="22"/>
              </w:rPr>
            </w:r>
          </w:p>
        </w:tc>
        <w:tc>
          <w:tcPr>
            <w:tcW w:w="37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jc w:val="both"/>
              <w:rPr/>
            </w:pPr>
            <w:r>
              <w:rPr>
                <w:rStyle w:val="FontStyle23"/>
                <w:rFonts w:cs="Times New Roman" w:ascii="Times New Roman" w:hAnsi="Times New Roman"/>
                <w:b w:val="false"/>
                <w:bCs w:val="false"/>
                <w:i w:val="false"/>
                <w:iCs w:val="false"/>
                <w:color w:val="auto"/>
                <w:position w:val="0"/>
                <w:sz w:val="18"/>
                <w:sz w:val="24"/>
                <w:szCs w:val="24"/>
                <w:vertAlign w:val="baseline"/>
              </w:rPr>
              <w:t>3.1.9 „Langų, stoglangių, stogo ir fasado stiklinės dalies valymas. Valymas nenaudojant specialios įrangos (keltuvų, alpinizmo įrangos, kitos aukštuminės įrangos)“</w:t>
            </w:r>
          </w:p>
        </w:tc>
        <w:tc>
          <w:tcPr>
            <w:tcW w:w="1116"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i w:val="false"/>
                <w:i w:val="false"/>
                <w:iCs w:val="false"/>
              </w:rPr>
            </w:pPr>
            <w:r>
              <w:rPr>
                <w:rFonts w:ascii="Times New Roman" w:hAnsi="Times New Roman"/>
                <w:i w:val="false"/>
                <w:iCs w:val="false"/>
                <w:color w:val="000000"/>
                <w:sz w:val="22"/>
                <w:szCs w:val="22"/>
              </w:rPr>
              <w:t>0,00</w:t>
            </w:r>
          </w:p>
        </w:tc>
        <w:tc>
          <w:tcPr>
            <w:tcW w:w="1001"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i w:val="false"/>
                <w:i w:val="false"/>
                <w:iCs w:val="false"/>
              </w:rPr>
            </w:pPr>
            <w:r>
              <w:rPr>
                <w:rFonts w:ascii="Times New Roman" w:hAnsi="Times New Roman"/>
                <w:i w:val="false"/>
                <w:iCs w:val="false"/>
                <w:sz w:val="22"/>
                <w:szCs w:val="22"/>
                <w:shd w:fill="FFFFFF" w:val="clear"/>
              </w:rPr>
              <w:t>11,1%</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Standard"/>
              <w:spacing w:lineRule="auto" w:line="480"/>
              <w:jc w:val="center"/>
              <w:rPr>
                <w:i w:val="false"/>
                <w:i w:val="false"/>
                <w:iCs w:val="false"/>
              </w:rPr>
            </w:pPr>
            <w:r>
              <w:rPr>
                <w:rFonts w:ascii="Times New Roman" w:hAnsi="Times New Roman"/>
                <w:i w:val="false"/>
                <w:iCs w:val="false"/>
                <w:sz w:val="22"/>
                <w:szCs w:val="22"/>
              </w:rPr>
              <w:t>0,00</w:t>
            </w:r>
          </w:p>
        </w:tc>
      </w:tr>
    </w:tbl>
    <w:p>
      <w:pPr>
        <w:pStyle w:val="Standard"/>
        <w:tabs>
          <w:tab w:val="clear" w:pos="709"/>
          <w:tab w:val="left" w:pos="7410" w:leader="none"/>
        </w:tabs>
        <w:spacing w:before="120" w:after="120"/>
        <w:rPr/>
      </w:pPr>
      <w:r>
        <w:rPr>
          <w:rFonts w:ascii="Times New Roman" w:hAnsi="Times New Roman"/>
          <w:sz w:val="22"/>
          <w:szCs w:val="22"/>
          <w:lang w:eastAsia="ar-SA"/>
        </w:rPr>
        <w:t>Įkainiai apskaičiuoti pagal formulę:</w:t>
      </w:r>
    </w:p>
    <w:p>
      <w:pPr>
        <w:pStyle w:val="Standard"/>
        <w:tabs>
          <w:tab w:val="clear" w:pos="709"/>
          <w:tab w:val="left" w:pos="7410" w:leader="none"/>
        </w:tabs>
        <w:spacing w:before="120" w:after="120"/>
        <w:jc w:val="center"/>
        <w:rPr/>
      </w:pPr>
      <w:r>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1</m:t>
          </m:r>
          <m:r>
            <w:rPr>
              <w:rFonts w:ascii="Cambria Math" w:hAnsi="Cambria Math"/>
            </w:rPr>
            <m:t xml:space="preserve">=</m:t>
          </m:r>
          <m:r>
            <w:rPr>
              <w:rFonts w:ascii="Cambria Math" w:hAnsi="Cambria Math"/>
            </w:rPr>
            <m:t xml:space="preserve">NMMA</m:t>
          </m:r>
          <m:f>
            <m:fPr>
              <m:type m:val="lin"/>
            </m:fPr>
            <m:num>
              <m:r>
                <w:rPr>
                  <w:rFonts w:ascii="Cambria Math" w:hAnsi="Cambria Math"/>
                </w:rPr>
                <m:t xml:space="preserve">(</m:t>
              </m:r>
              <m:r>
                <w:rPr>
                  <w:rFonts w:ascii="Cambria Math" w:hAnsi="Cambria Math"/>
                </w:rPr>
                <m:t xml:space="preserve">naujausia</m:t>
              </m:r>
              <m:r>
                <w:rPr>
                  <w:rFonts w:ascii="Cambria Math" w:hAnsi="Cambria Math"/>
                </w:rPr>
                <m:t xml:space="preserve">)</m:t>
              </m:r>
            </m:num>
            <m:den>
              <m:r>
                <w:rPr>
                  <w:rFonts w:ascii="Cambria Math" w:hAnsi="Cambria Math"/>
                </w:rPr>
                <m:t xml:space="preserve">MMA</m:t>
              </m:r>
            </m:den>
          </m:f>
          <m:r>
            <w:rPr>
              <w:rFonts w:ascii="Cambria Math" w:hAnsi="Cambria Math"/>
            </w:rPr>
            <m:t xml:space="preserve">(</m:t>
          </m:r>
          <m:r>
            <w:rPr>
              <w:rFonts w:ascii="Cambria Math" w:hAnsi="Cambria Math"/>
            </w:rPr>
            <m:t xml:space="preserve">prad</m:t>
          </m:r>
          <m:r>
            <w:rPr>
              <w:rFonts w:ascii="Cambria Math" w:hAnsi="Cambria Math"/>
            </w:rPr>
            <m:t xml:space="preserve">ž</m:t>
          </m:r>
          <m:r>
            <w:rPr>
              <w:rFonts w:ascii="Cambria Math" w:hAnsi="Cambria Math"/>
            </w:rPr>
            <m:t xml:space="preserve">ia</m:t>
          </m:r>
          <m:r>
            <w:rPr>
              <w:rFonts w:ascii="Cambria Math" w:hAnsi="Cambria Math"/>
            </w:rPr>
            <m:t xml:space="preserve">)</m:t>
          </m:r>
          <m:r>
            <w:rPr>
              <w:rFonts w:ascii="Cambria Math" w:hAnsi="Cambria Math"/>
            </w:rPr>
            <m:t xml:space="preserve">x</m:t>
          </m:r>
          <m:r>
            <w:rPr>
              <w:rFonts w:ascii="Cambria Math" w:hAnsi="Cambria Math"/>
            </w:rPr>
            <m:t xml:space="preserve">100</m:t>
          </m:r>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proc</m:t>
          </m:r>
          <m:r>
            <w:rPr>
              <w:rFonts w:ascii="Cambria Math" w:hAnsi="Cambria Math"/>
            </w:rPr>
            <m:t xml:space="preserve">.</m:t>
          </m:r>
          <m:r>
            <w:rPr>
              <w:rFonts w:ascii="Cambria Math" w:hAnsi="Cambria Math"/>
            </w:rPr>
            <m:t xml:space="preserve">)</m:t>
          </m:r>
        </m:oMath>
      </m:oMathPara>
    </w:p>
    <w:p>
      <w:pPr>
        <w:pStyle w:val="Standard"/>
        <w:tabs>
          <w:tab w:val="clear" w:pos="709"/>
          <w:tab w:val="left" w:pos="7410" w:leader="none"/>
        </w:tabs>
        <w:spacing w:before="120" w:after="120"/>
        <w:jc w:val="center"/>
        <w:rPr/>
      </w:pPr>
      <w:r>
        <w:rPr/>
      </w:r>
      <m:oMathPara xmlns:m="http://schemas.openxmlformats.org/officeDocument/2006/math">
        <m:oMathParaPr>
          <m:jc m:val="center"/>
        </m:oMathParaPr>
        <m:oMath>
          <m:r>
            <w:rPr>
              <w:rFonts w:ascii="Cambria Math" w:hAnsi="Cambria Math"/>
            </w:rPr>
            <m:t xml:space="preserve">A</m:t>
          </m:r>
          <m:r>
            <w:rPr>
              <w:rFonts w:ascii="Cambria Math" w:hAnsi="Cambria Math"/>
            </w:rPr>
            <m:t xml:space="preserve">1</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0,8</m:t>
          </m:r>
          <m:r>
            <w:rPr>
              <w:rFonts w:ascii="Cambria Math" w:hAnsi="Cambria Math"/>
            </w:rPr>
            <m:t xml:space="preserve">∗</m:t>
          </m:r>
          <m:r>
            <w:rPr>
              <w:rFonts w:ascii="Cambria Math" w:hAnsi="Cambria Math"/>
            </w:rPr>
            <m:t xml:space="preserve">k</m:t>
          </m:r>
          <m:f>
            <m:fPr>
              <m:type m:val="lin"/>
            </m:fPr>
            <m:num>
              <m:r>
                <w:rPr>
                  <w:rFonts w:ascii="Cambria Math" w:hAnsi="Cambria Math"/>
                </w:rPr>
                <m:t xml:space="preserve">1</m:t>
              </m:r>
            </m:num>
            <m:den>
              <m:r>
                <w:rPr>
                  <w:rFonts w:ascii="Cambria Math" w:hAnsi="Cambria Math"/>
                </w:rPr>
                <m:t xml:space="preserve">100</m:t>
              </m:r>
            </m:den>
          </m:f>
          <m:r>
            <w:rPr>
              <w:rFonts w:ascii="Cambria Math" w:hAnsi="Cambria Math"/>
            </w:rPr>
            <m:t xml:space="preserve">)</m:t>
          </m:r>
        </m:oMath>
      </m:oMathPara>
    </w:p>
    <w:p>
      <w:pPr>
        <w:pStyle w:val="Standard"/>
        <w:tabs>
          <w:tab w:val="clear" w:pos="709"/>
          <w:tab w:val="left" w:pos="7410" w:leader="none"/>
        </w:tabs>
        <w:spacing w:before="120" w:after="120"/>
        <w:rPr/>
      </w:pPr>
      <w:r>
        <w:rPr>
          <w:rFonts w:ascii="Times New Roman" w:hAnsi="Times New Roman"/>
          <w:iCs/>
          <w:sz w:val="22"/>
          <w:szCs w:val="22"/>
          <w:lang w:eastAsia="ar-SA"/>
        </w:rPr>
        <w:t xml:space="preserve"> </w:t>
      </w:r>
      <w:r>
        <w:rPr>
          <w:rFonts w:ascii="Times New Roman" w:hAnsi="Times New Roman"/>
          <w:sz w:val="22"/>
          <w:szCs w:val="22"/>
          <w:lang w:eastAsia="ar-SA"/>
        </w:rPr>
        <w:t>kur:</w:t>
      </w:r>
    </w:p>
    <w:p>
      <w:pPr>
        <w:pStyle w:val="Standard"/>
        <w:spacing w:before="120" w:after="120"/>
        <w:rPr/>
      </w:pPr>
      <w:r>
        <w:rPr>
          <w:rFonts w:ascii="Times New Roman" w:hAnsi="Times New Roman"/>
          <w:sz w:val="22"/>
          <w:szCs w:val="22"/>
          <w:lang w:eastAsia="ar-SA"/>
        </w:rPr>
        <w:t xml:space="preserve">A1– </w:t>
      </w:r>
      <w:r>
        <w:rPr>
          <w:rFonts w:ascii="Times New Roman" w:hAnsi="Times New Roman"/>
          <w:color w:val="000000"/>
          <w:sz w:val="22"/>
          <w:szCs w:val="22"/>
        </w:rPr>
        <w:t>perskaičiuotas (pakeistas) įkainis (Eur be PVM)</w:t>
      </w:r>
    </w:p>
    <w:p>
      <w:pPr>
        <w:pStyle w:val="Standard"/>
        <w:spacing w:before="120" w:after="120"/>
        <w:rPr/>
      </w:pPr>
      <w:r>
        <w:rPr>
          <w:rFonts w:ascii="Times New Roman" w:hAnsi="Times New Roman"/>
          <w:sz w:val="22"/>
          <w:szCs w:val="22"/>
          <w:lang w:eastAsia="ar-SA"/>
        </w:rPr>
        <w:t>A – paslaugų įkainiai nurodyti sutartyje</w:t>
      </w:r>
    </w:p>
    <w:p>
      <w:pPr>
        <w:pStyle w:val="Normal"/>
        <w:spacing w:lineRule="auto" w:line="276"/>
        <w:jc w:val="both"/>
        <w:rPr/>
      </w:pPr>
      <w:r>
        <w:rPr>
          <w:rStyle w:val="FontStyle23"/>
          <w:rFonts w:cs="Times New Roman" w:ascii="Times New Roman" w:hAnsi="Times New Roman"/>
          <w:b w:val="false"/>
          <w:bCs w:val="false"/>
          <w:color w:val="auto"/>
          <w:position w:val="0"/>
          <w:sz w:val="18"/>
          <w:sz w:val="24"/>
          <w:szCs w:val="24"/>
          <w:vertAlign w:val="baseline"/>
        </w:rPr>
        <w:t>(</w:t>
      </w:r>
      <w:r>
        <w:rPr>
          <w:rStyle w:val="FontStyle23"/>
          <w:rFonts w:cs="Times New Roman" w:ascii="Times New Roman" w:hAnsi="Times New Roman"/>
          <w:b w:val="false"/>
          <w:bCs w:val="false"/>
          <w:position w:val="0"/>
          <w:sz w:val="18"/>
          <w:sz w:val="24"/>
          <w:szCs w:val="24"/>
          <w:vertAlign w:val="baseline"/>
        </w:rPr>
        <w:t xml:space="preserve">Ind (naujausias 2025K3) – 122,2551, </w:t>
      </w:r>
      <w:r>
        <w:rPr>
          <w:rStyle w:val="FontStyle23"/>
          <w:rFonts w:eastAsia="Times New Roman" w:cs="Times New Roman" w:ascii="Times New Roman" w:hAnsi="Times New Roman"/>
          <w:b w:val="false"/>
          <w:bCs w:val="false"/>
          <w:i w:val="false"/>
          <w:caps w:val="false"/>
          <w:smallCaps w:val="false"/>
          <w:color w:val="000000"/>
          <w:spacing w:val="0"/>
          <w:kern w:val="0"/>
          <w:position w:val="0"/>
          <w:sz w:val="18"/>
          <w:sz w:val="24"/>
          <w:szCs w:val="24"/>
          <w:shd w:fill="FFFFFF" w:val="clear"/>
          <w:vertAlign w:val="baseline"/>
          <w:lang w:val="lt-LT" w:eastAsia="lt-LT" w:bidi="ar-SA"/>
        </w:rPr>
        <w:t>Ind (pradžia 2025K2) – 123,735</w:t>
      </w:r>
      <w:r>
        <w:rPr>
          <w:rStyle w:val="FontStyle23"/>
          <w:rFonts w:eastAsia="Times New Roman" w:cs="Times New Roman" w:ascii="Times New Roman" w:hAnsi="Times New Roman"/>
          <w:b w:val="false"/>
          <w:bCs w:val="false"/>
          <w:i w:val="false"/>
          <w:caps w:val="false"/>
          <w:smallCaps w:val="false"/>
          <w:spacing w:val="0"/>
          <w:kern w:val="0"/>
          <w:position w:val="0"/>
          <w:sz w:val="18"/>
          <w:sz w:val="24"/>
          <w:szCs w:val="24"/>
          <w:shd w:fill="FFFFFF" w:val="clear"/>
          <w:vertAlign w:val="baseline"/>
          <w:lang w:val="lt-LT" w:eastAsia="lt-LT" w:bidi="ar-SA"/>
        </w:rPr>
        <w:t xml:space="preserve">; </w:t>
      </w:r>
      <w:r>
        <w:rPr>
          <w:rStyle w:val="FontStyle23"/>
          <w:rFonts w:cs="Times New Roman" w:ascii="Times New Roman" w:hAnsi="Times New Roman"/>
          <w:b w:val="false"/>
          <w:bCs w:val="false"/>
          <w:position w:val="0"/>
          <w:sz w:val="18"/>
          <w:sz w:val="24"/>
          <w:szCs w:val="24"/>
          <w:vertAlign w:val="baseline"/>
        </w:rPr>
        <w:t>NMMA (naujausia 2026 m.) – 1153 Eur;  MMA (pradžia 2025 m.) – 1038 Eur.).</w:t>
      </w:r>
    </w:p>
    <w:p>
      <w:pPr>
        <w:pStyle w:val="Normal"/>
        <w:spacing w:lineRule="auto" w:line="276"/>
        <w:jc w:val="both"/>
        <w:rPr/>
      </w:pPr>
      <w:r>
        <w:rPr>
          <w:rStyle w:val="FontStyle23"/>
          <w:rFonts w:cs="Times New Roman" w:ascii="Times New Roman" w:hAnsi="Times New Roman"/>
          <w:b w:val="false"/>
          <w:bCs w:val="false"/>
          <w:color w:val="auto"/>
          <w:position w:val="0"/>
          <w:sz w:val="18"/>
          <w:sz w:val="24"/>
          <w:szCs w:val="24"/>
          <w:vertAlign w:val="baseline"/>
        </w:rPr>
        <w:t>Perskaičiuota pradinės sutarties vertė – 26 855,17 Eur be PVM.</w:t>
      </w:r>
    </w:p>
    <w:p>
      <w:pPr>
        <w:pStyle w:val="Standard"/>
        <w:spacing w:before="120" w:after="120"/>
        <w:rPr>
          <w:rFonts w:ascii="Times New Roman" w:hAnsi="Times New Roman"/>
          <w:sz w:val="22"/>
          <w:szCs w:val="22"/>
          <w:lang w:eastAsia="ar-SA"/>
        </w:rPr>
      </w:pPr>
      <w:r>
        <w:rPr>
          <w:rFonts w:ascii="Times New Roman" w:hAnsi="Times New Roman"/>
          <w:sz w:val="22"/>
          <w:szCs w:val="22"/>
          <w:lang w:eastAsia="ar-SA"/>
        </w:rPr>
      </w:r>
    </w:p>
    <w:p>
      <w:pPr>
        <w:pStyle w:val="Standard"/>
        <w:spacing w:before="120" w:after="120"/>
        <w:rPr>
          <w:rFonts w:ascii="Times New Roman" w:hAnsi="Times New Roman"/>
          <w:sz w:val="22"/>
          <w:szCs w:val="22"/>
          <w:lang w:eastAsia="ar-SA"/>
        </w:rPr>
      </w:pPr>
      <w:r>
        <w:rPr>
          <w:rFonts w:ascii="Times New Roman" w:hAnsi="Times New Roman"/>
          <w:sz w:val="22"/>
          <w:szCs w:val="22"/>
          <w:lang w:eastAsia="ar-SA"/>
        </w:rPr>
      </w:r>
    </w:p>
    <w:p>
      <w:pPr>
        <w:pStyle w:val="Standard"/>
        <w:spacing w:before="120" w:after="120"/>
        <w:rPr>
          <w:rFonts w:ascii="Times New Roman" w:hAnsi="Times New Roman"/>
          <w:sz w:val="22"/>
          <w:szCs w:val="22"/>
          <w:lang w:eastAsia="ar-SA"/>
        </w:rPr>
      </w:pPr>
      <w:r>
        <w:rPr>
          <w:rFonts w:ascii="Times New Roman" w:hAnsi="Times New Roman"/>
          <w:sz w:val="22"/>
          <w:szCs w:val="22"/>
          <w:lang w:eastAsia="ar-SA"/>
        </w:rPr>
      </w:r>
    </w:p>
    <w:tbl>
      <w:tblPr>
        <w:tblW w:w="9717" w:type="dxa"/>
        <w:jc w:val="left"/>
        <w:tblInd w:w="33" w:type="dxa"/>
        <w:tblLayout w:type="fixed"/>
        <w:tblCellMar>
          <w:top w:w="0" w:type="dxa"/>
          <w:left w:w="108" w:type="dxa"/>
          <w:bottom w:w="0" w:type="dxa"/>
          <w:right w:w="108" w:type="dxa"/>
        </w:tblCellMar>
        <w:tblLook w:firstRow="1" w:noVBand="1" w:lastRow="0" w:firstColumn="1" w:lastColumn="0" w:noHBand="0" w:val="04a0"/>
      </w:tblPr>
      <w:tblGrid>
        <w:gridCol w:w="5352"/>
        <w:gridCol w:w="4364"/>
      </w:tblGrid>
      <w:tr>
        <w:trPr>
          <w:trHeight w:val="1507" w:hRule="atLeast"/>
        </w:trPr>
        <w:tc>
          <w:tcPr>
            <w:tcW w:w="5352" w:type="dxa"/>
            <w:tcBorders/>
          </w:tcPr>
          <w:p>
            <w:pPr>
              <w:pStyle w:val="Style16"/>
              <w:widowControl/>
              <w:tabs>
                <w:tab w:val="clear" w:pos="709"/>
                <w:tab w:val="left" w:pos="6096" w:leader="none"/>
              </w:tabs>
              <w:jc w:val="both"/>
              <w:rPr/>
            </w:pPr>
            <w:r>
              <w:rPr>
                <w:rStyle w:val="FontStyle23"/>
                <w:rFonts w:cs="Times New Roman" w:ascii="Times New Roman" w:hAnsi="Times New Roman"/>
                <w:b/>
                <w:bCs/>
                <w:kern w:val="0"/>
                <w:sz w:val="22"/>
                <w:szCs w:val="22"/>
              </w:rPr>
              <w:t>Užsakovo vardu</w:t>
            </w:r>
          </w:p>
          <w:p>
            <w:pPr>
              <w:pStyle w:val="Style16"/>
              <w:tabs>
                <w:tab w:val="clear" w:pos="709"/>
                <w:tab w:val="left" w:pos="6096" w:leader="none"/>
              </w:tabs>
              <w:jc w:val="both"/>
              <w:rPr>
                <w:rStyle w:val="FontStyle23"/>
                <w:rFonts w:ascii="Times New Roman" w:hAnsi="Times New Roman" w:cs="Times New Roman"/>
                <w:bCs/>
                <w:sz w:val="22"/>
                <w:szCs w:val="22"/>
              </w:rPr>
            </w:pPr>
            <w:r>
              <w:rPr/>
            </w:r>
          </w:p>
        </w:tc>
        <w:tc>
          <w:tcPr>
            <w:tcW w:w="4364" w:type="dxa"/>
            <w:tcBorders/>
          </w:tcPr>
          <w:p>
            <w:pPr>
              <w:pStyle w:val="Style16"/>
              <w:widowControl/>
              <w:jc w:val="both"/>
              <w:rPr/>
            </w:pPr>
            <w:r>
              <w:rPr>
                <w:rStyle w:val="FontStyle23"/>
                <w:rFonts w:cs="Times New Roman" w:ascii="Times New Roman" w:hAnsi="Times New Roman"/>
                <w:b/>
                <w:bCs/>
                <w:kern w:val="0"/>
                <w:sz w:val="22"/>
                <w:szCs w:val="22"/>
              </w:rPr>
              <w:t>Paslaugų teikėjo vardu</w:t>
            </w:r>
          </w:p>
          <w:p>
            <w:pPr>
              <w:pStyle w:val="Style61"/>
              <w:widowControl/>
              <w:jc w:val="both"/>
              <w:rPr/>
            </w:pPr>
            <w:r>
              <w:rPr>
                <w:rStyle w:val="FontStyle23"/>
                <w:rFonts w:cs="Times New Roman" w:ascii="Times New Roman" w:hAnsi="Times New Roman"/>
                <w:kern w:val="0"/>
                <w:sz w:val="22"/>
                <w:szCs w:val="22"/>
              </w:rPr>
              <w:t>Direktorė</w:t>
            </w:r>
          </w:p>
          <w:p>
            <w:pPr>
              <w:pStyle w:val="Style61"/>
              <w:widowControl/>
              <w:jc w:val="both"/>
              <w:rPr/>
            </w:pPr>
            <w:r>
              <w:rPr>
                <w:rStyle w:val="FontStyle23"/>
                <w:rFonts w:cs="Times New Roman" w:ascii="Times New Roman" w:hAnsi="Times New Roman"/>
                <w:kern w:val="0"/>
                <w:sz w:val="22"/>
                <w:szCs w:val="22"/>
              </w:rPr>
              <w:t>Skirmantė Norvaišaitė-Toleikienė</w:t>
            </w:r>
          </w:p>
          <w:p>
            <w:pPr>
              <w:pStyle w:val="Style61"/>
              <w:widowControl/>
              <w:jc w:val="both"/>
              <w:rPr>
                <w:rFonts w:ascii="Times New Roman" w:hAnsi="Times New Roman" w:cs="Times New Roman"/>
                <w:sz w:val="22"/>
                <w:szCs w:val="22"/>
              </w:rPr>
            </w:pPr>
            <w:r>
              <w:rPr>
                <w:rFonts w:cs="Times New Roman" w:ascii="Times New Roman" w:hAnsi="Times New Roman"/>
                <w:sz w:val="22"/>
                <w:szCs w:val="22"/>
              </w:rPr>
            </w:r>
          </w:p>
        </w:tc>
      </w:tr>
    </w:tbl>
    <w:p>
      <w:pPr>
        <w:pStyle w:val="Standard"/>
        <w:rPr>
          <w:rFonts w:ascii="Times New Roman" w:hAnsi="Times New Roman"/>
          <w:sz w:val="22"/>
          <w:szCs w:val="22"/>
          <w:lang w:eastAsia="ar-SA"/>
        </w:rPr>
      </w:pPr>
      <w:r>
        <w:rPr>
          <w:rFonts w:ascii="Times New Roman" w:hAnsi="Times New Roman"/>
          <w:sz w:val="22"/>
          <w:szCs w:val="22"/>
          <w:lang w:eastAsia="ar-SA"/>
        </w:rPr>
      </w:r>
    </w:p>
    <w:sectPr>
      <w:type w:val="nextPage"/>
      <w:pgSz w:w="11906" w:h="16838"/>
      <w:pgMar w:left="1560" w:right="710" w:gutter="0" w:header="0" w:top="1418" w:footer="0" w:bottom="9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rial">
    <w:charset w:val="ba"/>
    <w:family w:val="swiss"/>
    <w:pitch w:val="variable"/>
  </w:font>
  <w:font w:name="Cambria">
    <w:charset w:val="ba"/>
    <w:family w:val="roman"/>
    <w:pitch w:val="variable"/>
  </w:font>
  <w:font w:name="Liberation Sans">
    <w:altName w:val="Arial"/>
    <w:charset w:val="ba"/>
    <w:family w:val="swiss"/>
    <w:pitch w:val="variable"/>
  </w:font>
  <w:font w:name="Times New Roman">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right"/>
      <w:pPr>
        <w:tabs>
          <w:tab w:val="num" w:pos="0"/>
        </w:tabs>
        <w:ind w:left="720" w:hanging="360"/>
      </w:pPr>
      <w:rPr>
        <w:rFonts w:ascii="Times New Roman" w:hAnsi="Times New Roman" w:cs="Times New Roman"/>
      </w:rPr>
    </w:lvl>
    <w:lvl w:ilvl="1">
      <w:start w:val="1"/>
      <w:numFmt w:val="lowerLetter"/>
      <w:lvlText w:val="."/>
      <w:lvlJc w:val="left"/>
      <w:pPr>
        <w:tabs>
          <w:tab w:val="num" w:pos="0"/>
        </w:tabs>
        <w:ind w:left="1440" w:hanging="360"/>
      </w:pPr>
      <w:rPr/>
    </w:lvl>
    <w:lvl w:ilvl="2">
      <w:start w:val="1"/>
      <w:numFmt w:val="lowerRoman"/>
      <w:lvlText w:val="."/>
      <w:lvlJc w:val="right"/>
      <w:pPr>
        <w:tabs>
          <w:tab w:val="num" w:pos="0"/>
        </w:tabs>
        <w:ind w:left="2160" w:hanging="180"/>
      </w:pPr>
      <w:rPr/>
    </w:lvl>
    <w:lvl w:ilvl="3">
      <w:start w:val="1"/>
      <w:numFmt w:val="decimal"/>
      <w:lvlText w:val="."/>
      <w:lvlJc w:val="left"/>
      <w:pPr>
        <w:tabs>
          <w:tab w:val="num" w:pos="0"/>
        </w:tabs>
        <w:ind w:left="2880" w:hanging="360"/>
      </w:pPr>
      <w:rPr/>
    </w:lvl>
    <w:lvl w:ilvl="4">
      <w:start w:val="1"/>
      <w:numFmt w:val="lowerLetter"/>
      <w:lvlText w:val="."/>
      <w:lvlJc w:val="left"/>
      <w:pPr>
        <w:tabs>
          <w:tab w:val="num" w:pos="0"/>
        </w:tabs>
        <w:ind w:left="3600" w:hanging="360"/>
      </w:pPr>
      <w:rPr/>
    </w:lvl>
    <w:lvl w:ilvl="5">
      <w:start w:val="1"/>
      <w:numFmt w:val="lowerRoman"/>
      <w:lvlText w:val="."/>
      <w:lvlJc w:val="right"/>
      <w:pPr>
        <w:tabs>
          <w:tab w:val="num" w:pos="0"/>
        </w:tabs>
        <w:ind w:left="4320" w:hanging="180"/>
      </w:pPr>
      <w:rPr/>
    </w:lvl>
    <w:lvl w:ilvl="6">
      <w:start w:val="1"/>
      <w:numFmt w:val="decimal"/>
      <w:lvlText w:val="."/>
      <w:lvlJc w:val="left"/>
      <w:pPr>
        <w:tabs>
          <w:tab w:val="num" w:pos="0"/>
        </w:tabs>
        <w:ind w:left="5040" w:hanging="360"/>
      </w:pPr>
      <w:rPr/>
    </w:lvl>
    <w:lvl w:ilvl="7">
      <w:start w:val="1"/>
      <w:numFmt w:val="lowerLetter"/>
      <w:lvlText w:val="."/>
      <w:lvlJc w:val="left"/>
      <w:pPr>
        <w:tabs>
          <w:tab w:val="num" w:pos="0"/>
        </w:tabs>
        <w:ind w:left="5760" w:hanging="360"/>
      </w:pPr>
      <w:rPr/>
    </w:lvl>
    <w:lvl w:ilvl="8">
      <w:start w:val="1"/>
      <w:numFmt w:val="lowerRoman"/>
      <w:lvlText w:val="."/>
      <w:lvlJc w:val="right"/>
      <w:pPr>
        <w:tabs>
          <w:tab w:val="num" w:pos="0"/>
        </w:tabs>
        <w:ind w:left="6480" w:hanging="180"/>
      </w:pPr>
      <w:rPr/>
    </w:lvl>
  </w:abstractNum>
  <w:abstractNum w:abstractNumId="2">
    <w:lvl w:ilvl="0">
      <w:start w:val="1"/>
      <w:numFmt w:val="lowerRoman"/>
      <w:lvlText w:val="(%1)"/>
      <w:lvlJc w:val="right"/>
      <w:pPr>
        <w:tabs>
          <w:tab w:val="num" w:pos="0"/>
        </w:tabs>
        <w:ind w:left="720" w:hanging="360"/>
      </w:pPr>
      <w:rPr>
        <w:rFonts w:ascii="Times New Roman" w:hAnsi="Times New Roman" w:cs="Times New Roman"/>
      </w:rPr>
    </w:lvl>
    <w:lvl w:ilvl="1">
      <w:start w:val="1"/>
      <w:numFmt w:val="lowerLetter"/>
      <w:lvlText w:val="."/>
      <w:lvlJc w:val="left"/>
      <w:pPr>
        <w:tabs>
          <w:tab w:val="num" w:pos="0"/>
        </w:tabs>
        <w:ind w:left="1440" w:hanging="360"/>
      </w:pPr>
      <w:rPr/>
    </w:lvl>
    <w:lvl w:ilvl="2">
      <w:start w:val="1"/>
      <w:numFmt w:val="lowerRoman"/>
      <w:lvlText w:val="."/>
      <w:lvlJc w:val="right"/>
      <w:pPr>
        <w:tabs>
          <w:tab w:val="num" w:pos="0"/>
        </w:tabs>
        <w:ind w:left="2160" w:hanging="180"/>
      </w:pPr>
      <w:rPr/>
    </w:lvl>
    <w:lvl w:ilvl="3">
      <w:start w:val="1"/>
      <w:numFmt w:val="decimal"/>
      <w:lvlText w:val="."/>
      <w:lvlJc w:val="left"/>
      <w:pPr>
        <w:tabs>
          <w:tab w:val="num" w:pos="0"/>
        </w:tabs>
        <w:ind w:left="2880" w:hanging="360"/>
      </w:pPr>
      <w:rPr/>
    </w:lvl>
    <w:lvl w:ilvl="4">
      <w:start w:val="1"/>
      <w:numFmt w:val="lowerLetter"/>
      <w:lvlText w:val="."/>
      <w:lvlJc w:val="left"/>
      <w:pPr>
        <w:tabs>
          <w:tab w:val="num" w:pos="0"/>
        </w:tabs>
        <w:ind w:left="3600" w:hanging="360"/>
      </w:pPr>
      <w:rPr/>
    </w:lvl>
    <w:lvl w:ilvl="5">
      <w:start w:val="1"/>
      <w:numFmt w:val="lowerRoman"/>
      <w:lvlText w:val="."/>
      <w:lvlJc w:val="right"/>
      <w:pPr>
        <w:tabs>
          <w:tab w:val="num" w:pos="0"/>
        </w:tabs>
        <w:ind w:left="4320" w:hanging="180"/>
      </w:pPr>
      <w:rPr/>
    </w:lvl>
    <w:lvl w:ilvl="6">
      <w:start w:val="1"/>
      <w:numFmt w:val="decimal"/>
      <w:lvlText w:val="."/>
      <w:lvlJc w:val="left"/>
      <w:pPr>
        <w:tabs>
          <w:tab w:val="num" w:pos="0"/>
        </w:tabs>
        <w:ind w:left="5040" w:hanging="360"/>
      </w:pPr>
      <w:rPr/>
    </w:lvl>
    <w:lvl w:ilvl="7">
      <w:start w:val="1"/>
      <w:numFmt w:val="lowerLetter"/>
      <w:lvlText w:val="."/>
      <w:lvlJc w:val="left"/>
      <w:pPr>
        <w:tabs>
          <w:tab w:val="num" w:pos="0"/>
        </w:tabs>
        <w:ind w:left="5760" w:hanging="360"/>
      </w:pPr>
      <w:rPr/>
    </w:lvl>
    <w:lvl w:ilvl="8">
      <w:start w:val="1"/>
      <w:numFmt w:val="lowerRoman"/>
      <w:lvlText w:val="."/>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lt-L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lt-LT" w:eastAsia="zh-CN" w:bidi="hi-IN"/>
    </w:rPr>
  </w:style>
  <w:style w:type="character" w:styleId="DefaultParagraphFont" w:default="1">
    <w:name w:val="Default Paragraph Font"/>
    <w:uiPriority w:val="1"/>
    <w:semiHidden/>
    <w:unhideWhenUsed/>
    <w:qFormat/>
    <w:rPr/>
  </w:style>
  <w:style w:type="character" w:styleId="DefaultParagraphFontWW" w:customStyle="1">
    <w:name w:val="Default Paragraph Font (WW)"/>
    <w:qFormat/>
    <w:rPr/>
  </w:style>
  <w:style w:type="character" w:styleId="FontStyle24" w:customStyle="1">
    <w:name w:val="Font Style24"/>
    <w:basedOn w:val="DefaultParagraphFontWW"/>
    <w:qFormat/>
    <w:rPr>
      <w:rFonts w:ascii="Arial" w:hAnsi="Arial" w:eastAsia="Arial" w:cs="Arial"/>
      <w:b/>
      <w:bCs/>
      <w:color w:val="000000"/>
      <w:sz w:val="18"/>
      <w:szCs w:val="18"/>
    </w:rPr>
  </w:style>
  <w:style w:type="character" w:styleId="FontStyle23" w:customStyle="1">
    <w:name w:val="Font Style23"/>
    <w:basedOn w:val="DefaultParagraphFontWW"/>
    <w:qFormat/>
    <w:rPr>
      <w:rFonts w:ascii="Arial" w:hAnsi="Arial" w:eastAsia="Arial" w:cs="Arial"/>
      <w:color w:val="000000"/>
      <w:sz w:val="18"/>
      <w:szCs w:val="18"/>
    </w:rPr>
  </w:style>
  <w:style w:type="character" w:styleId="FontStyle68" w:customStyle="1">
    <w:name w:val="Font Style68"/>
    <w:qFormat/>
    <w:rPr>
      <w:rFonts w:ascii="Cambria" w:hAnsi="Cambria" w:eastAsia="Cambria" w:cs="Cambria"/>
      <w:i/>
      <w:sz w:val="16"/>
    </w:rPr>
  </w:style>
  <w:style w:type="character" w:styleId="FontStyle25" w:customStyle="1">
    <w:name w:val="Font Style25"/>
    <w:basedOn w:val="DefaultParagraphFontWW"/>
    <w:qFormat/>
    <w:rPr>
      <w:rFonts w:ascii="Arial" w:hAnsi="Arial" w:eastAsia="Arial" w:cs="Arial"/>
      <w:i/>
      <w:iCs/>
      <w:color w:val="000000"/>
      <w:sz w:val="18"/>
      <w:szCs w:val="18"/>
    </w:rPr>
  </w:style>
  <w:style w:type="character" w:styleId="FontStyle22" w:customStyle="1">
    <w:name w:val="Font Style22"/>
    <w:basedOn w:val="DefaultParagraphFontWW"/>
    <w:qFormat/>
    <w:rPr>
      <w:rFonts w:ascii="Arial" w:hAnsi="Arial" w:eastAsia="Arial" w:cs="Arial"/>
      <w:b/>
      <w:bCs/>
      <w:smallCaps/>
      <w:color w:val="000000"/>
      <w:sz w:val="18"/>
      <w:szCs w:val="18"/>
    </w:rPr>
  </w:style>
  <w:style w:type="character" w:styleId="PoratDiagrama" w:customStyle="1">
    <w:name w:val="Poraštė Diagrama"/>
    <w:basedOn w:val="DefaultParagraphFontWW"/>
    <w:qFormat/>
    <w:rPr>
      <w:lang w:val="lt-L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Rodykl">
    <w:name w:val="Rodyklė"/>
    <w:basedOn w:val="Normal"/>
    <w:qFormat/>
    <w:pPr>
      <w:suppressLineNumbers/>
    </w:pPr>
    <w:rPr>
      <w:rFonts w:cs="Lucida Sans"/>
    </w:rPr>
  </w:style>
  <w:style w:type="paragraph" w:styleId="Antratuser" w:customStyle="1">
    <w:name w:val="Antraštė (user)"/>
    <w:basedOn w:val="Standard"/>
    <w:next w:val="Textbody"/>
    <w:qFormat/>
    <w:pPr>
      <w:keepNext w:val="true"/>
      <w:spacing w:before="240" w:after="120"/>
    </w:pPr>
    <w:rPr>
      <w:rFonts w:ascii="Liberation Sans" w:hAnsi="Liberation Sans" w:eastAsia="Microsoft YaHei"/>
      <w:sz w:val="28"/>
      <w:szCs w:val="28"/>
    </w:rPr>
  </w:style>
  <w:style w:type="paragraph" w:styleId="Rodykluser" w:customStyle="1">
    <w:name w:val="Rodyklė (user)"/>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lt-LT" w:eastAsia="zh-CN" w:bidi="hi-IN"/>
    </w:rPr>
  </w:style>
  <w:style w:type="paragraph" w:styleId="Textbody" w:customStyle="1">
    <w:name w:val="Text body"/>
    <w:basedOn w:val="Standard"/>
    <w:qFormat/>
    <w:pPr>
      <w:spacing w:lineRule="auto" w:line="276" w:before="0" w:after="140"/>
    </w:pPr>
    <w:rPr/>
  </w:style>
  <w:style w:type="paragraph" w:styleId="Style31" w:customStyle="1">
    <w:name w:val="Style3"/>
    <w:basedOn w:val="Standard"/>
    <w:qFormat/>
    <w:pPr>
      <w:widowControl w:val="false"/>
    </w:pPr>
    <w:rPr>
      <w:rFonts w:cs="DokChampa"/>
      <w:lang w:eastAsia="lt-LT" w:bidi="lo-LA"/>
    </w:rPr>
  </w:style>
  <w:style w:type="paragraph" w:styleId="Style61" w:customStyle="1">
    <w:name w:val="Style6"/>
    <w:basedOn w:val="Standard"/>
    <w:qFormat/>
    <w:pPr>
      <w:widowControl w:val="false"/>
    </w:pPr>
    <w:rPr>
      <w:rFonts w:cs="DokChampa"/>
      <w:lang w:eastAsia="lt-LT" w:bidi="lo-LA"/>
    </w:rPr>
  </w:style>
  <w:style w:type="paragraph" w:styleId="Style51" w:customStyle="1">
    <w:name w:val="Style5"/>
    <w:basedOn w:val="Standard"/>
    <w:qFormat/>
    <w:pPr>
      <w:widowControl w:val="false"/>
    </w:pPr>
    <w:rPr>
      <w:rFonts w:cs="DokChampa"/>
      <w:lang w:eastAsia="lt-LT" w:bidi="lo-LA"/>
    </w:rPr>
  </w:style>
  <w:style w:type="paragraph" w:styleId="Style18" w:customStyle="1">
    <w:name w:val="Style18"/>
    <w:basedOn w:val="Standard"/>
    <w:qFormat/>
    <w:pPr>
      <w:widowControl w:val="false"/>
    </w:pPr>
    <w:rPr>
      <w:rFonts w:ascii="Arial" w:hAnsi="Arial" w:eastAsia="Arial"/>
      <w:lang w:eastAsia="lt-LT"/>
    </w:rPr>
  </w:style>
  <w:style w:type="paragraph" w:styleId="ListParagraph">
    <w:name w:val="List Paragraph"/>
    <w:basedOn w:val="Standard"/>
    <w:qFormat/>
    <w:pPr>
      <w:spacing w:before="0" w:after="0"/>
      <w:ind w:left="720"/>
      <w:contextualSpacing/>
    </w:pPr>
    <w:rPr/>
  </w:style>
  <w:style w:type="paragraph" w:styleId="Style16" w:customStyle="1">
    <w:name w:val="Style16"/>
    <w:basedOn w:val="Standard"/>
    <w:qFormat/>
    <w:pPr>
      <w:widowControl w:val="false"/>
    </w:pPr>
    <w:rPr>
      <w:rFonts w:cs="DokChampa"/>
      <w:lang w:eastAsia="lt-LT" w:bidi="lo-LA"/>
    </w:rPr>
  </w:style>
  <w:style w:type="paragraph" w:styleId="TableParagraph" w:customStyle="1">
    <w:name w:val="Table Paragraph"/>
    <w:basedOn w:val="Standard"/>
    <w:qFormat/>
    <w:pPr>
      <w:widowControl w:val="false"/>
      <w:spacing w:before="2" w:after="0"/>
      <w:ind w:left="55"/>
    </w:pPr>
    <w:rPr>
      <w:sz w:val="22"/>
      <w:szCs w:val="22"/>
    </w:rPr>
  </w:style>
  <w:style w:type="paragraph" w:styleId="Lentelsturinysuser" w:customStyle="1">
    <w:name w:val="Lentelės turinys (user)"/>
    <w:basedOn w:val="Standard"/>
    <w:qFormat/>
    <w:pPr>
      <w:widowControl w:val="false"/>
      <w:suppressLineNumbers/>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LibreOffice/25.2.3.2$Windows_X86_64 LibreOffice_project/bbb074479178df812d175f709636b368952c2ce3</Application>
  <AppVersion>15.0000</AppVersion>
  <Pages>2</Pages>
  <Words>563</Words>
  <Characters>4007</Characters>
  <CharactersWithSpaces>4559</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2025-12-12T10:23:00Z</dcterms:created>
  <dc:creator>Daiva Pavelčikienė</dc:creator>
  <dc:description/>
  <dc:language>lt-LT</dc:language>
  <cp:lastModifiedBy/>
  <dcterms:modified xsi:type="dcterms:W3CDTF">2025-12-22T11:12:15Z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