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42A8" w14:textId="491BC1E3" w:rsidR="006500C7" w:rsidRPr="00552D4C" w:rsidRDefault="0014167E" w:rsidP="006500C7">
      <w:pPr>
        <w:ind w:left="6521"/>
        <w:jc w:val="both"/>
        <w:rPr>
          <w:sz w:val="22"/>
          <w:szCs w:val="22"/>
        </w:rPr>
      </w:pPr>
      <w:r w:rsidRPr="0014167E">
        <w:rPr>
          <w:bCs/>
          <w:sz w:val="22"/>
          <w:szCs w:val="22"/>
          <w:lang w:eastAsia="lt-LT"/>
        </w:rPr>
        <w:t xml:space="preserve">Išorinių </w:t>
      </w:r>
      <w:r w:rsidR="00E72215" w:rsidRPr="00E72215">
        <w:rPr>
          <w:bCs/>
          <w:sz w:val="22"/>
          <w:szCs w:val="22"/>
          <w:lang w:eastAsia="lt-LT"/>
        </w:rPr>
        <w:t xml:space="preserve">grėsmių ir spragų </w:t>
      </w:r>
      <w:r w:rsidRPr="0014167E">
        <w:rPr>
          <w:bCs/>
          <w:sz w:val="22"/>
          <w:szCs w:val="22"/>
          <w:lang w:eastAsia="lt-LT"/>
        </w:rPr>
        <w:t>žvalgybos platform</w:t>
      </w:r>
      <w:r w:rsidR="00F91E2F">
        <w:rPr>
          <w:bCs/>
          <w:sz w:val="22"/>
          <w:szCs w:val="22"/>
          <w:lang w:eastAsia="lt-LT"/>
        </w:rPr>
        <w:t>os</w:t>
      </w:r>
      <w:r>
        <w:rPr>
          <w:bCs/>
          <w:sz w:val="22"/>
          <w:szCs w:val="22"/>
          <w:lang w:eastAsia="lt-LT"/>
        </w:rPr>
        <w:t xml:space="preserve"> </w:t>
      </w:r>
      <w:r w:rsidR="006500C7">
        <w:rPr>
          <w:sz w:val="22"/>
          <w:szCs w:val="22"/>
          <w:lang w:eastAsia="lt-LT"/>
        </w:rPr>
        <w:t>pirkimo</w:t>
      </w:r>
      <w:r w:rsidR="00F91E2F">
        <w:rPr>
          <w:bCs/>
          <w:iCs/>
          <w:sz w:val="22"/>
          <w:szCs w:val="22"/>
          <w:lang w:eastAsia="lt-LT"/>
        </w:rPr>
        <w:t xml:space="preserve">-pardavimo sutarties </w:t>
      </w:r>
    </w:p>
    <w:p w14:paraId="2730079E" w14:textId="48E9F90E" w:rsidR="006500C7" w:rsidRPr="00552D4C" w:rsidRDefault="006500C7" w:rsidP="006500C7">
      <w:pPr>
        <w:ind w:left="6480" w:firstLine="41"/>
        <w:jc w:val="both"/>
        <w:rPr>
          <w:sz w:val="22"/>
          <w:szCs w:val="22"/>
        </w:rPr>
      </w:pPr>
      <w:r w:rsidRPr="00552D4C">
        <w:rPr>
          <w:sz w:val="22"/>
          <w:szCs w:val="22"/>
        </w:rPr>
        <w:t xml:space="preserve">priedas </w:t>
      </w:r>
      <w:r w:rsidR="004E7326">
        <w:rPr>
          <w:sz w:val="22"/>
          <w:szCs w:val="22"/>
        </w:rPr>
        <w:t>Nr. 1</w:t>
      </w:r>
    </w:p>
    <w:p w14:paraId="78A1080B" w14:textId="77777777" w:rsidR="006500C7" w:rsidRDefault="006500C7" w:rsidP="006500C7">
      <w:pPr>
        <w:pStyle w:val="Skyriauspavadinimas"/>
        <w:numPr>
          <w:ilvl w:val="0"/>
          <w:numId w:val="0"/>
        </w:numPr>
        <w:ind w:left="426"/>
        <w:jc w:val="both"/>
        <w:rPr>
          <w:rFonts w:ascii="Times New Roman" w:hAnsi="Times New Roman"/>
          <w:sz w:val="22"/>
          <w:szCs w:val="22"/>
          <w:lang w:val="lt-LT" w:eastAsia="lt-LT"/>
        </w:rPr>
      </w:pPr>
    </w:p>
    <w:p w14:paraId="54BE916B" w14:textId="77777777" w:rsidR="006500C7" w:rsidRDefault="006500C7" w:rsidP="006500C7">
      <w:pPr>
        <w:pStyle w:val="Skyriauspavadinimas"/>
        <w:numPr>
          <w:ilvl w:val="0"/>
          <w:numId w:val="0"/>
        </w:numPr>
        <w:ind w:left="426"/>
        <w:jc w:val="both"/>
        <w:rPr>
          <w:rFonts w:ascii="Times New Roman" w:hAnsi="Times New Roman"/>
          <w:sz w:val="22"/>
          <w:szCs w:val="22"/>
          <w:lang w:val="lt-LT" w:eastAsia="lt-LT"/>
        </w:rPr>
      </w:pPr>
    </w:p>
    <w:p w14:paraId="2DDDA6CA" w14:textId="77777777" w:rsidR="006500C7" w:rsidRPr="00E47822" w:rsidRDefault="006500C7" w:rsidP="00BD4B47">
      <w:pPr>
        <w:pStyle w:val="Skyriauspavadinimas"/>
        <w:numPr>
          <w:ilvl w:val="0"/>
          <w:numId w:val="0"/>
        </w:numPr>
        <w:ind w:left="426"/>
        <w:rPr>
          <w:rFonts w:ascii="Times New Roman" w:hAnsi="Times New Roman"/>
          <w:lang w:val="lt-LT"/>
        </w:rPr>
      </w:pPr>
      <w:r w:rsidRPr="00E47822">
        <w:rPr>
          <w:rFonts w:ascii="Times New Roman" w:hAnsi="Times New Roman"/>
          <w:lang w:val="lt-LT"/>
        </w:rPr>
        <w:t>TECHNINĖ SPECIFIKACIJA</w:t>
      </w:r>
    </w:p>
    <w:p w14:paraId="2B5462F5" w14:textId="77777777" w:rsidR="006500C7" w:rsidRDefault="006500C7" w:rsidP="006500C7">
      <w:pPr>
        <w:pStyle w:val="Skyriauspavadinimas"/>
        <w:numPr>
          <w:ilvl w:val="0"/>
          <w:numId w:val="0"/>
        </w:numPr>
        <w:ind w:firstLine="426"/>
        <w:jc w:val="both"/>
        <w:rPr>
          <w:rFonts w:ascii="Times New Roman" w:hAnsi="Times New Roman"/>
          <w:sz w:val="22"/>
          <w:szCs w:val="22"/>
          <w:lang w:val="lt-LT"/>
        </w:rPr>
      </w:pPr>
    </w:p>
    <w:p w14:paraId="5F652718" w14:textId="77777777" w:rsidR="006500C7" w:rsidRPr="00053951" w:rsidRDefault="006500C7" w:rsidP="006500C7">
      <w:pPr>
        <w:pStyle w:val="Skyriauspavadinimas"/>
        <w:numPr>
          <w:ilvl w:val="0"/>
          <w:numId w:val="0"/>
        </w:numPr>
        <w:ind w:firstLine="426"/>
        <w:jc w:val="both"/>
        <w:rPr>
          <w:rFonts w:ascii="Times New Roman" w:hAnsi="Times New Roman"/>
          <w:sz w:val="22"/>
          <w:szCs w:val="22"/>
          <w:lang w:val="lt-LT"/>
        </w:rPr>
      </w:pPr>
      <w:r w:rsidRPr="00053951">
        <w:rPr>
          <w:rFonts w:ascii="Times New Roman" w:hAnsi="Times New Roman"/>
          <w:sz w:val="22"/>
          <w:szCs w:val="22"/>
          <w:lang w:val="lt-LT"/>
        </w:rPr>
        <w:t>I. BENDRA INFORMACIJA</w:t>
      </w:r>
    </w:p>
    <w:p w14:paraId="4699B89B" w14:textId="77777777" w:rsidR="006500C7" w:rsidRPr="00053951" w:rsidRDefault="006500C7" w:rsidP="006500C7">
      <w:pPr>
        <w:pStyle w:val="Skyriauspavadinimas"/>
        <w:numPr>
          <w:ilvl w:val="0"/>
          <w:numId w:val="0"/>
        </w:numPr>
        <w:ind w:firstLine="426"/>
        <w:jc w:val="both"/>
        <w:rPr>
          <w:rFonts w:ascii="Times New Roman" w:hAnsi="Times New Roman"/>
          <w:sz w:val="22"/>
          <w:szCs w:val="22"/>
          <w:lang w:val="lt-LT"/>
        </w:rPr>
      </w:pPr>
    </w:p>
    <w:p w14:paraId="5989B320" w14:textId="5CF28D94" w:rsidR="002575B8" w:rsidRPr="002575B8" w:rsidRDefault="002575B8" w:rsidP="002575B8">
      <w:pPr>
        <w:pStyle w:val="Antrat1"/>
        <w:spacing w:before="0" w:after="0"/>
        <w:ind w:firstLine="432"/>
        <w:jc w:val="both"/>
        <w:rPr>
          <w:rFonts w:ascii="Times New Roman" w:hAnsi="Times New Roman" w:cs="Times New Roman"/>
          <w:color w:val="auto"/>
          <w:sz w:val="24"/>
          <w:szCs w:val="24"/>
          <w:u w:val="single"/>
        </w:rPr>
      </w:pPr>
      <w:r w:rsidRPr="002575B8">
        <w:rPr>
          <w:rFonts w:ascii="Times New Roman" w:hAnsi="Times New Roman" w:cs="Times New Roman"/>
          <w:color w:val="auto"/>
          <w:sz w:val="24"/>
          <w:szCs w:val="24"/>
          <w:u w:val="single"/>
        </w:rPr>
        <w:t>1.</w:t>
      </w:r>
      <w:r w:rsidRPr="002575B8">
        <w:rPr>
          <w:rFonts w:ascii="Times New Roman" w:hAnsi="Times New Roman" w:cs="Times New Roman"/>
          <w:color w:val="auto"/>
          <w:sz w:val="24"/>
          <w:szCs w:val="24"/>
          <w:u w:val="single"/>
        </w:rPr>
        <w:tab/>
        <w:t>Pirkimo objektui taikomi Lietuvos Respublikos viešųjų pirkimų įstatymo 37 str. 9 dalies reikalavimai susiję su nacionaliniu saugumu*. Tiekėjas privalo įrodyti, kad siūlomos p</w:t>
      </w:r>
      <w:r w:rsidR="003C6DC7">
        <w:rPr>
          <w:rFonts w:ascii="Times New Roman" w:hAnsi="Times New Roman" w:cs="Times New Roman"/>
          <w:color w:val="auto"/>
          <w:sz w:val="24"/>
          <w:szCs w:val="24"/>
          <w:u w:val="single"/>
        </w:rPr>
        <w:t>rekės</w:t>
      </w:r>
      <w:r w:rsidRPr="002575B8">
        <w:rPr>
          <w:rFonts w:ascii="Times New Roman" w:hAnsi="Times New Roman" w:cs="Times New Roman"/>
          <w:color w:val="auto"/>
          <w:sz w:val="24"/>
          <w:szCs w:val="24"/>
          <w:u w:val="single"/>
        </w:rPr>
        <w:t xml:space="preserve"> nekelia grėsmės nacionaliniam saugumui, nėra toliau nurodytų aplinkybių:</w:t>
      </w:r>
    </w:p>
    <w:p w14:paraId="12A9B9E1" w14:textId="77777777" w:rsidR="002575B8" w:rsidRPr="002575B8" w:rsidRDefault="002575B8" w:rsidP="002575B8">
      <w:pPr>
        <w:pStyle w:val="Antrat1"/>
        <w:spacing w:before="0" w:after="0"/>
        <w:ind w:firstLine="432"/>
        <w:jc w:val="both"/>
        <w:rPr>
          <w:rFonts w:ascii="Times New Roman" w:hAnsi="Times New Roman" w:cs="Times New Roman"/>
          <w:color w:val="auto"/>
          <w:sz w:val="24"/>
          <w:szCs w:val="24"/>
          <w:u w:val="single"/>
        </w:rPr>
      </w:pPr>
      <w:r w:rsidRPr="002575B8">
        <w:rPr>
          <w:rFonts w:ascii="Times New Roman" w:hAnsi="Times New Roman" w:cs="Times New Roman"/>
          <w:color w:val="auto"/>
          <w:sz w:val="24"/>
          <w:szCs w:val="24"/>
          <w:u w:val="single"/>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71BF2097" w14:textId="7C629B2D" w:rsidR="006500C7" w:rsidRPr="00F16FA6" w:rsidRDefault="002575B8" w:rsidP="002575B8">
      <w:pPr>
        <w:pStyle w:val="Antrat1"/>
        <w:spacing w:before="0" w:after="0"/>
        <w:ind w:firstLine="432"/>
        <w:jc w:val="both"/>
        <w:rPr>
          <w:rFonts w:ascii="Times New Roman" w:hAnsi="Times New Roman" w:cs="Times New Roman"/>
          <w:b/>
          <w:bCs/>
          <w:color w:val="auto"/>
          <w:sz w:val="24"/>
          <w:szCs w:val="24"/>
        </w:rPr>
      </w:pPr>
      <w:r w:rsidRPr="002575B8">
        <w:rPr>
          <w:rFonts w:ascii="Times New Roman" w:hAnsi="Times New Roman" w:cs="Times New Roman"/>
          <w:color w:val="auto"/>
          <w:sz w:val="24"/>
          <w:szCs w:val="24"/>
          <w:u w:val="single"/>
        </w:rPr>
        <w:t xml:space="preserve">2) prekių </w:t>
      </w:r>
      <w:r w:rsidR="006E5272">
        <w:rPr>
          <w:rFonts w:ascii="Times New Roman" w:hAnsi="Times New Roman" w:cs="Times New Roman"/>
          <w:color w:val="auto"/>
          <w:sz w:val="24"/>
          <w:szCs w:val="24"/>
          <w:u w:val="single"/>
        </w:rPr>
        <w:t>palaikymas (</w:t>
      </w:r>
      <w:r w:rsidRPr="002575B8">
        <w:rPr>
          <w:rFonts w:ascii="Times New Roman" w:hAnsi="Times New Roman" w:cs="Times New Roman"/>
          <w:color w:val="auto"/>
          <w:sz w:val="24"/>
          <w:szCs w:val="24"/>
          <w:u w:val="single"/>
        </w:rPr>
        <w:t>garantija</w:t>
      </w:r>
      <w:r w:rsidR="006E5272">
        <w:rPr>
          <w:rFonts w:ascii="Times New Roman" w:hAnsi="Times New Roman" w:cs="Times New Roman"/>
          <w:color w:val="auto"/>
          <w:sz w:val="24"/>
          <w:szCs w:val="24"/>
          <w:u w:val="single"/>
        </w:rPr>
        <w:t>)</w:t>
      </w:r>
      <w:r w:rsidRPr="002575B8">
        <w:rPr>
          <w:rFonts w:ascii="Times New Roman" w:hAnsi="Times New Roman" w:cs="Times New Roman"/>
          <w:color w:val="auto"/>
          <w:sz w:val="24"/>
          <w:szCs w:val="24"/>
          <w:u w:val="single"/>
        </w:rPr>
        <w:t xml:space="preserve"> būtų teikiama iš VPĮ 92 straipsnio 14 dalyje numatytame sąraše nurodytų valstybių ar teritorijų.</w:t>
      </w:r>
    </w:p>
    <w:p w14:paraId="4C522DA7" w14:textId="77777777" w:rsidR="006500C7" w:rsidRPr="00F16FA6" w:rsidRDefault="006500C7" w:rsidP="006500C7">
      <w:pPr>
        <w:pStyle w:val="Antrat1"/>
        <w:spacing w:before="0" w:after="0"/>
        <w:ind w:firstLine="431"/>
        <w:jc w:val="both"/>
        <w:rPr>
          <w:rFonts w:ascii="Times New Roman" w:hAnsi="Times New Roman" w:cs="Times New Roman"/>
          <w:color w:val="auto"/>
          <w:sz w:val="24"/>
          <w:szCs w:val="24"/>
        </w:rPr>
      </w:pPr>
      <w:r w:rsidRPr="00F16FA6">
        <w:rPr>
          <w:rFonts w:ascii="Times New Roman" w:hAnsi="Times New Roman" w:cs="Times New Roman"/>
          <w:color w:val="auto"/>
          <w:sz w:val="24"/>
          <w:szCs w:val="24"/>
        </w:rPr>
        <w:t>Perkančioji organizacija pasiūlymo atitikčiai LR viešųjų pirkimų įstatymo 37 straipsnio 9 dalies reikalavimams patvirtinti iš tiekėjo reikalauja KARTU SU PASIŪLYMU PATEIKTI užpildytą pirkimo dokumentą „Nacionalinio saugumo reikalavimų atitikties deklaracija“ (8 IA PD ATITIKTIES DEKLARACIJA), o iš ekonomiškai naudingiausią pasiūlymą pateikusio tiekėjo reikalaus pateikti (</w:t>
      </w:r>
      <w:r w:rsidRPr="00F16FA6">
        <w:rPr>
          <w:rFonts w:ascii="Times New Roman" w:hAnsi="Times New Roman" w:cs="Times New Roman"/>
          <w:color w:val="auto"/>
          <w:sz w:val="24"/>
          <w:szCs w:val="24"/>
          <w:u w:val="single"/>
        </w:rPr>
        <w:t>kartu su pasiūlymu šių dokumentų tiekėjas pateikti neturi</w:t>
      </w:r>
      <w:r w:rsidRPr="00F16FA6">
        <w:rPr>
          <w:rFonts w:ascii="Times New Roman" w:hAnsi="Times New Roman" w:cs="Times New Roman"/>
          <w:color w:val="auto"/>
          <w:sz w:val="24"/>
          <w:szCs w:val="24"/>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07AE2F9F" w14:textId="77777777" w:rsidR="006500C7" w:rsidRPr="00F16FA6" w:rsidRDefault="006500C7" w:rsidP="006500C7">
      <w:pPr>
        <w:pStyle w:val="Antrat1"/>
        <w:spacing w:after="0"/>
        <w:ind w:left="431"/>
        <w:jc w:val="both"/>
        <w:rPr>
          <w:rFonts w:ascii="Times New Roman" w:hAnsi="Times New Roman" w:cs="Times New Roman"/>
          <w:color w:val="auto"/>
          <w:sz w:val="24"/>
          <w:szCs w:val="24"/>
        </w:rPr>
      </w:pPr>
      <w:r w:rsidRPr="00F16FA6">
        <w:rPr>
          <w:rFonts w:ascii="Times New Roman" w:hAnsi="Times New Roman" w:cs="Times New Roman"/>
          <w:color w:val="auto"/>
          <w:sz w:val="24"/>
          <w:szCs w:val="24"/>
        </w:rPr>
        <w:t>Pastabos:</w:t>
      </w:r>
    </w:p>
    <w:p w14:paraId="406592F8" w14:textId="77777777" w:rsidR="006500C7" w:rsidRPr="00F16FA6" w:rsidRDefault="006500C7" w:rsidP="006500C7">
      <w:pPr>
        <w:pStyle w:val="Antrat1"/>
        <w:spacing w:before="0" w:after="0"/>
        <w:ind w:left="34" w:firstLine="397"/>
        <w:jc w:val="both"/>
        <w:rPr>
          <w:rFonts w:ascii="Times New Roman" w:hAnsi="Times New Roman" w:cs="Times New Roman"/>
          <w:b/>
          <w:bCs/>
          <w:color w:val="auto"/>
          <w:sz w:val="24"/>
          <w:szCs w:val="24"/>
        </w:rPr>
      </w:pPr>
      <w:r w:rsidRPr="00F16FA6">
        <w:rPr>
          <w:rFonts w:ascii="Times New Roman" w:hAnsi="Times New Roman" w:cs="Times New Roman"/>
          <w:color w:val="auto"/>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13C41461" w14:textId="77777777" w:rsidR="006500C7" w:rsidRDefault="006500C7" w:rsidP="006500C7">
      <w:pPr>
        <w:ind w:firstLine="426"/>
        <w:jc w:val="both"/>
        <w:rPr>
          <w:szCs w:val="24"/>
        </w:rPr>
      </w:pPr>
      <w:r w:rsidRPr="00AE30EC">
        <w:rPr>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644E905F" w14:textId="77777777" w:rsidR="006500C7" w:rsidRDefault="006500C7" w:rsidP="006500C7">
      <w:pPr>
        <w:jc w:val="both"/>
        <w:rPr>
          <w:color w:val="000000"/>
          <w:sz w:val="22"/>
          <w:szCs w:val="22"/>
        </w:rPr>
      </w:pPr>
    </w:p>
    <w:p w14:paraId="269515FC" w14:textId="77777777" w:rsidR="0014167E" w:rsidRDefault="0014167E" w:rsidP="006500C7">
      <w:pPr>
        <w:jc w:val="both"/>
        <w:rPr>
          <w:color w:val="000000"/>
          <w:sz w:val="22"/>
          <w:szCs w:val="22"/>
        </w:rPr>
      </w:pPr>
    </w:p>
    <w:p w14:paraId="0455C4EB" w14:textId="512255EC" w:rsidR="0014167E" w:rsidRDefault="0014167E" w:rsidP="006500C7">
      <w:pPr>
        <w:jc w:val="both"/>
        <w:rPr>
          <w:color w:val="000000"/>
          <w:sz w:val="22"/>
          <w:szCs w:val="22"/>
        </w:rPr>
      </w:pPr>
      <w:r>
        <w:rPr>
          <w:color w:val="000000"/>
          <w:sz w:val="22"/>
          <w:szCs w:val="22"/>
        </w:rPr>
        <w:t>1 lentelė. Reikalavimai perkamai platformai</w:t>
      </w:r>
    </w:p>
    <w:tbl>
      <w:tblPr>
        <w:tblStyle w:val="Lentelstinklelis"/>
        <w:tblW w:w="0" w:type="auto"/>
        <w:tblLayout w:type="fixed"/>
        <w:tblLook w:val="04A0" w:firstRow="1" w:lastRow="0" w:firstColumn="1" w:lastColumn="0" w:noHBand="0" w:noVBand="1"/>
      </w:tblPr>
      <w:tblGrid>
        <w:gridCol w:w="715"/>
        <w:gridCol w:w="8778"/>
      </w:tblGrid>
      <w:tr w:rsidR="0014167E" w:rsidRPr="0014167E" w14:paraId="6F1D4FA9" w14:textId="77777777" w:rsidTr="0014167E">
        <w:trPr>
          <w:trHeight w:val="800"/>
        </w:trPr>
        <w:tc>
          <w:tcPr>
            <w:tcW w:w="715" w:type="dxa"/>
          </w:tcPr>
          <w:p w14:paraId="1E4FBC77" w14:textId="77777777" w:rsidR="0014167E" w:rsidRPr="0014167E" w:rsidRDefault="0014167E" w:rsidP="00DF4E47">
            <w:pPr>
              <w:rPr>
                <w:b/>
                <w:bCs/>
              </w:rPr>
            </w:pPr>
            <w:r w:rsidRPr="0014167E">
              <w:rPr>
                <w:b/>
                <w:bCs/>
              </w:rPr>
              <w:t>Eil. Nr.</w:t>
            </w:r>
          </w:p>
        </w:tc>
        <w:tc>
          <w:tcPr>
            <w:tcW w:w="8778" w:type="dxa"/>
          </w:tcPr>
          <w:p w14:paraId="73FDEA95" w14:textId="77777777" w:rsidR="0014167E" w:rsidRPr="0014167E" w:rsidRDefault="0014167E" w:rsidP="00DF4E47">
            <w:r w:rsidRPr="0014167E">
              <w:t>Reikalavimas</w:t>
            </w:r>
          </w:p>
        </w:tc>
      </w:tr>
      <w:tr w:rsidR="0014167E" w:rsidRPr="0014167E" w14:paraId="484924DE" w14:textId="77777777" w:rsidTr="0014167E">
        <w:tc>
          <w:tcPr>
            <w:tcW w:w="715" w:type="dxa"/>
          </w:tcPr>
          <w:p w14:paraId="5285F836" w14:textId="77777777" w:rsidR="0014167E" w:rsidRPr="0014167E" w:rsidRDefault="0014167E" w:rsidP="00DF4E47"/>
        </w:tc>
        <w:tc>
          <w:tcPr>
            <w:tcW w:w="8778" w:type="dxa"/>
          </w:tcPr>
          <w:p w14:paraId="78900628" w14:textId="77777777" w:rsidR="0014167E" w:rsidRPr="0014167E" w:rsidRDefault="0014167E" w:rsidP="0014167E">
            <w:pPr>
              <w:pStyle w:val="Sraopastraipa"/>
              <w:numPr>
                <w:ilvl w:val="0"/>
                <w:numId w:val="19"/>
              </w:numPr>
              <w:suppressAutoHyphens w:val="0"/>
            </w:pPr>
            <w:r w:rsidRPr="0014167E">
              <w:t>Bendrieji Reikalavimai</w:t>
            </w:r>
          </w:p>
        </w:tc>
      </w:tr>
      <w:tr w:rsidR="0014167E" w:rsidRPr="0014167E" w14:paraId="1BC1E9C4" w14:textId="77777777" w:rsidTr="0014167E">
        <w:tc>
          <w:tcPr>
            <w:tcW w:w="715" w:type="dxa"/>
          </w:tcPr>
          <w:p w14:paraId="391827B3" w14:textId="77777777" w:rsidR="0014167E" w:rsidRPr="0014167E" w:rsidRDefault="0014167E" w:rsidP="0014167E">
            <w:pPr>
              <w:pStyle w:val="Sraopastraipa"/>
              <w:numPr>
                <w:ilvl w:val="1"/>
                <w:numId w:val="19"/>
              </w:numPr>
              <w:suppressAutoHyphens w:val="0"/>
              <w:rPr>
                <w:lang w:val="en-US"/>
              </w:rPr>
            </w:pPr>
          </w:p>
        </w:tc>
        <w:tc>
          <w:tcPr>
            <w:tcW w:w="8778" w:type="dxa"/>
          </w:tcPr>
          <w:p w14:paraId="6EB7C9B4" w14:textId="77777777" w:rsidR="0014167E" w:rsidRPr="0014167E" w:rsidRDefault="0014167E" w:rsidP="00DF4E47">
            <w:r w:rsidRPr="0014167E">
              <w:t>Įrankis privalo būti išorinių kibernetinių grėsmių žvalgybos (angl. external cyber threat intelligence, toliau – įrankis) platforma, kuri siūlo išorinio atakos paviršiaus valdymo (angl. External attack surface management, toliau – EASM), skaitmeninės rizikų apsaugos (angl. digital risk protection, toliau – DRP) bei kibernetinių grėsmių žvalgybos (angl. cyber threat intelligence, toliau – CTI) paslaugas.</w:t>
            </w:r>
          </w:p>
        </w:tc>
      </w:tr>
      <w:tr w:rsidR="0014167E" w:rsidRPr="0014167E" w14:paraId="06C6C06B" w14:textId="77777777" w:rsidTr="0014167E">
        <w:tc>
          <w:tcPr>
            <w:tcW w:w="715" w:type="dxa"/>
          </w:tcPr>
          <w:p w14:paraId="7931C2EA" w14:textId="77777777" w:rsidR="0014167E" w:rsidRPr="0014167E" w:rsidRDefault="0014167E" w:rsidP="00DF4E47">
            <w:r w:rsidRPr="0014167E">
              <w:t>1.2.</w:t>
            </w:r>
          </w:p>
          <w:p w14:paraId="050F8C7D" w14:textId="77777777" w:rsidR="0014167E" w:rsidRPr="0014167E" w:rsidRDefault="0014167E" w:rsidP="00DF4E47"/>
        </w:tc>
        <w:tc>
          <w:tcPr>
            <w:tcW w:w="8778" w:type="dxa"/>
          </w:tcPr>
          <w:p w14:paraId="408D4617" w14:textId="77777777" w:rsidR="0014167E" w:rsidRPr="0014167E" w:rsidRDefault="0014167E" w:rsidP="00DF4E47">
            <w:r w:rsidRPr="0014167E">
              <w:t>Įrankis turi veikti debesijos paslaugų pagalba, sprendimas turi būti SAAS ("Software as a Service"). </w:t>
            </w:r>
          </w:p>
        </w:tc>
      </w:tr>
      <w:tr w:rsidR="0014167E" w:rsidRPr="0014167E" w14:paraId="52E24325" w14:textId="77777777" w:rsidTr="0014167E">
        <w:tc>
          <w:tcPr>
            <w:tcW w:w="715" w:type="dxa"/>
          </w:tcPr>
          <w:p w14:paraId="11D0771B" w14:textId="77777777" w:rsidR="0014167E" w:rsidRPr="0014167E" w:rsidRDefault="0014167E" w:rsidP="00DF4E47">
            <w:r w:rsidRPr="0014167E">
              <w:t>1.3.</w:t>
            </w:r>
          </w:p>
          <w:p w14:paraId="0575FD10" w14:textId="77777777" w:rsidR="0014167E" w:rsidRPr="0014167E" w:rsidRDefault="0014167E" w:rsidP="00DF4E47"/>
        </w:tc>
        <w:tc>
          <w:tcPr>
            <w:tcW w:w="8778" w:type="dxa"/>
          </w:tcPr>
          <w:p w14:paraId="1A79EF69" w14:textId="77777777" w:rsidR="0014167E" w:rsidRPr="0014167E" w:rsidRDefault="0014167E" w:rsidP="00DF4E47">
            <w:r w:rsidRPr="0014167E">
              <w:rPr>
                <w:rStyle w:val="basictext"/>
              </w:rPr>
              <w:t>Turi būti nurodytas Gamintojo ir produkto pavadinimas, jeigu spendimą sudaro atskiri produktai turi būti išvardinti visi produktai ir jų pavadinimai. Produktai negali būti pateikti iš skirtingų gamintojų.</w:t>
            </w:r>
          </w:p>
        </w:tc>
      </w:tr>
      <w:tr w:rsidR="0014167E" w:rsidRPr="0014167E" w14:paraId="2CC7F220" w14:textId="77777777" w:rsidTr="0014167E">
        <w:tc>
          <w:tcPr>
            <w:tcW w:w="715" w:type="dxa"/>
          </w:tcPr>
          <w:p w14:paraId="4D36BE87" w14:textId="77777777" w:rsidR="0014167E" w:rsidRPr="0014167E" w:rsidRDefault="0014167E" w:rsidP="00DF4E47">
            <w:r w:rsidRPr="0014167E">
              <w:t>1.4.</w:t>
            </w:r>
          </w:p>
        </w:tc>
        <w:tc>
          <w:tcPr>
            <w:tcW w:w="8778" w:type="dxa"/>
          </w:tcPr>
          <w:p w14:paraId="483823F3" w14:textId="77777777" w:rsidR="0014167E" w:rsidRPr="0014167E" w:rsidRDefault="0014167E" w:rsidP="00DF4E47">
            <w:r w:rsidRPr="0014167E">
              <w:t xml:space="preserve">Perkama sistema privalo užtikrinti prieigą </w:t>
            </w:r>
            <w:r w:rsidRPr="00360C6C">
              <w:t>1</w:t>
            </w:r>
            <w:r w:rsidRPr="0014167E">
              <w:t xml:space="preserve"> administraciniam vartotojui, kuris vienu metu galėtų stebėti </w:t>
            </w:r>
            <w:r w:rsidRPr="00360C6C">
              <w:t>10</w:t>
            </w:r>
            <w:r w:rsidRPr="0014167E">
              <w:t xml:space="preserve"> kritinių resursų (angl. assets).</w:t>
            </w:r>
          </w:p>
        </w:tc>
      </w:tr>
      <w:tr w:rsidR="0014167E" w:rsidRPr="0014167E" w14:paraId="4838FADB" w14:textId="77777777" w:rsidTr="0014167E">
        <w:tc>
          <w:tcPr>
            <w:tcW w:w="715" w:type="dxa"/>
          </w:tcPr>
          <w:p w14:paraId="0DA08F18" w14:textId="77777777" w:rsidR="0014167E" w:rsidRPr="0014167E" w:rsidRDefault="0014167E" w:rsidP="00DF4E47">
            <w:r w:rsidRPr="0014167E">
              <w:t>1.5.</w:t>
            </w:r>
          </w:p>
        </w:tc>
        <w:tc>
          <w:tcPr>
            <w:tcW w:w="8778" w:type="dxa"/>
          </w:tcPr>
          <w:p w14:paraId="639E3A8C" w14:textId="77777777" w:rsidR="0014167E" w:rsidRPr="0014167E" w:rsidRDefault="0014167E" w:rsidP="00DF4E47">
            <w:r w:rsidRPr="0014167E">
              <w:t>Siūlomas produktas turi būti pripažintas gerai žinomos rinkos analizės ar technologijų tyrimų organizacijos, tokios kaip Gartner, Forrester, IDC ar lygiavertės institucijos.</w:t>
            </w:r>
          </w:p>
        </w:tc>
      </w:tr>
      <w:tr w:rsidR="0014167E" w:rsidRPr="0014167E" w14:paraId="343EDBA4" w14:textId="77777777" w:rsidTr="0014167E">
        <w:tc>
          <w:tcPr>
            <w:tcW w:w="715" w:type="dxa"/>
          </w:tcPr>
          <w:p w14:paraId="4CFC6FE9" w14:textId="77777777" w:rsidR="0014167E" w:rsidRPr="0014167E" w:rsidRDefault="0014167E" w:rsidP="00DF4E47">
            <w:r w:rsidRPr="0014167E">
              <w:t>1.6.</w:t>
            </w:r>
          </w:p>
        </w:tc>
        <w:tc>
          <w:tcPr>
            <w:tcW w:w="8778" w:type="dxa"/>
          </w:tcPr>
          <w:p w14:paraId="0B5E1B02" w14:textId="77777777" w:rsidR="0014167E" w:rsidRPr="0014167E" w:rsidRDefault="0014167E" w:rsidP="00DF4E47">
            <w:r w:rsidRPr="0014167E">
              <w:t>Įrankis turi būti pasiekiamas per dedikuotą žiniatinklio naudotojo sąsają (angl. „Web User Interface (WebUI)“).</w:t>
            </w:r>
          </w:p>
        </w:tc>
      </w:tr>
      <w:tr w:rsidR="0014167E" w:rsidRPr="0014167E" w14:paraId="489FE946" w14:textId="77777777" w:rsidTr="0014167E">
        <w:tc>
          <w:tcPr>
            <w:tcW w:w="715" w:type="dxa"/>
          </w:tcPr>
          <w:p w14:paraId="6A7CFA18" w14:textId="77777777" w:rsidR="0014167E" w:rsidRPr="0014167E" w:rsidRDefault="0014167E" w:rsidP="00DF4E47"/>
        </w:tc>
        <w:tc>
          <w:tcPr>
            <w:tcW w:w="8778" w:type="dxa"/>
          </w:tcPr>
          <w:p w14:paraId="57934A8D" w14:textId="77777777" w:rsidR="0014167E" w:rsidRPr="0014167E" w:rsidRDefault="0014167E" w:rsidP="0014167E">
            <w:pPr>
              <w:pStyle w:val="Sraopastraipa"/>
              <w:numPr>
                <w:ilvl w:val="0"/>
                <w:numId w:val="19"/>
              </w:numPr>
              <w:tabs>
                <w:tab w:val="left" w:pos="1972"/>
              </w:tabs>
              <w:suppressAutoHyphens w:val="0"/>
            </w:pPr>
            <w:r w:rsidRPr="0014167E">
              <w:t>Duomenų apsauga ir saugumas</w:t>
            </w:r>
          </w:p>
        </w:tc>
      </w:tr>
      <w:tr w:rsidR="0014167E" w:rsidRPr="0014167E" w14:paraId="33C81DF7" w14:textId="77777777" w:rsidTr="0014167E">
        <w:tc>
          <w:tcPr>
            <w:tcW w:w="715" w:type="dxa"/>
          </w:tcPr>
          <w:p w14:paraId="39C50B68" w14:textId="77777777" w:rsidR="0014167E" w:rsidRPr="0014167E" w:rsidRDefault="0014167E" w:rsidP="00DF4E47">
            <w:r w:rsidRPr="0014167E">
              <w:t>2.1.</w:t>
            </w:r>
          </w:p>
        </w:tc>
        <w:tc>
          <w:tcPr>
            <w:tcW w:w="8778" w:type="dxa"/>
          </w:tcPr>
          <w:p w14:paraId="57535A9D" w14:textId="77777777" w:rsidR="0014167E" w:rsidRPr="0014167E" w:rsidRDefault="0014167E" w:rsidP="00DF4E47">
            <w:r w:rsidRPr="0014167E">
              <w:t>Visas ryšys su įrankio platforma turi būti užšifruotas naudojant TLS/HTTPS protokolą.</w:t>
            </w:r>
          </w:p>
        </w:tc>
      </w:tr>
      <w:tr w:rsidR="0014167E" w:rsidRPr="0014167E" w14:paraId="1E92F7FD" w14:textId="77777777" w:rsidTr="0014167E">
        <w:tc>
          <w:tcPr>
            <w:tcW w:w="715" w:type="dxa"/>
          </w:tcPr>
          <w:p w14:paraId="1F3259E9" w14:textId="77777777" w:rsidR="0014167E" w:rsidRPr="0014167E" w:rsidRDefault="0014167E" w:rsidP="00DF4E47">
            <w:r w:rsidRPr="0014167E">
              <w:t>2.2.</w:t>
            </w:r>
          </w:p>
        </w:tc>
        <w:tc>
          <w:tcPr>
            <w:tcW w:w="8778" w:type="dxa"/>
          </w:tcPr>
          <w:p w14:paraId="69AFF691" w14:textId="77777777" w:rsidR="0014167E" w:rsidRPr="0014167E" w:rsidRDefault="0014167E" w:rsidP="00DF4E47">
            <w:r w:rsidRPr="0014167E">
              <w:t>Duomenys šifruojami naudojant AES-256 metodą arba kitą atitinkamai saugų šifravimo metodą.</w:t>
            </w:r>
          </w:p>
        </w:tc>
      </w:tr>
      <w:tr w:rsidR="0014167E" w:rsidRPr="0014167E" w14:paraId="4011F6FB" w14:textId="77777777" w:rsidTr="0014167E">
        <w:tc>
          <w:tcPr>
            <w:tcW w:w="715" w:type="dxa"/>
          </w:tcPr>
          <w:p w14:paraId="07405A30" w14:textId="77777777" w:rsidR="0014167E" w:rsidRPr="0014167E" w:rsidRDefault="0014167E" w:rsidP="00DF4E47">
            <w:r w:rsidRPr="0014167E">
              <w:t>2.3.</w:t>
            </w:r>
          </w:p>
        </w:tc>
        <w:tc>
          <w:tcPr>
            <w:tcW w:w="8778" w:type="dxa"/>
          </w:tcPr>
          <w:p w14:paraId="4AD09C88" w14:textId="77777777" w:rsidR="0014167E" w:rsidRPr="0014167E" w:rsidRDefault="0014167E" w:rsidP="00DF4E47">
            <w:r w:rsidRPr="0014167E">
              <w:t>Vartotojo prieiga prie sistemos vyksta per WAF (angl. Web Application Firewall).</w:t>
            </w:r>
          </w:p>
        </w:tc>
      </w:tr>
      <w:tr w:rsidR="0014167E" w:rsidRPr="0014167E" w14:paraId="54B6C269" w14:textId="77777777" w:rsidTr="0014167E">
        <w:tc>
          <w:tcPr>
            <w:tcW w:w="715" w:type="dxa"/>
          </w:tcPr>
          <w:p w14:paraId="0C3CD267" w14:textId="77777777" w:rsidR="0014167E" w:rsidRPr="0014167E" w:rsidRDefault="0014167E" w:rsidP="00DF4E47">
            <w:r w:rsidRPr="0014167E">
              <w:t>2.4.</w:t>
            </w:r>
          </w:p>
        </w:tc>
        <w:tc>
          <w:tcPr>
            <w:tcW w:w="8778" w:type="dxa"/>
          </w:tcPr>
          <w:p w14:paraId="14607D62" w14:textId="77777777" w:rsidR="0014167E" w:rsidRPr="0014167E" w:rsidRDefault="0014167E" w:rsidP="00DF4E47">
            <w:r w:rsidRPr="0014167E">
              <w:t>Yra funkcionalumas kontroliuoti prieigą prie platformos iš specifinių IP adresų.</w:t>
            </w:r>
          </w:p>
        </w:tc>
      </w:tr>
      <w:tr w:rsidR="0014167E" w:rsidRPr="0014167E" w14:paraId="48366DD6" w14:textId="77777777" w:rsidTr="0014167E">
        <w:tc>
          <w:tcPr>
            <w:tcW w:w="715" w:type="dxa"/>
          </w:tcPr>
          <w:p w14:paraId="024D1DA0" w14:textId="77777777" w:rsidR="0014167E" w:rsidRPr="0014167E" w:rsidRDefault="0014167E" w:rsidP="00DF4E47">
            <w:r w:rsidRPr="0014167E">
              <w:t>2.5.</w:t>
            </w:r>
          </w:p>
        </w:tc>
        <w:tc>
          <w:tcPr>
            <w:tcW w:w="8778" w:type="dxa"/>
          </w:tcPr>
          <w:p w14:paraId="637630AE" w14:textId="77777777" w:rsidR="0014167E" w:rsidRPr="0014167E" w:rsidRDefault="0014167E" w:rsidP="00DF4E47">
            <w:r w:rsidRPr="0014167E">
              <w:t>Įrankio infrastruktūra privalo nuolatos būti tikrinama dėl pažeidžiamumų, turi būti atliekami pažeidžiamumų skenavimai debesijos ištekliuose ir galiniuose įrenginiuose naudojant standartinius debesijos saugumo įrankius ir SOC personalą.</w:t>
            </w:r>
          </w:p>
        </w:tc>
      </w:tr>
      <w:tr w:rsidR="0014167E" w:rsidRPr="0014167E" w14:paraId="26DD5EB6" w14:textId="77777777" w:rsidTr="0014167E">
        <w:tc>
          <w:tcPr>
            <w:tcW w:w="715" w:type="dxa"/>
          </w:tcPr>
          <w:p w14:paraId="6B20876D" w14:textId="77777777" w:rsidR="0014167E" w:rsidRPr="0014167E" w:rsidRDefault="0014167E" w:rsidP="00DF4E47">
            <w:r w:rsidRPr="0014167E">
              <w:t>2.6.</w:t>
            </w:r>
          </w:p>
        </w:tc>
        <w:tc>
          <w:tcPr>
            <w:tcW w:w="8778" w:type="dxa"/>
          </w:tcPr>
          <w:p w14:paraId="59F854E3" w14:textId="77777777" w:rsidR="0014167E" w:rsidRPr="0014167E" w:rsidRDefault="0014167E" w:rsidP="00DF4E47">
            <w:r w:rsidRPr="0014167E">
              <w:t>Jeigu įrankio platformoje yra stebimi daugiau nei vienos organizacijos resursai, įrankis privalo užtikrinti duomenų atskirtį tarp skirtingų įmonių.</w:t>
            </w:r>
          </w:p>
        </w:tc>
      </w:tr>
      <w:tr w:rsidR="0014167E" w:rsidRPr="0014167E" w14:paraId="1D480D65" w14:textId="77777777" w:rsidTr="0014167E">
        <w:tc>
          <w:tcPr>
            <w:tcW w:w="715" w:type="dxa"/>
          </w:tcPr>
          <w:p w14:paraId="15872238" w14:textId="77777777" w:rsidR="0014167E" w:rsidRPr="0014167E" w:rsidRDefault="0014167E" w:rsidP="00DF4E47"/>
        </w:tc>
        <w:tc>
          <w:tcPr>
            <w:tcW w:w="8778" w:type="dxa"/>
          </w:tcPr>
          <w:p w14:paraId="7C38775C" w14:textId="77777777" w:rsidR="0014167E" w:rsidRPr="0014167E" w:rsidRDefault="0014167E" w:rsidP="0014167E">
            <w:pPr>
              <w:pStyle w:val="Sraopastraipa"/>
              <w:numPr>
                <w:ilvl w:val="0"/>
                <w:numId w:val="19"/>
              </w:numPr>
              <w:suppressAutoHyphens w:val="0"/>
            </w:pPr>
            <w:r w:rsidRPr="0014167E">
              <w:t>Įrankio žvalgybinių funkcionalumų reikalavimai</w:t>
            </w:r>
          </w:p>
        </w:tc>
      </w:tr>
      <w:tr w:rsidR="0014167E" w:rsidRPr="0014167E" w14:paraId="7DF2FA98" w14:textId="77777777" w:rsidTr="0014167E">
        <w:tc>
          <w:tcPr>
            <w:tcW w:w="715" w:type="dxa"/>
          </w:tcPr>
          <w:p w14:paraId="703690AA" w14:textId="77777777" w:rsidR="0014167E" w:rsidRPr="0014167E" w:rsidRDefault="0014167E" w:rsidP="00DF4E47">
            <w:r w:rsidRPr="0014167E">
              <w:t>3.1.</w:t>
            </w:r>
          </w:p>
        </w:tc>
        <w:tc>
          <w:tcPr>
            <w:tcW w:w="8778" w:type="dxa"/>
          </w:tcPr>
          <w:p w14:paraId="7858B3B4" w14:textId="77777777" w:rsidR="0014167E" w:rsidRPr="0014167E" w:rsidRDefault="0014167E" w:rsidP="00DF4E47">
            <w:r w:rsidRPr="0014167E">
              <w:t>Įrankis privalo leisti kurti tikslingus, automatizuotus ir pagal kategorijas pagrįstus stebėjimo planus pagal vartotojo konkrečius saugumo poreikius. Remiantis iš anksto nustatytais kriterijais (pvz., organizacijos kritiniais resursais, įmonės pramonės sritimi, lokacija ir kibernetiniais žvalgybos poreikiais), įrankis nuolat teikia tikslingą žvalgybinę informaciją.</w:t>
            </w:r>
          </w:p>
        </w:tc>
      </w:tr>
      <w:tr w:rsidR="0014167E" w:rsidRPr="0014167E" w14:paraId="281B3830" w14:textId="77777777" w:rsidTr="0014167E">
        <w:tc>
          <w:tcPr>
            <w:tcW w:w="715" w:type="dxa"/>
          </w:tcPr>
          <w:p w14:paraId="6D84A34F" w14:textId="77777777" w:rsidR="0014167E" w:rsidRPr="0014167E" w:rsidRDefault="0014167E" w:rsidP="00DF4E47">
            <w:r w:rsidRPr="0014167E">
              <w:t>3.2.</w:t>
            </w:r>
          </w:p>
        </w:tc>
        <w:tc>
          <w:tcPr>
            <w:tcW w:w="8778" w:type="dxa"/>
          </w:tcPr>
          <w:p w14:paraId="147A04EA" w14:textId="77777777" w:rsidR="0014167E" w:rsidRPr="0014167E" w:rsidRDefault="0014167E" w:rsidP="00DF4E47">
            <w:r w:rsidRPr="0014167E">
              <w:t>Turi būti funkcionalumas kritiniams resursams (angl. assets) priskirti minimaliai šiuo rodiklius: domenus, VIP/vadovų paskyras, IP adresus, URL nuorodas, IT infrastruktūros vienetus, kritines sistemas ir kt.</w:t>
            </w:r>
          </w:p>
        </w:tc>
      </w:tr>
      <w:tr w:rsidR="0014167E" w:rsidRPr="0014167E" w14:paraId="33D8F536" w14:textId="77777777" w:rsidTr="0014167E">
        <w:tc>
          <w:tcPr>
            <w:tcW w:w="715" w:type="dxa"/>
          </w:tcPr>
          <w:p w14:paraId="37473F3D" w14:textId="77777777" w:rsidR="0014167E" w:rsidRPr="0014167E" w:rsidRDefault="0014167E" w:rsidP="00DF4E47">
            <w:r w:rsidRPr="0014167E">
              <w:t>3.3.</w:t>
            </w:r>
          </w:p>
        </w:tc>
        <w:tc>
          <w:tcPr>
            <w:tcW w:w="8778" w:type="dxa"/>
          </w:tcPr>
          <w:p w14:paraId="4351CAAC" w14:textId="77777777" w:rsidR="0014167E" w:rsidRPr="0014167E" w:rsidRDefault="0014167E" w:rsidP="00DF4E47">
            <w:r w:rsidRPr="0014167E">
              <w:t xml:space="preserve">Įrankis privalo siūlyti skirtingus kibernetinės žvalgybos stebėjimo šablonus. </w:t>
            </w:r>
          </w:p>
        </w:tc>
      </w:tr>
      <w:tr w:rsidR="0014167E" w:rsidRPr="0014167E" w14:paraId="70794BBC" w14:textId="77777777" w:rsidTr="0014167E">
        <w:tc>
          <w:tcPr>
            <w:tcW w:w="715" w:type="dxa"/>
          </w:tcPr>
          <w:p w14:paraId="2543F275" w14:textId="77777777" w:rsidR="0014167E" w:rsidRPr="0014167E" w:rsidRDefault="0014167E" w:rsidP="00DF4E47">
            <w:r w:rsidRPr="0014167E">
              <w:t>3.4.</w:t>
            </w:r>
          </w:p>
        </w:tc>
        <w:tc>
          <w:tcPr>
            <w:tcW w:w="8778" w:type="dxa"/>
          </w:tcPr>
          <w:p w14:paraId="3AB9442D" w14:textId="77777777" w:rsidR="0014167E" w:rsidRPr="0014167E" w:rsidRDefault="0014167E" w:rsidP="00DF4E47">
            <w:r w:rsidRPr="0014167E">
              <w:t>Remiantis vartotojo parengtu CTI stebėjimo planu, įrankis privalo pateikti tikslingą ir pritaikytą darbo aplinką su skydeliais (angl. dashboards). Įrankio skydeliai privalo pateikti svarbiausias ir periodiškai atnaujinamas statistikas, leidžiančias vartotojui identifikuoti incidentus bei grėsmių vykdytojus (angl. threat actors).</w:t>
            </w:r>
          </w:p>
        </w:tc>
      </w:tr>
      <w:tr w:rsidR="0014167E" w:rsidRPr="0014167E" w14:paraId="43D75765" w14:textId="77777777" w:rsidTr="0014167E">
        <w:tc>
          <w:tcPr>
            <w:tcW w:w="715" w:type="dxa"/>
          </w:tcPr>
          <w:p w14:paraId="785B5FE2" w14:textId="77777777" w:rsidR="0014167E" w:rsidRPr="0014167E" w:rsidRDefault="0014167E" w:rsidP="00DF4E47">
            <w:r w:rsidRPr="0014167E">
              <w:t>3.5.</w:t>
            </w:r>
          </w:p>
        </w:tc>
        <w:tc>
          <w:tcPr>
            <w:tcW w:w="8778" w:type="dxa"/>
          </w:tcPr>
          <w:p w14:paraId="647A5337" w14:textId="77777777" w:rsidR="0014167E" w:rsidRPr="0014167E" w:rsidRDefault="0014167E" w:rsidP="00DF4E47">
            <w:r w:rsidRPr="0014167E">
              <w:t>Įrankis privalo naudoti generatyvinį dirbtinį intelektą (toliau – DI) duomenų analizei ir pateikimui. Įrankio DI privalo būti naudojamas pateikti tikslingą skydelių informaciją, pagal kibernetinio saugumo grėsmes, pavyzdžiui, pagal atakų grupes (atakos tipą, kilmę, vietą), pramonės standartus, išnaudotus bendrus pažeidžiamumus (angl. Common Vulnerabilities and Exposures (CVE)), taikytinas sistemas, svarbiausias taktikas, technikas ir procedūras (angl. Tactics, Techniques and Procedures (TTP)), automatiškai susietas pagal MITRE ATT&amp;CK, ir kt.</w:t>
            </w:r>
          </w:p>
        </w:tc>
      </w:tr>
      <w:tr w:rsidR="0014167E" w:rsidRPr="0014167E" w14:paraId="2B524836" w14:textId="77777777" w:rsidTr="0014167E">
        <w:tc>
          <w:tcPr>
            <w:tcW w:w="715" w:type="dxa"/>
          </w:tcPr>
          <w:p w14:paraId="3740A58B" w14:textId="77777777" w:rsidR="0014167E" w:rsidRPr="0014167E" w:rsidRDefault="0014167E" w:rsidP="00DF4E47">
            <w:r w:rsidRPr="0014167E">
              <w:t>3.6.</w:t>
            </w:r>
          </w:p>
        </w:tc>
        <w:tc>
          <w:tcPr>
            <w:tcW w:w="8778" w:type="dxa"/>
          </w:tcPr>
          <w:p w14:paraId="461B95E5" w14:textId="77777777" w:rsidR="0014167E" w:rsidRPr="0014167E" w:rsidRDefault="0014167E" w:rsidP="00DF4E47">
            <w:r w:rsidRPr="0014167E">
              <w:t>Įrankis privalo suteikti prieigą prie istorinių kibernetinių grėsmių žvalgybos ataskaitų ir įspėjimų. ir DI pagrįstų žvalgybos srautų. DI žvalgybos srautas turi pateikti periodiškai atnaujinamą informaciją apie kibernetinių incidentų analizę, naujai atrastus pažeidžiamumus, kenkėjiškų programų kampanijas bei grėsmių vykdytojų analizę.</w:t>
            </w:r>
          </w:p>
        </w:tc>
      </w:tr>
      <w:tr w:rsidR="0014167E" w:rsidRPr="0014167E" w14:paraId="5C92FD6A" w14:textId="77777777" w:rsidTr="0014167E">
        <w:tc>
          <w:tcPr>
            <w:tcW w:w="715" w:type="dxa"/>
          </w:tcPr>
          <w:p w14:paraId="0EA9072D" w14:textId="77777777" w:rsidR="0014167E" w:rsidRPr="0014167E" w:rsidRDefault="0014167E" w:rsidP="00DF4E47">
            <w:r w:rsidRPr="0014167E">
              <w:t>3.7.</w:t>
            </w:r>
          </w:p>
        </w:tc>
        <w:tc>
          <w:tcPr>
            <w:tcW w:w="8778" w:type="dxa"/>
          </w:tcPr>
          <w:p w14:paraId="05850EBC" w14:textId="77777777" w:rsidR="0014167E" w:rsidRPr="0014167E" w:rsidRDefault="0014167E" w:rsidP="00DF4E47">
            <w:r w:rsidRPr="0014167E">
              <w:t>Įrankis privalo naudoti generatyvinį DI grėsmių vertinimui (angl. threat scoring). Sistema turi automatizuotai ir periodiškai rinkti, vertinti bei klasifikuoti surinktus duomenis pagal grėsmių įvertinimo algoritmus ir taisykles, remiantis patyrusių kibernetinių grėsmių žvalgybos ekspertų darbo srautais, analizės procesais ir pramonės standartais, tokiais kaip STIX (angl. Structured Threat Information Expression). Įrankis turi automatiškai prioritetizuoti ir klasifikuoti grėsmes. Turi būti funkcionalumas grėsmes prioretizuoti pagal vartotojo poreikius bei sistema turi leisti reguliariai peržiūrėti grėsmių vertinimo procesą.</w:t>
            </w:r>
          </w:p>
        </w:tc>
      </w:tr>
      <w:tr w:rsidR="0014167E" w:rsidRPr="0014167E" w14:paraId="1FA8AD27" w14:textId="77777777" w:rsidTr="0014167E">
        <w:tc>
          <w:tcPr>
            <w:tcW w:w="715" w:type="dxa"/>
          </w:tcPr>
          <w:p w14:paraId="0E10B16A" w14:textId="77777777" w:rsidR="0014167E" w:rsidRPr="0014167E" w:rsidRDefault="0014167E" w:rsidP="00DF4E47">
            <w:r w:rsidRPr="0014167E">
              <w:t>3.8.</w:t>
            </w:r>
          </w:p>
        </w:tc>
        <w:tc>
          <w:tcPr>
            <w:tcW w:w="8778" w:type="dxa"/>
          </w:tcPr>
          <w:p w14:paraId="3172E42F" w14:textId="77777777" w:rsidR="0014167E" w:rsidRPr="0014167E" w:rsidRDefault="0014167E" w:rsidP="00DF4E47">
            <w:r w:rsidRPr="0014167E">
              <w:t xml:space="preserve">Įrankis privalo kurti specialius įspėjimus pagal vartotojo apibrėžtus parametrus. Remiantis iš anksto nustatytais kriterijais, tokiais kaip organizacijos kritiniai resursai, pramonės šaka, vieta ir grėsmių paieškos (angl. threat hunting) poreikiai, įrankis teikia žvalgybinę informaciją bei įspėja vartotojus apie įtartiną kibernetinę veiklą. </w:t>
            </w:r>
          </w:p>
        </w:tc>
      </w:tr>
      <w:tr w:rsidR="0014167E" w:rsidRPr="0014167E" w14:paraId="6A3A81AC" w14:textId="77777777" w:rsidTr="0014167E">
        <w:tc>
          <w:tcPr>
            <w:tcW w:w="715" w:type="dxa"/>
          </w:tcPr>
          <w:p w14:paraId="25076EFC" w14:textId="77777777" w:rsidR="0014167E" w:rsidRPr="0014167E" w:rsidRDefault="0014167E" w:rsidP="00DF4E47">
            <w:r w:rsidRPr="0014167E">
              <w:t>3.9.</w:t>
            </w:r>
          </w:p>
        </w:tc>
        <w:tc>
          <w:tcPr>
            <w:tcW w:w="8778" w:type="dxa"/>
          </w:tcPr>
          <w:p w14:paraId="29398DC5" w14:textId="77777777" w:rsidR="0014167E" w:rsidRPr="0014167E" w:rsidRDefault="0014167E" w:rsidP="00DF4E47">
            <w:r w:rsidRPr="0014167E">
              <w:t>Įrankis turi turėti iš anksto parengtus ir sukonfigūruotus įspėjimo šablonus, suskirstytus į įvairius naudojimo atvejus, minimaliai šiems scenarijams:</w:t>
            </w:r>
          </w:p>
          <w:p w14:paraId="20007857" w14:textId="77777777" w:rsidR="0014167E" w:rsidRPr="0014167E" w:rsidRDefault="0014167E" w:rsidP="0014167E">
            <w:pPr>
              <w:pStyle w:val="Sraopastraipa"/>
              <w:numPr>
                <w:ilvl w:val="0"/>
                <w:numId w:val="22"/>
              </w:numPr>
              <w:suppressAutoHyphens w:val="0"/>
            </w:pPr>
            <w:r w:rsidRPr="0014167E">
              <w:t>Išpirkos reikalaujančios programinės įrangos stebėjimui (angl. ransomware monitoring);</w:t>
            </w:r>
          </w:p>
          <w:p w14:paraId="4D1556CE" w14:textId="77777777" w:rsidR="0014167E" w:rsidRPr="0014167E" w:rsidRDefault="0014167E" w:rsidP="0014167E">
            <w:pPr>
              <w:pStyle w:val="Sraopastraipa"/>
              <w:numPr>
                <w:ilvl w:val="0"/>
                <w:numId w:val="22"/>
              </w:numPr>
              <w:suppressAutoHyphens w:val="0"/>
            </w:pPr>
            <w:r w:rsidRPr="0014167E">
              <w:t>Domenų stebėjimui (angl. domain monitoring);</w:t>
            </w:r>
          </w:p>
          <w:p w14:paraId="46AFF553" w14:textId="77777777" w:rsidR="0014167E" w:rsidRPr="0014167E" w:rsidRDefault="0014167E" w:rsidP="0014167E">
            <w:pPr>
              <w:pStyle w:val="Sraopastraipa"/>
              <w:numPr>
                <w:ilvl w:val="0"/>
                <w:numId w:val="22"/>
              </w:numPr>
              <w:suppressAutoHyphens w:val="0"/>
            </w:pPr>
            <w:r w:rsidRPr="0014167E">
              <w:t>Nutekintų įrašų (angl. leaked records) stebėjimui;</w:t>
            </w:r>
          </w:p>
          <w:p w14:paraId="67635ED8" w14:textId="77777777" w:rsidR="0014167E" w:rsidRPr="0014167E" w:rsidRDefault="0014167E" w:rsidP="0014167E">
            <w:pPr>
              <w:pStyle w:val="Sraopastraipa"/>
              <w:numPr>
                <w:ilvl w:val="0"/>
                <w:numId w:val="22"/>
              </w:numPr>
              <w:suppressAutoHyphens w:val="0"/>
            </w:pPr>
            <w:r w:rsidRPr="0014167E">
              <w:t>Prekės ženklo apsaugai (angl. brand protection);</w:t>
            </w:r>
          </w:p>
        </w:tc>
      </w:tr>
      <w:tr w:rsidR="0014167E" w:rsidRPr="0014167E" w14:paraId="06CFAADA" w14:textId="77777777" w:rsidTr="0014167E">
        <w:tc>
          <w:tcPr>
            <w:tcW w:w="715" w:type="dxa"/>
          </w:tcPr>
          <w:p w14:paraId="618D9154" w14:textId="77777777" w:rsidR="0014167E" w:rsidRPr="0014167E" w:rsidRDefault="0014167E" w:rsidP="00DF4E47">
            <w:r w:rsidRPr="0014167E">
              <w:t>3.10.</w:t>
            </w:r>
          </w:p>
        </w:tc>
        <w:tc>
          <w:tcPr>
            <w:tcW w:w="8778" w:type="dxa"/>
          </w:tcPr>
          <w:p w14:paraId="0F0D284C" w14:textId="77777777" w:rsidR="0014167E" w:rsidRPr="0014167E" w:rsidRDefault="0014167E" w:rsidP="00DF4E47">
            <w:r w:rsidRPr="0014167E">
              <w:t>Įrankis privalo turėti funkcionalumą valdyti incidentus. Sistema turi suteikti funkcionalumus vartotojams priskirti svarbius rezultatus vykdomam tyrimui, kurti suvestines ir sekti su incidentu susijusius rizikų mažinimo procesus. Platforma neturi apribojimų incidentų skaičiui.</w:t>
            </w:r>
          </w:p>
        </w:tc>
      </w:tr>
      <w:tr w:rsidR="0014167E" w:rsidRPr="0014167E" w14:paraId="5973B6DD" w14:textId="77777777" w:rsidTr="0014167E">
        <w:tc>
          <w:tcPr>
            <w:tcW w:w="715" w:type="dxa"/>
          </w:tcPr>
          <w:p w14:paraId="67DA2C5C" w14:textId="77777777" w:rsidR="0014167E" w:rsidRPr="0014167E" w:rsidRDefault="0014167E" w:rsidP="00DF4E47">
            <w:r w:rsidRPr="0014167E">
              <w:t>3.11.</w:t>
            </w:r>
          </w:p>
        </w:tc>
        <w:tc>
          <w:tcPr>
            <w:tcW w:w="8778" w:type="dxa"/>
          </w:tcPr>
          <w:p w14:paraId="37E4A3FB" w14:textId="77777777" w:rsidR="0014167E" w:rsidRPr="0014167E" w:rsidRDefault="0014167E" w:rsidP="00DF4E47">
            <w:r w:rsidRPr="0014167E">
              <w:t>Įrankis privalo pateikti iš anksto sukonfigūruotą filtrų rinkinį, skirtą grėsmių žvalgybos sričiai. Filtrai leidžia įvairiai skaidyti ir analizuoti rezultatus, neribojant filtruojamų duomenų kiekio.</w:t>
            </w:r>
          </w:p>
        </w:tc>
      </w:tr>
      <w:tr w:rsidR="0014167E" w:rsidRPr="0014167E" w14:paraId="3F883258" w14:textId="77777777" w:rsidTr="0014167E">
        <w:tc>
          <w:tcPr>
            <w:tcW w:w="715" w:type="dxa"/>
          </w:tcPr>
          <w:p w14:paraId="473B1E97" w14:textId="77777777" w:rsidR="0014167E" w:rsidRPr="0014167E" w:rsidRDefault="0014167E" w:rsidP="00DF4E47">
            <w:r w:rsidRPr="0014167E">
              <w:t>3.12.</w:t>
            </w:r>
          </w:p>
        </w:tc>
        <w:tc>
          <w:tcPr>
            <w:tcW w:w="8778" w:type="dxa"/>
          </w:tcPr>
          <w:p w14:paraId="42116CAF" w14:textId="77777777" w:rsidR="0014167E" w:rsidRPr="0014167E" w:rsidRDefault="0014167E" w:rsidP="00DF4E47">
            <w:r w:rsidRPr="0014167E">
              <w:t xml:space="preserve">Įrankis privalo teikti rekomendacijas įvairiems grėsmių scenarijams. Minimaliai rekomendacijos turi būti pateiktos šiems scenarijams: </w:t>
            </w:r>
          </w:p>
          <w:p w14:paraId="318349A5" w14:textId="77777777" w:rsidR="0014167E" w:rsidRPr="0014167E" w:rsidRDefault="0014167E" w:rsidP="0014167E">
            <w:pPr>
              <w:pStyle w:val="Sraopastraipa"/>
              <w:numPr>
                <w:ilvl w:val="0"/>
                <w:numId w:val="23"/>
              </w:numPr>
              <w:suppressAutoHyphens w:val="0"/>
            </w:pPr>
            <w:r w:rsidRPr="0014167E">
              <w:t>Duomenų nutekėjimo;</w:t>
            </w:r>
          </w:p>
          <w:p w14:paraId="14AD1124" w14:textId="77777777" w:rsidR="0014167E" w:rsidRPr="0014167E" w:rsidRDefault="0014167E" w:rsidP="0014167E">
            <w:pPr>
              <w:pStyle w:val="Sraopastraipa"/>
              <w:numPr>
                <w:ilvl w:val="0"/>
                <w:numId w:val="23"/>
              </w:numPr>
              <w:suppressAutoHyphens w:val="0"/>
            </w:pPr>
            <w:r w:rsidRPr="0014167E">
              <w:t xml:space="preserve">Kenkėjiškų programų; </w:t>
            </w:r>
          </w:p>
          <w:p w14:paraId="4E774F85" w14:textId="77777777" w:rsidR="0014167E" w:rsidRPr="0014167E" w:rsidRDefault="0014167E" w:rsidP="0014167E">
            <w:pPr>
              <w:pStyle w:val="Sraopastraipa"/>
              <w:numPr>
                <w:ilvl w:val="0"/>
                <w:numId w:val="23"/>
              </w:numPr>
              <w:suppressAutoHyphens w:val="0"/>
            </w:pPr>
            <w:r w:rsidRPr="0014167E">
              <w:t xml:space="preserve">Prekės ženklo piktnaudžiavimo atvejams. </w:t>
            </w:r>
          </w:p>
          <w:p w14:paraId="5232790F" w14:textId="77777777" w:rsidR="0014167E" w:rsidRPr="0014167E" w:rsidRDefault="0014167E" w:rsidP="00DF4E47">
            <w:pPr>
              <w:ind w:left="360"/>
            </w:pPr>
          </w:p>
          <w:p w14:paraId="755B02D2" w14:textId="77777777" w:rsidR="0014167E" w:rsidRPr="0014167E" w:rsidRDefault="0014167E" w:rsidP="00DF4E47">
            <w:r w:rsidRPr="0014167E">
              <w:t>Vartotojas gali pridėti naujų rekomendacijų arba koreguoti esamas, kad jos geriausiai atitiktų specifinius poreikius. Įrankis privalo leisti priskirti specifines rekomendacijas konkretiems rezultatams arba incidentams, nustatyti įvykdymo terminus ir pažymėti užbaigtus veiksmus.</w:t>
            </w:r>
          </w:p>
        </w:tc>
      </w:tr>
      <w:tr w:rsidR="0014167E" w:rsidRPr="0014167E" w14:paraId="68D0718B" w14:textId="77777777" w:rsidTr="0014167E">
        <w:tc>
          <w:tcPr>
            <w:tcW w:w="715" w:type="dxa"/>
          </w:tcPr>
          <w:p w14:paraId="67001DC7" w14:textId="77777777" w:rsidR="0014167E" w:rsidRPr="0014167E" w:rsidRDefault="0014167E" w:rsidP="00DF4E47">
            <w:r w:rsidRPr="0014167E">
              <w:t>3.13.</w:t>
            </w:r>
          </w:p>
        </w:tc>
        <w:tc>
          <w:tcPr>
            <w:tcW w:w="8778" w:type="dxa"/>
          </w:tcPr>
          <w:p w14:paraId="0A8343E5" w14:textId="77777777" w:rsidR="0014167E" w:rsidRPr="0014167E" w:rsidRDefault="0014167E" w:rsidP="00DF4E47">
            <w:r w:rsidRPr="0014167E">
              <w:t xml:space="preserve">Įrankis privalo palaikyti ad-hoc tyrimus ir užklausas į minimaliai šiuos duomenų šaltinius: giliojo interneto (angl. Deep Web), tamsiojo interneto (angl. Dark Web), techninius šaltinius, duomenų dalijimosi svetaines, momentinių žinučių (IM) programas ir kt. Įrankis privalo suteikti vartotojams galimybę atlikti ne mažiau nei </w:t>
            </w:r>
            <w:r w:rsidRPr="00360C6C">
              <w:t>25</w:t>
            </w:r>
            <w:r w:rsidRPr="0014167E">
              <w:t xml:space="preserve"> ad-hoc užklausas per mėnesį vienam ar keliems išvardintiems duomenų šaltiniams.</w:t>
            </w:r>
          </w:p>
        </w:tc>
      </w:tr>
      <w:tr w:rsidR="0014167E" w:rsidRPr="0014167E" w14:paraId="7ED91925" w14:textId="77777777" w:rsidTr="0014167E">
        <w:tc>
          <w:tcPr>
            <w:tcW w:w="715" w:type="dxa"/>
          </w:tcPr>
          <w:p w14:paraId="1FA0DB08" w14:textId="77777777" w:rsidR="0014167E" w:rsidRPr="0014167E" w:rsidRDefault="0014167E" w:rsidP="00DF4E47">
            <w:r w:rsidRPr="0014167E">
              <w:t>3.14.</w:t>
            </w:r>
          </w:p>
        </w:tc>
        <w:tc>
          <w:tcPr>
            <w:tcW w:w="8778" w:type="dxa"/>
          </w:tcPr>
          <w:p w14:paraId="78FF8D35" w14:textId="77777777" w:rsidR="0014167E" w:rsidRPr="0014167E" w:rsidRDefault="0014167E" w:rsidP="00DF4E47">
            <w:r w:rsidRPr="0014167E">
              <w:t>Įrankis privalo kurti individualizuotas ir tikslines PDF ataskaitas.</w:t>
            </w:r>
          </w:p>
        </w:tc>
      </w:tr>
      <w:tr w:rsidR="0014167E" w:rsidRPr="0014167E" w14:paraId="7A2BF8EA" w14:textId="77777777" w:rsidTr="0014167E">
        <w:tc>
          <w:tcPr>
            <w:tcW w:w="715" w:type="dxa"/>
          </w:tcPr>
          <w:p w14:paraId="69A69A0C" w14:textId="77777777" w:rsidR="0014167E" w:rsidRPr="0014167E" w:rsidRDefault="0014167E" w:rsidP="00DF4E47">
            <w:r w:rsidRPr="0014167E">
              <w:t>3.15.</w:t>
            </w:r>
          </w:p>
        </w:tc>
        <w:tc>
          <w:tcPr>
            <w:tcW w:w="8778" w:type="dxa"/>
          </w:tcPr>
          <w:p w14:paraId="3770B712" w14:textId="77777777" w:rsidR="0014167E" w:rsidRPr="0014167E" w:rsidRDefault="0014167E" w:rsidP="00DF4E47">
            <w:r w:rsidRPr="0014167E">
              <w:t xml:space="preserve">Įrankis privalo turėti funkcionalumą pateikti žvalgybos užklausą (angl. request for intelligence (RFI)) dedikuotiems grėsmių žvalgybos analitikams ir gauti pagalbą atliekant ad-hoc tyrimus bei analizuojant informaciją. Grėsmių žvalgybos veikla privalo būti grindžiama karinio lygio patikrinta metodologija ir apimti visą žvalgybos ciklą. Grėsmių žvalgybos analitikai privalo konsultuoti įvairiose srityse, įskaitant, bet neapsiribojant: kibernetiniais nusikaltimais, haktivizmu, APT atakomis (angl. Advanced Persistent Threat), tamsiojo interneto (angl. Dark Web) stebėsena ir kt. Gamintojas privalo užtikrinti, kad vartotojas galėtų pasinaudoti žvalgybos užklausos (RFI) funkcija ne mažiau kaip </w:t>
            </w:r>
            <w:r w:rsidRPr="00360C6C">
              <w:t>1 valandą per mėnesį</w:t>
            </w:r>
            <w:r w:rsidRPr="0014167E">
              <w:t>.</w:t>
            </w:r>
          </w:p>
        </w:tc>
      </w:tr>
      <w:tr w:rsidR="0014167E" w:rsidRPr="0014167E" w14:paraId="433A913B" w14:textId="77777777" w:rsidTr="0014167E">
        <w:tc>
          <w:tcPr>
            <w:tcW w:w="715" w:type="dxa"/>
          </w:tcPr>
          <w:p w14:paraId="03F91EE0" w14:textId="77777777" w:rsidR="0014167E" w:rsidRPr="0014167E" w:rsidRDefault="0014167E" w:rsidP="00DF4E47">
            <w:r w:rsidRPr="0014167E">
              <w:t>3.16.</w:t>
            </w:r>
          </w:p>
        </w:tc>
        <w:tc>
          <w:tcPr>
            <w:tcW w:w="8778" w:type="dxa"/>
          </w:tcPr>
          <w:p w14:paraId="07222037" w14:textId="77777777" w:rsidR="0014167E" w:rsidRPr="0014167E" w:rsidRDefault="0014167E" w:rsidP="00DF4E47">
            <w:r w:rsidRPr="0014167E">
              <w:t>Įrankis palaiko radinių, įspėjimų, incidentų ir kt. duomenų eksportavimą minimaliai PDF, CSV ir JSON formatais.</w:t>
            </w:r>
          </w:p>
        </w:tc>
      </w:tr>
      <w:tr w:rsidR="0014167E" w:rsidRPr="0014167E" w14:paraId="3D7F8A47" w14:textId="77777777" w:rsidTr="0014167E">
        <w:tc>
          <w:tcPr>
            <w:tcW w:w="715" w:type="dxa"/>
          </w:tcPr>
          <w:p w14:paraId="38E26791" w14:textId="77777777" w:rsidR="0014167E" w:rsidRPr="0014167E" w:rsidRDefault="0014167E" w:rsidP="00DF4E47">
            <w:r w:rsidRPr="0014167E">
              <w:t>3.17.</w:t>
            </w:r>
          </w:p>
        </w:tc>
        <w:tc>
          <w:tcPr>
            <w:tcW w:w="8778" w:type="dxa"/>
          </w:tcPr>
          <w:p w14:paraId="60ABE510" w14:textId="77777777" w:rsidR="0014167E" w:rsidRPr="0014167E" w:rsidRDefault="0014167E" w:rsidP="00DF4E47">
            <w:r w:rsidRPr="0014167E">
              <w:t xml:space="preserve">Įrankis privalo naudoti ir nuolatos atnaujinti AGTI (angl. Adversary-Generated Threat Intelligence) duomenis. Šie duomenys turi suteikti prieigą prie pažeidimo indikatorių (IOC) ir istorinių duomenų retrospektyviems tyrimams bei duomenų kryžminimui. IOC minimaliai apima šiuos resursus: IP adresus, failų maišų reikšmes, URL adresus, domenus ir kt. Įrankis privalo atnaujinti IOC duomenis minimaliai kas savaitę. </w:t>
            </w:r>
          </w:p>
        </w:tc>
      </w:tr>
      <w:tr w:rsidR="0014167E" w:rsidRPr="0014167E" w14:paraId="2F450C36" w14:textId="77777777" w:rsidTr="0014167E">
        <w:tc>
          <w:tcPr>
            <w:tcW w:w="715" w:type="dxa"/>
          </w:tcPr>
          <w:p w14:paraId="60E89C1C" w14:textId="77777777" w:rsidR="0014167E" w:rsidRPr="0014167E" w:rsidRDefault="0014167E" w:rsidP="00DF4E47">
            <w:r w:rsidRPr="0014167E">
              <w:t>3.18.</w:t>
            </w:r>
          </w:p>
        </w:tc>
        <w:tc>
          <w:tcPr>
            <w:tcW w:w="8778" w:type="dxa"/>
          </w:tcPr>
          <w:p w14:paraId="56B9C19A" w14:textId="77777777" w:rsidR="0014167E" w:rsidRPr="0014167E" w:rsidRDefault="0014167E" w:rsidP="00DF4E47">
            <w:r w:rsidRPr="0014167E">
              <w:t>Įrankis privalo teikti įžvalgas apie grėsmių vykdytojus (angl. threat actors) ir atakų grupes visame pasaulyje, įskaitant valstybių kibernetines pajėgas, kibernetinius nusikaltėlius, haktivistus ir kibernetinius teroristus, pateikiant IOCs, TTP ir baigtines žvalgybos ataskaitas kasdieniniuose srautuose. Įrankis turi funkcionalumą naudojantis dirbtiniu intelektu automatiškai analizuoti bei kurti žvalgybos korteles apie specifinius grėsmių vykdytojus, pateikiant informaciją apie jų veiklos sritis, veikimo laikotarpius ir kitus duomenis.</w:t>
            </w:r>
          </w:p>
        </w:tc>
      </w:tr>
      <w:tr w:rsidR="0014167E" w:rsidRPr="0014167E" w14:paraId="41486D61" w14:textId="77777777" w:rsidTr="0014167E">
        <w:tc>
          <w:tcPr>
            <w:tcW w:w="715" w:type="dxa"/>
          </w:tcPr>
          <w:p w14:paraId="06F2303D" w14:textId="77777777" w:rsidR="0014167E" w:rsidRPr="0014167E" w:rsidRDefault="0014167E" w:rsidP="00DF4E47">
            <w:r w:rsidRPr="0014167E">
              <w:t>3.19.</w:t>
            </w:r>
          </w:p>
        </w:tc>
        <w:tc>
          <w:tcPr>
            <w:tcW w:w="8778" w:type="dxa"/>
          </w:tcPr>
          <w:p w14:paraId="1431459E" w14:textId="77777777" w:rsidR="0014167E" w:rsidRPr="0014167E" w:rsidRDefault="0014167E" w:rsidP="00DF4E47">
            <w:r w:rsidRPr="0014167E">
              <w:t>Įrankis turi automatiškai rinkti ir apdoroti duomenis iš šaltinių keliomis kalbomis, remiantis organizacijos pramone, kritiniais resursais ir iš anksto nustatytais grėsmių paieškos reikalavimais.</w:t>
            </w:r>
          </w:p>
        </w:tc>
      </w:tr>
      <w:tr w:rsidR="0014167E" w:rsidRPr="0014167E" w14:paraId="4B4BA8CF" w14:textId="77777777" w:rsidTr="0014167E">
        <w:tc>
          <w:tcPr>
            <w:tcW w:w="715" w:type="dxa"/>
          </w:tcPr>
          <w:p w14:paraId="1298F7CF" w14:textId="77777777" w:rsidR="0014167E" w:rsidRPr="0014167E" w:rsidRDefault="0014167E" w:rsidP="00DF4E47">
            <w:r w:rsidRPr="0014167E">
              <w:t>3.20.</w:t>
            </w:r>
          </w:p>
        </w:tc>
        <w:tc>
          <w:tcPr>
            <w:tcW w:w="8778" w:type="dxa"/>
          </w:tcPr>
          <w:p w14:paraId="11678450" w14:textId="77777777" w:rsidR="0014167E" w:rsidRPr="0014167E" w:rsidRDefault="0014167E" w:rsidP="00DF4E47">
            <w:r w:rsidRPr="0014167E">
              <w:t>Įrankis duomenis turi rinkti minimaliai iš šių šaltinių: giliojo interneto (angl. Deep Web) ir tamsiojo interneto (angl. Dark Web) uždarų forumų, juodosios rinkos platformų, kortelių parduotuvių, mobiliųjų aplikacijų (pvz. Telegram, Discord) ir internetinių aplikacijų (pvz. Jabber, ICQ), duomenų dalijimosi ir nutekinimo platformų, kodo saugyklų (pvz. GitHub) ir anoniminių tinklų (pvz., Darknet, ZeroNet). Įrankis turi rinkti informaciją apie kibernetines grėsmes, įskaitant įsilaužimo įrankius, pažeidžiamumus, kenkėjišką programinę įrangą, pavogtus duomenis ir pavogtų kreditinių kortelių informaciją, bei laiku pateikti įspėjimus apie naujus domenus, pažeidžiamumus ir atnaujinimus iš RSS (angl. Really Simple Syndication) srautų bei nacionalinių ir tarptautinių saugumo pranešimų. Duomenys turi būti atnaujinami kas dieną.</w:t>
            </w:r>
          </w:p>
        </w:tc>
      </w:tr>
      <w:tr w:rsidR="0014167E" w:rsidRPr="0014167E" w14:paraId="38EF1DDB" w14:textId="77777777" w:rsidTr="0014167E">
        <w:tc>
          <w:tcPr>
            <w:tcW w:w="715" w:type="dxa"/>
          </w:tcPr>
          <w:p w14:paraId="3097EC6F" w14:textId="77777777" w:rsidR="0014167E" w:rsidRPr="0014167E" w:rsidRDefault="0014167E" w:rsidP="00DF4E47"/>
        </w:tc>
        <w:tc>
          <w:tcPr>
            <w:tcW w:w="8778" w:type="dxa"/>
          </w:tcPr>
          <w:p w14:paraId="4F5632FE" w14:textId="77777777" w:rsidR="0014167E" w:rsidRPr="0014167E" w:rsidRDefault="0014167E" w:rsidP="00DF4E47">
            <w:r w:rsidRPr="0014167E">
              <w:t xml:space="preserve">Įrankis privalo palaikyti EASM (angl. External Attack Surface Management) duomenų srauto integraciją. EASM duomenų srautai privalo apimti informaciją apie kliento skaitmeninių išteklių pažeidžiamumą ir jų viešąjį matomumą. </w:t>
            </w:r>
          </w:p>
        </w:tc>
      </w:tr>
      <w:tr w:rsidR="0014167E" w:rsidRPr="0014167E" w14:paraId="0B1E2329" w14:textId="77777777" w:rsidTr="0014167E">
        <w:tc>
          <w:tcPr>
            <w:tcW w:w="715" w:type="dxa"/>
          </w:tcPr>
          <w:p w14:paraId="48591D65" w14:textId="77777777" w:rsidR="0014167E" w:rsidRPr="0014167E" w:rsidRDefault="0014167E" w:rsidP="00DF4E47">
            <w:r w:rsidRPr="0014167E">
              <w:t>3.21.</w:t>
            </w:r>
          </w:p>
        </w:tc>
        <w:tc>
          <w:tcPr>
            <w:tcW w:w="8778" w:type="dxa"/>
          </w:tcPr>
          <w:p w14:paraId="1DC9866F" w14:textId="77777777" w:rsidR="0014167E" w:rsidRPr="0014167E" w:rsidRDefault="0014167E" w:rsidP="00DF4E47">
            <w:r w:rsidRPr="0014167E">
              <w:t xml:space="preserve">Įrankis turi funkcionalumą realiu laiku pateikti žvalgybinius duomenis apie organizacijoje nutekėjusius duomenis. Minimaliai pateikiama informacija apie: </w:t>
            </w:r>
          </w:p>
          <w:p w14:paraId="57370286" w14:textId="77777777" w:rsidR="0014167E" w:rsidRPr="0014167E" w:rsidRDefault="0014167E" w:rsidP="0014167E">
            <w:pPr>
              <w:pStyle w:val="Sraopastraipa"/>
              <w:numPr>
                <w:ilvl w:val="0"/>
                <w:numId w:val="20"/>
              </w:numPr>
              <w:suppressAutoHyphens w:val="0"/>
            </w:pPr>
            <w:r w:rsidRPr="0014167E">
              <w:t>Pavogtus prisijungimo duomenis iš kenkėjiškomis programomis užkrėstų vartotojų;</w:t>
            </w:r>
          </w:p>
          <w:p w14:paraId="7468C357" w14:textId="77777777" w:rsidR="0014167E" w:rsidRPr="0014167E" w:rsidRDefault="0014167E" w:rsidP="0014167E">
            <w:pPr>
              <w:pStyle w:val="Sraopastraipa"/>
              <w:numPr>
                <w:ilvl w:val="0"/>
                <w:numId w:val="20"/>
              </w:numPr>
              <w:suppressAutoHyphens w:val="0"/>
            </w:pPr>
            <w:r w:rsidRPr="0014167E">
              <w:t>Kompromituotas darbuotojų el. pašto paskyras, nutekėjusias per trečiųjų šalių pažeidimus;</w:t>
            </w:r>
          </w:p>
          <w:p w14:paraId="721AD9B0" w14:textId="77777777" w:rsidR="0014167E" w:rsidRPr="0014167E" w:rsidRDefault="0014167E" w:rsidP="0014167E">
            <w:pPr>
              <w:pStyle w:val="Sraopastraipa"/>
              <w:numPr>
                <w:ilvl w:val="0"/>
                <w:numId w:val="20"/>
              </w:numPr>
              <w:suppressAutoHyphens w:val="0"/>
            </w:pPr>
            <w:r w:rsidRPr="0014167E">
              <w:t>Vadovų/VIP paskyras, kurių prisijungimo duomenys buvo nutekinti grėsmių vykdytojų platformose.</w:t>
            </w:r>
          </w:p>
        </w:tc>
      </w:tr>
      <w:tr w:rsidR="0014167E" w:rsidRPr="0014167E" w14:paraId="7D999698" w14:textId="77777777" w:rsidTr="0014167E">
        <w:tc>
          <w:tcPr>
            <w:tcW w:w="715" w:type="dxa"/>
          </w:tcPr>
          <w:p w14:paraId="1E3796DE" w14:textId="77777777" w:rsidR="0014167E" w:rsidRPr="0014167E" w:rsidRDefault="0014167E" w:rsidP="00DF4E47">
            <w:r w:rsidRPr="0014167E">
              <w:t>3.22.</w:t>
            </w:r>
          </w:p>
        </w:tc>
        <w:tc>
          <w:tcPr>
            <w:tcW w:w="8778" w:type="dxa"/>
          </w:tcPr>
          <w:p w14:paraId="55A37440" w14:textId="77777777" w:rsidR="0014167E" w:rsidRPr="0014167E" w:rsidRDefault="0014167E" w:rsidP="00DF4E47">
            <w:pPr>
              <w:tabs>
                <w:tab w:val="left" w:pos="1030"/>
              </w:tabs>
            </w:pPr>
            <w:r w:rsidRPr="0014167E">
              <w:t>Įrankis turi funkcionalumą analizuoti fišingo atakas vykdomas prieš organizaciją. Minimaliai funkcionalumai leidžia:</w:t>
            </w:r>
          </w:p>
          <w:p w14:paraId="7AAF9E87" w14:textId="77777777" w:rsidR="0014167E" w:rsidRPr="0014167E" w:rsidRDefault="0014167E" w:rsidP="0014167E">
            <w:pPr>
              <w:pStyle w:val="Sraopastraipa"/>
              <w:numPr>
                <w:ilvl w:val="0"/>
                <w:numId w:val="21"/>
              </w:numPr>
              <w:tabs>
                <w:tab w:val="left" w:pos="1030"/>
              </w:tabs>
              <w:suppressAutoHyphens w:val="0"/>
            </w:pPr>
            <w:r w:rsidRPr="0014167E">
              <w:t>Automatiškai aptikti fišingo bandymus ir domenų klastojimą;</w:t>
            </w:r>
          </w:p>
          <w:p w14:paraId="3E6194BC" w14:textId="77777777" w:rsidR="0014167E" w:rsidRPr="0014167E" w:rsidRDefault="0014167E" w:rsidP="0014167E">
            <w:pPr>
              <w:pStyle w:val="Sraopastraipa"/>
              <w:numPr>
                <w:ilvl w:val="0"/>
                <w:numId w:val="21"/>
              </w:numPr>
              <w:tabs>
                <w:tab w:val="left" w:pos="1030"/>
              </w:tabs>
              <w:suppressAutoHyphens w:val="0"/>
            </w:pPr>
            <w:r w:rsidRPr="0014167E">
              <w:t>Identifikuoti fišingo bandymus domenuose, subdomenuose, SSL sertifikatuose;</w:t>
            </w:r>
          </w:p>
          <w:p w14:paraId="4093B528" w14:textId="77777777" w:rsidR="0014167E" w:rsidRPr="0014167E" w:rsidRDefault="0014167E" w:rsidP="0014167E">
            <w:pPr>
              <w:pStyle w:val="Sraopastraipa"/>
              <w:numPr>
                <w:ilvl w:val="0"/>
                <w:numId w:val="21"/>
              </w:numPr>
              <w:tabs>
                <w:tab w:val="left" w:pos="1030"/>
              </w:tabs>
              <w:suppressAutoHyphens w:val="0"/>
            </w:pPr>
            <w:r w:rsidRPr="0014167E">
              <w:t>Automatiškai pateikti technines įžvalgas su grėsmių lygio įvertinimu, leidžiančių prioretizuoti grėsmes.</w:t>
            </w:r>
          </w:p>
        </w:tc>
      </w:tr>
      <w:tr w:rsidR="0014167E" w:rsidRPr="0014167E" w14:paraId="2D47BAD3" w14:textId="77777777" w:rsidTr="0014167E">
        <w:tc>
          <w:tcPr>
            <w:tcW w:w="715" w:type="dxa"/>
          </w:tcPr>
          <w:p w14:paraId="083347F9" w14:textId="77777777" w:rsidR="0014167E" w:rsidRPr="0014167E" w:rsidRDefault="0014167E" w:rsidP="00DF4E47"/>
        </w:tc>
        <w:tc>
          <w:tcPr>
            <w:tcW w:w="8778" w:type="dxa"/>
          </w:tcPr>
          <w:p w14:paraId="325CCD96" w14:textId="77777777" w:rsidR="0014167E" w:rsidRPr="0014167E" w:rsidRDefault="0014167E" w:rsidP="0014167E">
            <w:pPr>
              <w:pStyle w:val="Sraopastraipa"/>
              <w:numPr>
                <w:ilvl w:val="0"/>
                <w:numId w:val="19"/>
              </w:numPr>
              <w:suppressAutoHyphens w:val="0"/>
            </w:pPr>
            <w:r w:rsidRPr="0014167E">
              <w:t>Vartotojų valdymo reikalavimai</w:t>
            </w:r>
          </w:p>
        </w:tc>
      </w:tr>
      <w:tr w:rsidR="0014167E" w:rsidRPr="0014167E" w14:paraId="5B6C442D" w14:textId="77777777" w:rsidTr="0014167E">
        <w:tc>
          <w:tcPr>
            <w:tcW w:w="715" w:type="dxa"/>
          </w:tcPr>
          <w:p w14:paraId="33D7077F" w14:textId="77777777" w:rsidR="0014167E" w:rsidRPr="0014167E" w:rsidRDefault="0014167E" w:rsidP="00DF4E47">
            <w:r w:rsidRPr="0014167E">
              <w:t>4.1.</w:t>
            </w:r>
          </w:p>
        </w:tc>
        <w:tc>
          <w:tcPr>
            <w:tcW w:w="8778" w:type="dxa"/>
          </w:tcPr>
          <w:p w14:paraId="5B475A9E" w14:textId="77777777" w:rsidR="0014167E" w:rsidRPr="0014167E" w:rsidRDefault="0014167E" w:rsidP="00DF4E47">
            <w:r w:rsidRPr="0014167E">
              <w:t>Autentifikavimui ir visų naudotojų autorizavimui platforma turi taikyti dviejų faktorių autentifikavimą (2FA) su bent vienu 2FA metodu.</w:t>
            </w:r>
          </w:p>
        </w:tc>
      </w:tr>
      <w:tr w:rsidR="0014167E" w:rsidRPr="0014167E" w14:paraId="16CEBF66" w14:textId="77777777" w:rsidTr="0014167E">
        <w:tc>
          <w:tcPr>
            <w:tcW w:w="715" w:type="dxa"/>
          </w:tcPr>
          <w:p w14:paraId="638057F3" w14:textId="77777777" w:rsidR="0014167E" w:rsidRPr="0014167E" w:rsidRDefault="0014167E" w:rsidP="00DF4E47">
            <w:r w:rsidRPr="0014167E">
              <w:t>4.2.</w:t>
            </w:r>
          </w:p>
        </w:tc>
        <w:tc>
          <w:tcPr>
            <w:tcW w:w="8778" w:type="dxa"/>
          </w:tcPr>
          <w:p w14:paraId="4DBAEACE" w14:textId="77777777" w:rsidR="0014167E" w:rsidRPr="0014167E" w:rsidRDefault="0014167E" w:rsidP="00DF4E47">
            <w:r w:rsidRPr="0014167E">
              <w:t>Turi būti funkcionalumas kurti slaptažodžių politikas vartotojams, užtikrinti minimalią slaptažodžių higieną organizacijoje.</w:t>
            </w:r>
          </w:p>
        </w:tc>
      </w:tr>
      <w:tr w:rsidR="0014167E" w:rsidRPr="0014167E" w14:paraId="126CC5C2" w14:textId="77777777" w:rsidTr="0014167E">
        <w:tc>
          <w:tcPr>
            <w:tcW w:w="715" w:type="dxa"/>
          </w:tcPr>
          <w:p w14:paraId="14916860" w14:textId="77777777" w:rsidR="0014167E" w:rsidRPr="0014167E" w:rsidRDefault="0014167E" w:rsidP="00DF4E47">
            <w:r w:rsidRPr="0014167E">
              <w:t>4.3.</w:t>
            </w:r>
          </w:p>
        </w:tc>
        <w:tc>
          <w:tcPr>
            <w:tcW w:w="8778" w:type="dxa"/>
          </w:tcPr>
          <w:p w14:paraId="295DE6D2" w14:textId="77777777" w:rsidR="0014167E" w:rsidRPr="0014167E" w:rsidRDefault="0014167E" w:rsidP="00DF4E47">
            <w:r w:rsidRPr="0014167E">
              <w:t>Platforma palaiko galimybę kurti vartotojus su skirtingomis teisėmis ir privilegijomis, užtikrinant, kad atitinkami vartotojai pasiektų tik jiems reikalingą ir aktualią informaciją.</w:t>
            </w:r>
          </w:p>
        </w:tc>
      </w:tr>
      <w:tr w:rsidR="0014167E" w:rsidRPr="0014167E" w14:paraId="7FAC1CF1" w14:textId="77777777" w:rsidTr="0014167E">
        <w:tc>
          <w:tcPr>
            <w:tcW w:w="715" w:type="dxa"/>
          </w:tcPr>
          <w:p w14:paraId="71EB512E" w14:textId="77777777" w:rsidR="0014167E" w:rsidRPr="0014167E" w:rsidRDefault="0014167E" w:rsidP="00DF4E47">
            <w:r w:rsidRPr="0014167E">
              <w:t>4.4.</w:t>
            </w:r>
          </w:p>
        </w:tc>
        <w:tc>
          <w:tcPr>
            <w:tcW w:w="8778" w:type="dxa"/>
          </w:tcPr>
          <w:p w14:paraId="6B964A45" w14:textId="77777777" w:rsidR="0014167E" w:rsidRPr="0014167E" w:rsidRDefault="0014167E" w:rsidP="00DF4E47">
            <w:r w:rsidRPr="0014167E">
              <w:t>Po pakartotinų nesėkmingų prisijungimų, įrankis privalo turėti funkcionalumą automatiškai užrakinti vartotojo paskyrą.</w:t>
            </w:r>
          </w:p>
        </w:tc>
      </w:tr>
      <w:tr w:rsidR="0014167E" w:rsidRPr="0014167E" w14:paraId="60C21F10" w14:textId="77777777" w:rsidTr="0014167E">
        <w:tc>
          <w:tcPr>
            <w:tcW w:w="715" w:type="dxa"/>
          </w:tcPr>
          <w:p w14:paraId="08DF4EB4" w14:textId="77777777" w:rsidR="0014167E" w:rsidRPr="0014167E" w:rsidRDefault="0014167E" w:rsidP="00DF4E47">
            <w:r w:rsidRPr="0014167E">
              <w:t>4.5.</w:t>
            </w:r>
          </w:p>
        </w:tc>
        <w:tc>
          <w:tcPr>
            <w:tcW w:w="8778" w:type="dxa"/>
          </w:tcPr>
          <w:p w14:paraId="79DAFA52" w14:textId="77777777" w:rsidR="0014167E" w:rsidRPr="0014167E" w:rsidRDefault="0014167E" w:rsidP="00DF4E47">
            <w:r w:rsidRPr="0014167E">
              <w:t>Pakeitus vartotojo teises ir privilegijas, įrankis privalo automatiškai atjungti minėtą vartotoją nuo platformos.</w:t>
            </w:r>
          </w:p>
        </w:tc>
      </w:tr>
      <w:tr w:rsidR="0014167E" w:rsidRPr="0014167E" w14:paraId="61690FDF" w14:textId="77777777" w:rsidTr="0014167E">
        <w:tc>
          <w:tcPr>
            <w:tcW w:w="715" w:type="dxa"/>
          </w:tcPr>
          <w:p w14:paraId="122E8BA5" w14:textId="77777777" w:rsidR="0014167E" w:rsidRPr="0014167E" w:rsidRDefault="0014167E" w:rsidP="00DF4E47">
            <w:r w:rsidRPr="0014167E">
              <w:t>4.6.</w:t>
            </w:r>
          </w:p>
        </w:tc>
        <w:tc>
          <w:tcPr>
            <w:tcW w:w="8778" w:type="dxa"/>
          </w:tcPr>
          <w:p w14:paraId="1EB002D3" w14:textId="77777777" w:rsidR="0014167E" w:rsidRPr="0014167E" w:rsidRDefault="0014167E" w:rsidP="00DF4E47">
            <w:r w:rsidRPr="0014167E">
              <w:t>Įrankis turi funkcionalumą vartotojams patiems atsistatyti slaptažodį, pamiršus prisijungimo duomenis.</w:t>
            </w:r>
          </w:p>
        </w:tc>
      </w:tr>
      <w:tr w:rsidR="0014167E" w:rsidRPr="0014167E" w14:paraId="7ECEEA61" w14:textId="77777777" w:rsidTr="0014167E">
        <w:tc>
          <w:tcPr>
            <w:tcW w:w="715" w:type="dxa"/>
          </w:tcPr>
          <w:p w14:paraId="1692D932" w14:textId="77777777" w:rsidR="0014167E" w:rsidRPr="0014167E" w:rsidRDefault="0014167E" w:rsidP="00DF4E47">
            <w:r w:rsidRPr="0014167E">
              <w:t>4.7.</w:t>
            </w:r>
          </w:p>
        </w:tc>
        <w:tc>
          <w:tcPr>
            <w:tcW w:w="8778" w:type="dxa"/>
          </w:tcPr>
          <w:p w14:paraId="1AA31E52" w14:textId="77777777" w:rsidR="0014167E" w:rsidRPr="0014167E" w:rsidRDefault="0014167E" w:rsidP="00DF4E47">
            <w:r w:rsidRPr="0014167E">
              <w:t>Įrankis privalo automatiškai priversti vartotoją pakeisti slaptažodį pirmojo prisijungimo metu.</w:t>
            </w:r>
          </w:p>
        </w:tc>
      </w:tr>
      <w:tr w:rsidR="0014167E" w:rsidRPr="0014167E" w14:paraId="2C256F10" w14:textId="77777777" w:rsidTr="0014167E">
        <w:tc>
          <w:tcPr>
            <w:tcW w:w="715" w:type="dxa"/>
          </w:tcPr>
          <w:p w14:paraId="63028D16" w14:textId="77777777" w:rsidR="0014167E" w:rsidRPr="0014167E" w:rsidRDefault="0014167E" w:rsidP="00DF4E47">
            <w:r w:rsidRPr="0014167E">
              <w:t>4.8.</w:t>
            </w:r>
          </w:p>
        </w:tc>
        <w:tc>
          <w:tcPr>
            <w:tcW w:w="8778" w:type="dxa"/>
          </w:tcPr>
          <w:p w14:paraId="73EB7CF3" w14:textId="77777777" w:rsidR="0014167E" w:rsidRPr="0014167E" w:rsidRDefault="0014167E" w:rsidP="00DF4E47">
            <w:r w:rsidRPr="0014167E">
              <w:t>Platforma privalo palaikyti SSO (angl. „Single Sign On“) funkcionalumą su Microsoft Active Directory (AD) ir Microsoft Entra ID.</w:t>
            </w:r>
          </w:p>
        </w:tc>
      </w:tr>
      <w:tr w:rsidR="0014167E" w:rsidRPr="0014167E" w14:paraId="1C569FEE" w14:textId="77777777" w:rsidTr="0014167E">
        <w:tc>
          <w:tcPr>
            <w:tcW w:w="715" w:type="dxa"/>
          </w:tcPr>
          <w:p w14:paraId="33228B29" w14:textId="77777777" w:rsidR="0014167E" w:rsidRPr="0014167E" w:rsidRDefault="0014167E" w:rsidP="00DF4E47"/>
        </w:tc>
        <w:tc>
          <w:tcPr>
            <w:tcW w:w="8778" w:type="dxa"/>
          </w:tcPr>
          <w:p w14:paraId="4F416F46" w14:textId="77777777" w:rsidR="0014167E" w:rsidRPr="0014167E" w:rsidRDefault="0014167E" w:rsidP="0014167E">
            <w:pPr>
              <w:pStyle w:val="Sraopastraipa"/>
              <w:numPr>
                <w:ilvl w:val="0"/>
                <w:numId w:val="19"/>
              </w:numPr>
              <w:suppressAutoHyphens w:val="0"/>
            </w:pPr>
            <w:r w:rsidRPr="0014167E">
              <w:t>Kiti funkcionalumai</w:t>
            </w:r>
          </w:p>
        </w:tc>
      </w:tr>
      <w:tr w:rsidR="0014167E" w:rsidRPr="0014167E" w14:paraId="64A03AF7" w14:textId="77777777" w:rsidTr="0014167E">
        <w:tc>
          <w:tcPr>
            <w:tcW w:w="715" w:type="dxa"/>
          </w:tcPr>
          <w:p w14:paraId="42423C96" w14:textId="77777777" w:rsidR="0014167E" w:rsidRPr="0014167E" w:rsidRDefault="0014167E" w:rsidP="00DF4E47">
            <w:r w:rsidRPr="0014167E">
              <w:t>5.1.</w:t>
            </w:r>
          </w:p>
        </w:tc>
        <w:tc>
          <w:tcPr>
            <w:tcW w:w="8778" w:type="dxa"/>
          </w:tcPr>
          <w:p w14:paraId="021B1924" w14:textId="77777777" w:rsidR="0014167E" w:rsidRPr="0014167E" w:rsidRDefault="0014167E" w:rsidP="00DF4E47">
            <w:r w:rsidRPr="0014167E">
              <w:t>Įrankis turi centralizuotą įvykių registravimą ir stebėseną. Įrankis privalo rinkti suformatuotus žurnalus iš visų jo komponentų į centrinę saugyklą.</w:t>
            </w:r>
          </w:p>
        </w:tc>
      </w:tr>
      <w:tr w:rsidR="0014167E" w:rsidRPr="0014167E" w14:paraId="76BD9C0A" w14:textId="77777777" w:rsidTr="0014167E">
        <w:tc>
          <w:tcPr>
            <w:tcW w:w="715" w:type="dxa"/>
          </w:tcPr>
          <w:p w14:paraId="7202FB1C" w14:textId="77777777" w:rsidR="0014167E" w:rsidRPr="0014167E" w:rsidRDefault="0014167E" w:rsidP="00DF4E47">
            <w:r w:rsidRPr="0014167E">
              <w:t>5.2.</w:t>
            </w:r>
          </w:p>
        </w:tc>
        <w:tc>
          <w:tcPr>
            <w:tcW w:w="8778" w:type="dxa"/>
          </w:tcPr>
          <w:p w14:paraId="776848CB" w14:textId="77777777" w:rsidR="0014167E" w:rsidRPr="0014167E" w:rsidRDefault="0014167E" w:rsidP="00DF4E47">
            <w:r w:rsidRPr="0014167E">
              <w:t>Įrankis privalo saugoti vartotojų veiklos platformoje istoriją. Turi būti funkcionalumas audituoti vartotojo veiksmus.</w:t>
            </w:r>
          </w:p>
        </w:tc>
      </w:tr>
      <w:tr w:rsidR="0014167E" w:rsidRPr="0014167E" w14:paraId="6B3B1701" w14:textId="77777777" w:rsidTr="0014167E">
        <w:tc>
          <w:tcPr>
            <w:tcW w:w="715" w:type="dxa"/>
          </w:tcPr>
          <w:p w14:paraId="6318150E" w14:textId="77777777" w:rsidR="0014167E" w:rsidRPr="0014167E" w:rsidRDefault="0014167E" w:rsidP="00DF4E47">
            <w:r w:rsidRPr="0014167E">
              <w:t>5.3.</w:t>
            </w:r>
          </w:p>
        </w:tc>
        <w:tc>
          <w:tcPr>
            <w:tcW w:w="8778" w:type="dxa"/>
          </w:tcPr>
          <w:p w14:paraId="2DECA9CE" w14:textId="77777777" w:rsidR="0014167E" w:rsidRPr="0014167E" w:rsidRDefault="0014167E" w:rsidP="00DF4E47">
            <w:r w:rsidRPr="0014167E">
              <w:t>Turi būti atliekamos įrankio duomenų bazių atsarginės kopijos ir palaikomas jų atstatymas iki vienos dienos atgal.</w:t>
            </w:r>
          </w:p>
        </w:tc>
      </w:tr>
      <w:tr w:rsidR="0014167E" w:rsidRPr="0014167E" w14:paraId="0995F5CF" w14:textId="77777777" w:rsidTr="0014167E">
        <w:tc>
          <w:tcPr>
            <w:tcW w:w="715" w:type="dxa"/>
          </w:tcPr>
          <w:p w14:paraId="54EE7307" w14:textId="77777777" w:rsidR="0014167E" w:rsidRPr="0014167E" w:rsidRDefault="0014167E" w:rsidP="00DF4E47">
            <w:r w:rsidRPr="0014167E">
              <w:t>5.4.</w:t>
            </w:r>
          </w:p>
        </w:tc>
        <w:tc>
          <w:tcPr>
            <w:tcW w:w="8778" w:type="dxa"/>
          </w:tcPr>
          <w:p w14:paraId="5ABFC283" w14:textId="77777777" w:rsidR="0014167E" w:rsidRPr="0014167E" w:rsidRDefault="0014167E" w:rsidP="00DF4E47">
            <w:r w:rsidRPr="0014167E">
              <w:t>Įrankis privalo turėti funkcionalumą naudotis RESTful aplikacijų programavimo sąsają (angl. Application Programming Interface (API)). RESTful API turi minimaliai leisti vartotojams eksportuoti techninius duomenis STIX formatu, taip pat turi palaikyti integracijas su įvairiomis saugumo priemonėmis, tokiomis kaip Saugumo informacijos ir įvykių valdymo sistema (angl. Security Information and Event Management (SIEM)), Saugumo orkestravimo, automatizavimo ir reagavimo sistema (angl. Security Orchestration, Automation and Response (SOAR)) ir kitais įrankiais.</w:t>
            </w:r>
          </w:p>
        </w:tc>
      </w:tr>
      <w:tr w:rsidR="0014167E" w:rsidRPr="0014167E" w14:paraId="300087C4" w14:textId="77777777" w:rsidTr="0014167E">
        <w:tc>
          <w:tcPr>
            <w:tcW w:w="715" w:type="dxa"/>
          </w:tcPr>
          <w:p w14:paraId="5903ADFC" w14:textId="77777777" w:rsidR="0014167E" w:rsidRPr="0014167E" w:rsidRDefault="0014167E" w:rsidP="00DF4E47"/>
        </w:tc>
        <w:tc>
          <w:tcPr>
            <w:tcW w:w="8778" w:type="dxa"/>
          </w:tcPr>
          <w:p w14:paraId="7D3687B1" w14:textId="77777777" w:rsidR="0014167E" w:rsidRPr="0014167E" w:rsidRDefault="0014167E" w:rsidP="0014167E">
            <w:pPr>
              <w:pStyle w:val="Sraopastraipa"/>
              <w:numPr>
                <w:ilvl w:val="0"/>
                <w:numId w:val="19"/>
              </w:numPr>
              <w:suppressAutoHyphens w:val="0"/>
            </w:pPr>
            <w:r w:rsidRPr="0014167E">
              <w:t>Palaikymo reikalavimai gamintojui</w:t>
            </w:r>
          </w:p>
        </w:tc>
      </w:tr>
      <w:tr w:rsidR="0014167E" w:rsidRPr="0014167E" w14:paraId="72B58AA6" w14:textId="77777777" w:rsidTr="0014167E">
        <w:tc>
          <w:tcPr>
            <w:tcW w:w="715" w:type="dxa"/>
          </w:tcPr>
          <w:p w14:paraId="1F65246D" w14:textId="77777777" w:rsidR="0014167E" w:rsidRPr="0014167E" w:rsidRDefault="0014167E" w:rsidP="00DF4E47">
            <w:r w:rsidRPr="0014167E">
              <w:t>6.1.</w:t>
            </w:r>
          </w:p>
        </w:tc>
        <w:tc>
          <w:tcPr>
            <w:tcW w:w="8778" w:type="dxa"/>
          </w:tcPr>
          <w:p w14:paraId="0633223F" w14:textId="77777777" w:rsidR="0014167E" w:rsidRPr="0014167E" w:rsidRDefault="0014167E" w:rsidP="00DF4E47">
            <w:r w:rsidRPr="0014167E">
              <w:t>Gamintojas ir/ar tiekėjas privalo užtikrinti pagalbą su produktu susijusiais klausimais minimaliai lietuvių ir anglų kalba.</w:t>
            </w:r>
          </w:p>
        </w:tc>
      </w:tr>
      <w:tr w:rsidR="0014167E" w:rsidRPr="0014167E" w14:paraId="7E017C68" w14:textId="77777777" w:rsidTr="0014167E">
        <w:tc>
          <w:tcPr>
            <w:tcW w:w="715" w:type="dxa"/>
          </w:tcPr>
          <w:p w14:paraId="3994F240" w14:textId="77777777" w:rsidR="0014167E" w:rsidRPr="0014167E" w:rsidRDefault="0014167E" w:rsidP="00DF4E47">
            <w:r w:rsidRPr="0014167E">
              <w:t>6.2.</w:t>
            </w:r>
          </w:p>
        </w:tc>
        <w:tc>
          <w:tcPr>
            <w:tcW w:w="8778" w:type="dxa"/>
          </w:tcPr>
          <w:p w14:paraId="221E431D" w14:textId="77777777" w:rsidR="0014167E" w:rsidRPr="0014167E" w:rsidRDefault="0014167E" w:rsidP="00DF4E47">
            <w:r w:rsidRPr="0014167E">
              <w:t>Gamintojas privalo turėti EU regione esantį filialą, kad užtikrintu laiku gaunamą pagalbą, atsakymus į užklausas ir pasiekiamumą susitikimams.</w:t>
            </w:r>
          </w:p>
        </w:tc>
      </w:tr>
      <w:tr w:rsidR="0014167E" w:rsidRPr="0014167E" w14:paraId="7F189744" w14:textId="77777777" w:rsidTr="0014167E">
        <w:tc>
          <w:tcPr>
            <w:tcW w:w="715" w:type="dxa"/>
          </w:tcPr>
          <w:p w14:paraId="1A0EAFEC" w14:textId="77777777" w:rsidR="0014167E" w:rsidRPr="0014167E" w:rsidRDefault="0014167E" w:rsidP="00DF4E47">
            <w:r w:rsidRPr="0014167E">
              <w:t>6.3.</w:t>
            </w:r>
          </w:p>
        </w:tc>
        <w:tc>
          <w:tcPr>
            <w:tcW w:w="8778" w:type="dxa"/>
          </w:tcPr>
          <w:p w14:paraId="407FBA3D" w14:textId="77777777" w:rsidR="0014167E" w:rsidRPr="0014167E" w:rsidRDefault="0014167E" w:rsidP="00DF4E47">
            <w:r w:rsidRPr="0014167E">
              <w:t>Gamintojas privalo pagal poreikį siūlyti prekės ženklo apsaugos paslaugas už papildomą mokestį, kuris neįskaičiuotas į pirminį paketą. Papildomos paslaugos turi minimaliai siūlyti pagalbą pašalinant netikras paskyras imituojančias vartotojo resursus/prekės ženklą.</w:t>
            </w:r>
          </w:p>
        </w:tc>
      </w:tr>
      <w:tr w:rsidR="00BF4E7C" w:rsidRPr="0014167E" w14:paraId="7798E5DB" w14:textId="77777777" w:rsidTr="0014167E">
        <w:tc>
          <w:tcPr>
            <w:tcW w:w="715" w:type="dxa"/>
          </w:tcPr>
          <w:p w14:paraId="7A4400AE" w14:textId="49EFDEEE" w:rsidR="00BF4E7C" w:rsidRPr="0014167E" w:rsidRDefault="00BF4E7C" w:rsidP="00DF4E47">
            <w:r>
              <w:t>6.4.</w:t>
            </w:r>
          </w:p>
        </w:tc>
        <w:tc>
          <w:tcPr>
            <w:tcW w:w="8778" w:type="dxa"/>
          </w:tcPr>
          <w:p w14:paraId="1DDB0D46" w14:textId="0E5B7C02" w:rsidR="00BF4E7C" w:rsidRPr="0014167E" w:rsidRDefault="009A0EB9" w:rsidP="00DF4E47">
            <w:r>
              <w:t>Įrankiui suteikiama 12 mėnesių garantija nuo jo aktyvavimo dienos.</w:t>
            </w:r>
          </w:p>
        </w:tc>
      </w:tr>
    </w:tbl>
    <w:p w14:paraId="2C178B82" w14:textId="77777777" w:rsidR="0014167E" w:rsidRDefault="0014167E" w:rsidP="006500C7">
      <w:pPr>
        <w:jc w:val="both"/>
        <w:rPr>
          <w:color w:val="000000"/>
          <w:sz w:val="22"/>
          <w:szCs w:val="22"/>
        </w:rPr>
      </w:pPr>
    </w:p>
    <w:p w14:paraId="15B2B110" w14:textId="77777777" w:rsidR="006500C7" w:rsidRDefault="006500C7" w:rsidP="006500C7">
      <w:pPr>
        <w:ind w:left="6521"/>
        <w:jc w:val="both"/>
        <w:rPr>
          <w:bCs/>
          <w:sz w:val="22"/>
          <w:szCs w:val="22"/>
          <w:lang w:eastAsia="lt-LT"/>
        </w:rPr>
      </w:pPr>
    </w:p>
    <w:tbl>
      <w:tblPr>
        <w:tblStyle w:val="Lentelstinklelis"/>
        <w:tblW w:w="9493" w:type="dxa"/>
        <w:tblLayout w:type="fixed"/>
        <w:tblLook w:val="04A0" w:firstRow="1" w:lastRow="0" w:firstColumn="1" w:lastColumn="0" w:noHBand="0" w:noVBand="1"/>
      </w:tblPr>
      <w:tblGrid>
        <w:gridCol w:w="842"/>
        <w:gridCol w:w="3406"/>
        <w:gridCol w:w="5245"/>
      </w:tblGrid>
      <w:tr w:rsidR="00652D90" w:rsidRPr="00BC6ECC" w14:paraId="39EAA5BA" w14:textId="77777777" w:rsidTr="00833513">
        <w:tc>
          <w:tcPr>
            <w:tcW w:w="842" w:type="dxa"/>
          </w:tcPr>
          <w:p w14:paraId="1F60D213" w14:textId="77777777" w:rsidR="00652D90" w:rsidRPr="00BC6ECC" w:rsidRDefault="00652D90" w:rsidP="00833513">
            <w:pPr>
              <w:widowControl w:val="0"/>
              <w:jc w:val="center"/>
              <w:rPr>
                <w:b/>
                <w:szCs w:val="24"/>
              </w:rPr>
            </w:pPr>
            <w:r w:rsidRPr="00BC6ECC">
              <w:rPr>
                <w:b/>
                <w:szCs w:val="24"/>
              </w:rPr>
              <w:t>Eil.</w:t>
            </w:r>
          </w:p>
          <w:p w14:paraId="6067D733" w14:textId="77777777" w:rsidR="00652D90" w:rsidRPr="00BC6ECC" w:rsidRDefault="00652D90" w:rsidP="00833513">
            <w:pPr>
              <w:widowControl w:val="0"/>
              <w:jc w:val="center"/>
              <w:rPr>
                <w:b/>
                <w:szCs w:val="24"/>
              </w:rPr>
            </w:pPr>
            <w:r w:rsidRPr="00BC6ECC">
              <w:rPr>
                <w:b/>
                <w:szCs w:val="24"/>
              </w:rPr>
              <w:t>Nr.</w:t>
            </w:r>
          </w:p>
        </w:tc>
        <w:tc>
          <w:tcPr>
            <w:tcW w:w="3406" w:type="dxa"/>
          </w:tcPr>
          <w:p w14:paraId="0AB7B77E" w14:textId="77777777" w:rsidR="00652D90" w:rsidRPr="00BC6ECC" w:rsidRDefault="00652D90" w:rsidP="00833513">
            <w:pPr>
              <w:widowControl w:val="0"/>
              <w:jc w:val="center"/>
              <w:rPr>
                <w:b/>
                <w:szCs w:val="24"/>
              </w:rPr>
            </w:pPr>
            <w:r w:rsidRPr="00BC6ECC">
              <w:rPr>
                <w:b/>
                <w:szCs w:val="24"/>
              </w:rPr>
              <w:t>Parametras</w:t>
            </w:r>
          </w:p>
        </w:tc>
        <w:tc>
          <w:tcPr>
            <w:tcW w:w="5245" w:type="dxa"/>
          </w:tcPr>
          <w:p w14:paraId="450708D5" w14:textId="77777777" w:rsidR="00652D90" w:rsidRPr="00BC6ECC" w:rsidRDefault="00652D90" w:rsidP="00833513">
            <w:pPr>
              <w:widowControl w:val="0"/>
              <w:jc w:val="center"/>
              <w:rPr>
                <w:b/>
                <w:szCs w:val="24"/>
              </w:rPr>
            </w:pPr>
            <w:r w:rsidRPr="00BC6ECC">
              <w:rPr>
                <w:b/>
                <w:szCs w:val="24"/>
              </w:rPr>
              <w:t>Reikalaujama parametro reikšmė</w:t>
            </w:r>
          </w:p>
        </w:tc>
      </w:tr>
      <w:tr w:rsidR="00652D90" w:rsidRPr="00BC6ECC" w14:paraId="40CC0063" w14:textId="77777777" w:rsidTr="00833513">
        <w:tc>
          <w:tcPr>
            <w:tcW w:w="842" w:type="dxa"/>
          </w:tcPr>
          <w:p w14:paraId="79E49BF2" w14:textId="77777777" w:rsidR="00652D90" w:rsidRPr="00BC6ECC" w:rsidRDefault="00652D90" w:rsidP="00833513">
            <w:pPr>
              <w:widowControl w:val="0"/>
              <w:jc w:val="both"/>
              <w:rPr>
                <w:b/>
                <w:szCs w:val="24"/>
              </w:rPr>
            </w:pPr>
            <w:r w:rsidRPr="00BC6ECC">
              <w:rPr>
                <w:b/>
                <w:szCs w:val="24"/>
              </w:rPr>
              <w:t>1.</w:t>
            </w:r>
          </w:p>
        </w:tc>
        <w:tc>
          <w:tcPr>
            <w:tcW w:w="3406" w:type="dxa"/>
          </w:tcPr>
          <w:p w14:paraId="523F88C7" w14:textId="4303F200" w:rsidR="00652D90" w:rsidRPr="00BC6ECC" w:rsidRDefault="00652D90" w:rsidP="00833513">
            <w:pPr>
              <w:widowControl w:val="0"/>
              <w:jc w:val="both"/>
              <w:rPr>
                <w:b/>
                <w:szCs w:val="24"/>
              </w:rPr>
            </w:pPr>
            <w:r w:rsidRPr="00BC6ECC">
              <w:rPr>
                <w:szCs w:val="24"/>
              </w:rPr>
              <w:t>Tiekėjas turi būti techninėje specifikacijoje nurodytos</w:t>
            </w:r>
            <w:r>
              <w:rPr>
                <w:szCs w:val="24"/>
              </w:rPr>
              <w:t xml:space="preserve"> </w:t>
            </w:r>
            <w:r w:rsidRPr="0087766F">
              <w:rPr>
                <w:i/>
                <w:iCs/>
                <w:szCs w:val="24"/>
              </w:rPr>
              <w:t>programinės</w:t>
            </w:r>
            <w:r w:rsidRPr="00BC6ECC">
              <w:rPr>
                <w:szCs w:val="24"/>
              </w:rPr>
              <w:t xml:space="preserve"> įrangos gamintojas arba turi turėti gamintojo suteiktą teisę (turi būti įgaliotas gamintojo atstovas) </w:t>
            </w:r>
            <w:r>
              <w:rPr>
                <w:szCs w:val="24"/>
              </w:rPr>
              <w:t xml:space="preserve">parduoti šią programinė įrangą. </w:t>
            </w:r>
          </w:p>
        </w:tc>
        <w:tc>
          <w:tcPr>
            <w:tcW w:w="5245" w:type="dxa"/>
          </w:tcPr>
          <w:p w14:paraId="6A6F097D" w14:textId="120F6732" w:rsidR="00652D90" w:rsidRPr="00BC6ECC" w:rsidRDefault="00652D90" w:rsidP="00833513">
            <w:pPr>
              <w:widowControl w:val="0"/>
              <w:tabs>
                <w:tab w:val="left" w:pos="1089"/>
              </w:tabs>
              <w:spacing w:before="40" w:after="40"/>
              <w:jc w:val="both"/>
              <w:rPr>
                <w:b/>
                <w:szCs w:val="24"/>
              </w:rPr>
            </w:pPr>
            <w:r w:rsidRPr="00BC6ECC">
              <w:rPr>
                <w:szCs w:val="24"/>
              </w:rPr>
              <w:t xml:space="preserve">Tiekėjas teikdamas pasiūlymą turi pateikti dokumentą, patvirtinantį, kad tiekėjas yra techninėje specifikacijoje nurodytos </w:t>
            </w:r>
            <w:r w:rsidRPr="0087766F">
              <w:rPr>
                <w:i/>
                <w:iCs/>
                <w:szCs w:val="24"/>
              </w:rPr>
              <w:t>programinės</w:t>
            </w:r>
            <w:r>
              <w:rPr>
                <w:i/>
                <w:iCs/>
                <w:szCs w:val="24"/>
              </w:rPr>
              <w:t xml:space="preserve"> </w:t>
            </w:r>
            <w:r w:rsidRPr="00BC6ECC">
              <w:rPr>
                <w:szCs w:val="24"/>
              </w:rPr>
              <w:t xml:space="preserve">įrangos gamintojas (pateikiama tiekėjo pažyma), ar įgaliotas </w:t>
            </w:r>
            <w:r>
              <w:rPr>
                <w:szCs w:val="24"/>
              </w:rPr>
              <w:t xml:space="preserve">šios įrangos </w:t>
            </w:r>
            <w:r w:rsidRPr="00BC6ECC">
              <w:rPr>
                <w:szCs w:val="24"/>
              </w:rPr>
              <w:t>gamintojo atstovas (pateikiami oficialų atstovavimą patvirtinantys dokumentai), ar yra sudaręs atitinkamą bendradarbiavimo sutartį su kitu ūkio subjektu, turinčiu gamintojo suteiktą teisę (pateikiama patvirtinančios sutarties su kita įmone, turinčia teisę atstovauti įrangos gamintoją, skaitmeninė kopija bei ūkio subjektui, su kuriuo sudaryta bendradarbiavimo sutartis, gamintojo išduotas įgaliojimas).</w:t>
            </w:r>
          </w:p>
        </w:tc>
      </w:tr>
    </w:tbl>
    <w:p w14:paraId="3905950E" w14:textId="77777777" w:rsidR="006500C7" w:rsidRDefault="006500C7" w:rsidP="006500C7">
      <w:pPr>
        <w:ind w:left="6521"/>
        <w:jc w:val="both"/>
        <w:rPr>
          <w:bCs/>
          <w:sz w:val="22"/>
          <w:szCs w:val="22"/>
          <w:lang w:eastAsia="lt-LT"/>
        </w:rPr>
      </w:pPr>
    </w:p>
    <w:p w14:paraId="6B5988A6" w14:textId="77777777" w:rsidR="006500C7" w:rsidRDefault="006500C7" w:rsidP="006500C7">
      <w:pPr>
        <w:ind w:left="6521"/>
        <w:jc w:val="both"/>
        <w:rPr>
          <w:bCs/>
          <w:sz w:val="22"/>
          <w:szCs w:val="22"/>
          <w:lang w:eastAsia="lt-LT"/>
        </w:rPr>
      </w:pPr>
    </w:p>
    <w:p w14:paraId="728CF0FB" w14:textId="77777777" w:rsidR="006500C7" w:rsidRDefault="006500C7" w:rsidP="006500C7">
      <w:pPr>
        <w:ind w:left="6521"/>
        <w:jc w:val="both"/>
        <w:rPr>
          <w:bCs/>
          <w:sz w:val="22"/>
          <w:szCs w:val="22"/>
          <w:lang w:eastAsia="lt-LT"/>
        </w:rPr>
      </w:pPr>
    </w:p>
    <w:tbl>
      <w:tblPr>
        <w:tblW w:w="9474" w:type="dxa"/>
        <w:tblInd w:w="165" w:type="dxa"/>
        <w:tblLook w:val="04A0" w:firstRow="1" w:lastRow="0" w:firstColumn="1" w:lastColumn="0" w:noHBand="0" w:noVBand="1"/>
      </w:tblPr>
      <w:tblGrid>
        <w:gridCol w:w="4479"/>
        <w:gridCol w:w="426"/>
        <w:gridCol w:w="4569"/>
      </w:tblGrid>
      <w:tr w:rsidR="00F91E2F" w:rsidRPr="00F91E2F" w14:paraId="51DF1CCF" w14:textId="77777777">
        <w:trPr>
          <w:trHeight w:val="993"/>
        </w:trPr>
        <w:tc>
          <w:tcPr>
            <w:tcW w:w="4479" w:type="dxa"/>
          </w:tcPr>
          <w:p w14:paraId="2B436EE7" w14:textId="77777777" w:rsidR="00F91E2F" w:rsidRPr="00F91E2F" w:rsidRDefault="00F91E2F" w:rsidP="00F91E2F">
            <w:pPr>
              <w:widowControl w:val="0"/>
              <w:pBdr>
                <w:top w:val="nil"/>
                <w:left w:val="nil"/>
                <w:bottom w:val="nil"/>
                <w:right w:val="nil"/>
                <w:between w:val="nil"/>
              </w:pBdr>
              <w:tabs>
                <w:tab w:val="left" w:pos="1008"/>
              </w:tabs>
              <w:jc w:val="both"/>
              <w:rPr>
                <w:b/>
              </w:rPr>
            </w:pPr>
          </w:p>
          <w:p w14:paraId="550264EA" w14:textId="77777777" w:rsidR="00F91E2F" w:rsidRPr="00F91E2F" w:rsidRDefault="00F91E2F" w:rsidP="00F91E2F">
            <w:pPr>
              <w:widowControl w:val="0"/>
              <w:pBdr>
                <w:top w:val="nil"/>
                <w:left w:val="nil"/>
                <w:bottom w:val="nil"/>
                <w:right w:val="nil"/>
                <w:between w:val="nil"/>
              </w:pBdr>
              <w:tabs>
                <w:tab w:val="left" w:pos="1008"/>
              </w:tabs>
              <w:jc w:val="both"/>
              <w:rPr>
                <w:b/>
              </w:rPr>
            </w:pPr>
            <w:r w:rsidRPr="00F91E2F">
              <w:rPr>
                <w:b/>
              </w:rPr>
              <w:t>PIRKĖJAS</w:t>
            </w:r>
          </w:p>
          <w:p w14:paraId="57E64C68" w14:textId="77777777" w:rsidR="00F91E2F" w:rsidRPr="00F91E2F" w:rsidRDefault="00F91E2F" w:rsidP="00F91E2F">
            <w:pPr>
              <w:widowControl w:val="0"/>
              <w:pBdr>
                <w:top w:val="nil"/>
                <w:left w:val="nil"/>
                <w:bottom w:val="nil"/>
                <w:right w:val="nil"/>
                <w:between w:val="nil"/>
              </w:pBdr>
              <w:tabs>
                <w:tab w:val="left" w:pos="1008"/>
              </w:tabs>
              <w:jc w:val="both"/>
            </w:pPr>
          </w:p>
          <w:p w14:paraId="390E2519" w14:textId="77777777" w:rsidR="00F91E2F" w:rsidRPr="00F91E2F" w:rsidRDefault="00F91E2F" w:rsidP="00F91E2F">
            <w:pPr>
              <w:widowControl w:val="0"/>
              <w:pBdr>
                <w:top w:val="nil"/>
                <w:left w:val="nil"/>
                <w:bottom w:val="nil"/>
                <w:right w:val="nil"/>
                <w:between w:val="nil"/>
              </w:pBdr>
              <w:tabs>
                <w:tab w:val="left" w:pos="1008"/>
              </w:tabs>
              <w:jc w:val="both"/>
              <w:rPr>
                <w:b/>
              </w:rPr>
            </w:pPr>
            <w:r w:rsidRPr="00F91E2F">
              <w:rPr>
                <w:b/>
              </w:rPr>
              <w:t xml:space="preserve">Informatikos ir ryšių departamentas prie Lietuvos Respublikos vidaus reikalų ministerijos </w:t>
            </w:r>
          </w:p>
          <w:p w14:paraId="6EB1F876" w14:textId="77777777" w:rsidR="00F91E2F" w:rsidRPr="00F91E2F" w:rsidRDefault="00F91E2F" w:rsidP="00F91E2F">
            <w:pPr>
              <w:widowControl w:val="0"/>
              <w:pBdr>
                <w:top w:val="nil"/>
                <w:left w:val="nil"/>
                <w:bottom w:val="nil"/>
                <w:right w:val="nil"/>
                <w:between w:val="nil"/>
              </w:pBdr>
              <w:tabs>
                <w:tab w:val="left" w:pos="1008"/>
              </w:tabs>
              <w:jc w:val="both"/>
              <w:rPr>
                <w:bCs/>
              </w:rPr>
            </w:pPr>
          </w:p>
          <w:p w14:paraId="3C95B28A" w14:textId="77777777" w:rsidR="00F91E2F" w:rsidRPr="00F91E2F" w:rsidRDefault="00F91E2F" w:rsidP="00F91E2F">
            <w:pPr>
              <w:widowControl w:val="0"/>
              <w:pBdr>
                <w:top w:val="nil"/>
                <w:left w:val="nil"/>
                <w:bottom w:val="nil"/>
                <w:right w:val="nil"/>
                <w:between w:val="nil"/>
              </w:pBdr>
              <w:tabs>
                <w:tab w:val="left" w:pos="1008"/>
              </w:tabs>
              <w:jc w:val="both"/>
              <w:rPr>
                <w:bCs/>
              </w:rPr>
            </w:pPr>
            <w:r w:rsidRPr="00F91E2F">
              <w:rPr>
                <w:bCs/>
              </w:rPr>
              <w:t>Direktorė</w:t>
            </w:r>
          </w:p>
          <w:p w14:paraId="55EF32B8" w14:textId="77777777" w:rsidR="00F91E2F" w:rsidRPr="00F91E2F" w:rsidRDefault="00F91E2F" w:rsidP="00F91E2F">
            <w:pPr>
              <w:widowControl w:val="0"/>
              <w:pBdr>
                <w:top w:val="nil"/>
                <w:left w:val="nil"/>
                <w:bottom w:val="nil"/>
                <w:right w:val="nil"/>
                <w:between w:val="nil"/>
              </w:pBdr>
              <w:tabs>
                <w:tab w:val="left" w:pos="993"/>
              </w:tabs>
              <w:jc w:val="both"/>
            </w:pPr>
            <w:r w:rsidRPr="00F91E2F">
              <w:rPr>
                <w:bCs/>
              </w:rPr>
              <w:t>Viktorija Rūkštelė</w:t>
            </w:r>
          </w:p>
        </w:tc>
        <w:tc>
          <w:tcPr>
            <w:tcW w:w="426" w:type="dxa"/>
          </w:tcPr>
          <w:p w14:paraId="5479ADD6" w14:textId="77777777" w:rsidR="00F91E2F" w:rsidRPr="00F91E2F" w:rsidRDefault="00F91E2F" w:rsidP="00F91E2F">
            <w:pPr>
              <w:widowControl w:val="0"/>
              <w:pBdr>
                <w:top w:val="nil"/>
                <w:left w:val="nil"/>
                <w:bottom w:val="nil"/>
                <w:right w:val="nil"/>
                <w:between w:val="nil"/>
              </w:pBdr>
              <w:tabs>
                <w:tab w:val="left" w:pos="993"/>
              </w:tabs>
              <w:jc w:val="both"/>
              <w:rPr>
                <w:b/>
                <w:bCs/>
              </w:rPr>
            </w:pPr>
          </w:p>
        </w:tc>
        <w:tc>
          <w:tcPr>
            <w:tcW w:w="4569" w:type="dxa"/>
          </w:tcPr>
          <w:p w14:paraId="5B0EC148" w14:textId="77777777" w:rsidR="00F91E2F" w:rsidRPr="00F91E2F" w:rsidRDefault="00F91E2F" w:rsidP="00F91E2F">
            <w:pPr>
              <w:widowControl w:val="0"/>
              <w:pBdr>
                <w:top w:val="nil"/>
                <w:left w:val="nil"/>
                <w:bottom w:val="nil"/>
                <w:right w:val="nil"/>
                <w:between w:val="nil"/>
              </w:pBdr>
              <w:tabs>
                <w:tab w:val="left" w:pos="993"/>
              </w:tabs>
              <w:jc w:val="both"/>
              <w:rPr>
                <w:b/>
                <w:bCs/>
              </w:rPr>
            </w:pPr>
          </w:p>
          <w:p w14:paraId="6019DF7D" w14:textId="77777777" w:rsidR="00F91E2F" w:rsidRPr="00F91E2F" w:rsidRDefault="00F91E2F" w:rsidP="00F91E2F">
            <w:pPr>
              <w:widowControl w:val="0"/>
              <w:pBdr>
                <w:top w:val="nil"/>
                <w:left w:val="nil"/>
                <w:bottom w:val="nil"/>
                <w:right w:val="nil"/>
                <w:between w:val="nil"/>
              </w:pBdr>
              <w:tabs>
                <w:tab w:val="left" w:pos="993"/>
              </w:tabs>
              <w:jc w:val="both"/>
              <w:rPr>
                <w:b/>
                <w:bCs/>
              </w:rPr>
            </w:pPr>
            <w:r w:rsidRPr="00F91E2F">
              <w:rPr>
                <w:b/>
                <w:bCs/>
              </w:rPr>
              <w:t>TIEKĖJAS</w:t>
            </w:r>
          </w:p>
          <w:p w14:paraId="5B9FB3AC" w14:textId="77777777" w:rsidR="00F91E2F" w:rsidRPr="00F91E2F" w:rsidRDefault="00F91E2F" w:rsidP="00F91E2F">
            <w:pPr>
              <w:widowControl w:val="0"/>
              <w:pBdr>
                <w:top w:val="nil"/>
                <w:left w:val="nil"/>
                <w:bottom w:val="nil"/>
                <w:right w:val="nil"/>
                <w:between w:val="nil"/>
              </w:pBdr>
              <w:tabs>
                <w:tab w:val="left" w:pos="993"/>
              </w:tabs>
              <w:jc w:val="both"/>
              <w:rPr>
                <w:b/>
              </w:rPr>
            </w:pPr>
          </w:p>
          <w:p w14:paraId="18BCB197" w14:textId="77777777" w:rsidR="00F91E2F" w:rsidRPr="00F91E2F" w:rsidRDefault="00F91E2F" w:rsidP="00F91E2F">
            <w:pPr>
              <w:widowControl w:val="0"/>
              <w:pBdr>
                <w:top w:val="nil"/>
                <w:left w:val="nil"/>
                <w:bottom w:val="nil"/>
                <w:right w:val="nil"/>
                <w:between w:val="nil"/>
              </w:pBdr>
              <w:tabs>
                <w:tab w:val="left" w:pos="993"/>
              </w:tabs>
              <w:jc w:val="both"/>
            </w:pPr>
            <w:r w:rsidRPr="00F91E2F">
              <w:rPr>
                <w:b/>
                <w:bCs/>
              </w:rPr>
              <w:t>Blue Bridge MSP, UAB</w:t>
            </w:r>
          </w:p>
          <w:p w14:paraId="19F5BB1C" w14:textId="77777777" w:rsidR="00F91E2F" w:rsidRPr="00F91E2F" w:rsidRDefault="00F91E2F" w:rsidP="00F91E2F">
            <w:pPr>
              <w:widowControl w:val="0"/>
              <w:pBdr>
                <w:top w:val="nil"/>
                <w:left w:val="nil"/>
                <w:bottom w:val="nil"/>
                <w:right w:val="nil"/>
                <w:between w:val="nil"/>
              </w:pBdr>
              <w:tabs>
                <w:tab w:val="left" w:pos="993"/>
              </w:tabs>
              <w:jc w:val="both"/>
            </w:pPr>
          </w:p>
          <w:p w14:paraId="0317DF11" w14:textId="77777777" w:rsidR="00F91E2F" w:rsidRPr="00F91E2F" w:rsidRDefault="00F91E2F" w:rsidP="00F91E2F">
            <w:pPr>
              <w:widowControl w:val="0"/>
              <w:pBdr>
                <w:top w:val="nil"/>
                <w:left w:val="nil"/>
                <w:bottom w:val="nil"/>
                <w:right w:val="nil"/>
                <w:between w:val="nil"/>
              </w:pBdr>
              <w:tabs>
                <w:tab w:val="left" w:pos="993"/>
              </w:tabs>
              <w:jc w:val="both"/>
            </w:pPr>
          </w:p>
          <w:p w14:paraId="45D54400" w14:textId="77777777" w:rsidR="00F91E2F" w:rsidRPr="00F91E2F" w:rsidRDefault="00F91E2F" w:rsidP="00F91E2F">
            <w:pPr>
              <w:widowControl w:val="0"/>
              <w:pBdr>
                <w:top w:val="nil"/>
                <w:left w:val="nil"/>
                <w:bottom w:val="nil"/>
                <w:right w:val="nil"/>
                <w:between w:val="nil"/>
              </w:pBdr>
              <w:tabs>
                <w:tab w:val="left" w:pos="993"/>
              </w:tabs>
              <w:jc w:val="both"/>
            </w:pPr>
          </w:p>
          <w:p w14:paraId="219E9004" w14:textId="77777777" w:rsidR="00F91E2F" w:rsidRPr="00F91E2F" w:rsidRDefault="00F91E2F" w:rsidP="00F91E2F">
            <w:pPr>
              <w:widowControl w:val="0"/>
              <w:pBdr>
                <w:top w:val="nil"/>
                <w:left w:val="nil"/>
                <w:bottom w:val="nil"/>
                <w:right w:val="nil"/>
                <w:between w:val="nil"/>
              </w:pBdr>
              <w:tabs>
                <w:tab w:val="left" w:pos="993"/>
              </w:tabs>
              <w:jc w:val="both"/>
            </w:pPr>
            <w:r w:rsidRPr="00F91E2F">
              <w:t xml:space="preserve">Komercijos direktorius </w:t>
            </w:r>
          </w:p>
          <w:p w14:paraId="5B07B607" w14:textId="77777777" w:rsidR="00F91E2F" w:rsidRPr="00F91E2F" w:rsidRDefault="00F91E2F" w:rsidP="00F91E2F">
            <w:pPr>
              <w:widowControl w:val="0"/>
              <w:pBdr>
                <w:top w:val="nil"/>
                <w:left w:val="nil"/>
                <w:bottom w:val="nil"/>
                <w:right w:val="nil"/>
                <w:between w:val="nil"/>
              </w:pBdr>
              <w:tabs>
                <w:tab w:val="left" w:pos="993"/>
              </w:tabs>
              <w:jc w:val="both"/>
            </w:pPr>
            <w:r w:rsidRPr="00F91E2F">
              <w:t>Gintautas Bazys</w:t>
            </w:r>
          </w:p>
        </w:tc>
      </w:tr>
    </w:tbl>
    <w:p w14:paraId="698986DE" w14:textId="7A1321C8" w:rsidR="00324643" w:rsidRDefault="00324643" w:rsidP="007E7DA6">
      <w:pPr>
        <w:widowControl w:val="0"/>
        <w:pBdr>
          <w:top w:val="nil"/>
          <w:left w:val="nil"/>
          <w:bottom w:val="nil"/>
          <w:right w:val="nil"/>
          <w:between w:val="nil"/>
        </w:pBdr>
        <w:tabs>
          <w:tab w:val="left" w:pos="993"/>
        </w:tabs>
        <w:jc w:val="both"/>
      </w:pPr>
    </w:p>
    <w:sectPr w:rsidR="00324643" w:rsidSect="00BC044F">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8621" w14:textId="77777777" w:rsidR="002B72C1" w:rsidRDefault="002B72C1" w:rsidP="00F91E2F">
      <w:r>
        <w:separator/>
      </w:r>
    </w:p>
  </w:endnote>
  <w:endnote w:type="continuationSeparator" w:id="0">
    <w:p w14:paraId="1BF9BE71" w14:textId="77777777" w:rsidR="002B72C1" w:rsidRDefault="002B72C1" w:rsidP="00F9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452266"/>
      <w:docPartObj>
        <w:docPartGallery w:val="Page Numbers (Bottom of Page)"/>
        <w:docPartUnique/>
      </w:docPartObj>
    </w:sdtPr>
    <w:sdtEndPr/>
    <w:sdtContent>
      <w:p w14:paraId="1D380B10" w14:textId="046D03CC" w:rsidR="00F91E2F" w:rsidRDefault="00F91E2F">
        <w:pPr>
          <w:pStyle w:val="Porat"/>
          <w:jc w:val="center"/>
        </w:pPr>
        <w:r>
          <w:fldChar w:fldCharType="begin"/>
        </w:r>
        <w:r>
          <w:instrText>PAGE   \* MERGEFORMAT</w:instrText>
        </w:r>
        <w:r>
          <w:fldChar w:fldCharType="separate"/>
        </w:r>
        <w:r>
          <w:t>2</w:t>
        </w:r>
        <w:r>
          <w:fldChar w:fldCharType="end"/>
        </w:r>
      </w:p>
    </w:sdtContent>
  </w:sdt>
  <w:p w14:paraId="662D764B" w14:textId="77777777" w:rsidR="00F91E2F" w:rsidRDefault="00F91E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B3CE5" w14:textId="77777777" w:rsidR="002B72C1" w:rsidRDefault="002B72C1" w:rsidP="00F91E2F">
      <w:r>
        <w:separator/>
      </w:r>
    </w:p>
  </w:footnote>
  <w:footnote w:type="continuationSeparator" w:id="0">
    <w:p w14:paraId="49E053C1" w14:textId="77777777" w:rsidR="002B72C1" w:rsidRDefault="002B72C1" w:rsidP="00F91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1"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0CD02DFC"/>
    <w:multiLevelType w:val="hybridMultilevel"/>
    <w:tmpl w:val="E83039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62019"/>
    <w:multiLevelType w:val="multilevel"/>
    <w:tmpl w:val="937ECAF8"/>
    <w:lvl w:ilvl="0">
      <w:start w:val="1"/>
      <w:numFmt w:val="decimal"/>
      <w:lvlText w:val="%1."/>
      <w:lvlJc w:val="left"/>
      <w:pPr>
        <w:ind w:left="1505" w:hanging="360"/>
      </w:pPr>
      <w:rPr>
        <w:rFonts w:hint="default"/>
      </w:rPr>
    </w:lvl>
    <w:lvl w:ilvl="1">
      <w:start w:val="1"/>
      <w:numFmt w:val="decimal"/>
      <w:isLgl/>
      <w:lvlText w:val="%1.%2."/>
      <w:lvlJc w:val="left"/>
      <w:pPr>
        <w:ind w:left="1505"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4" w15:restartNumberingAfterBreak="0">
    <w:nsid w:val="1DB73B0B"/>
    <w:multiLevelType w:val="hybridMultilevel"/>
    <w:tmpl w:val="994431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D35CD9"/>
    <w:multiLevelType w:val="hybridMultilevel"/>
    <w:tmpl w:val="598C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D7006"/>
    <w:multiLevelType w:val="hybridMultilevel"/>
    <w:tmpl w:val="CDC0BA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DCF0913"/>
    <w:multiLevelType w:val="hybridMultilevel"/>
    <w:tmpl w:val="FA262F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EE1F53"/>
    <w:multiLevelType w:val="multilevel"/>
    <w:tmpl w:val="24B8FDE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054B8A"/>
    <w:multiLevelType w:val="hybridMultilevel"/>
    <w:tmpl w:val="73146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63709C"/>
    <w:multiLevelType w:val="hybridMultilevel"/>
    <w:tmpl w:val="D76CD2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A50719"/>
    <w:multiLevelType w:val="hybridMultilevel"/>
    <w:tmpl w:val="5E289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A303E2"/>
    <w:multiLevelType w:val="multilevel"/>
    <w:tmpl w:val="4A9EE81A"/>
    <w:lvl w:ilvl="0">
      <w:start w:val="1"/>
      <w:numFmt w:val="upperRoman"/>
      <w:pStyle w:val="Skyriauspavadinimas"/>
      <w:lvlText w:val="%1."/>
      <w:lvlJc w:val="left"/>
      <w:pPr>
        <w:tabs>
          <w:tab w:val="num" w:pos="510"/>
        </w:tabs>
        <w:ind w:left="0" w:firstLine="0"/>
      </w:pPr>
    </w:lvl>
    <w:lvl w:ilvl="1">
      <w:start w:val="1"/>
      <w:numFmt w:val="lowerLetter"/>
      <w:lvlText w:val="%2."/>
      <w:lvlJc w:val="left"/>
      <w:pPr>
        <w:tabs>
          <w:tab w:val="num" w:pos="2466"/>
        </w:tabs>
        <w:ind w:left="2466" w:hanging="360"/>
      </w:pPr>
    </w:lvl>
    <w:lvl w:ilvl="2">
      <w:start w:val="1"/>
      <w:numFmt w:val="lowerRoman"/>
      <w:lvlText w:val="%3."/>
      <w:lvlJc w:val="right"/>
      <w:pPr>
        <w:tabs>
          <w:tab w:val="num" w:pos="3186"/>
        </w:tabs>
        <w:ind w:left="3186" w:hanging="180"/>
      </w:pPr>
    </w:lvl>
    <w:lvl w:ilvl="3">
      <w:start w:val="1"/>
      <w:numFmt w:val="decimal"/>
      <w:lvlText w:val="%4."/>
      <w:lvlJc w:val="left"/>
      <w:pPr>
        <w:tabs>
          <w:tab w:val="num" w:pos="3906"/>
        </w:tabs>
        <w:ind w:left="3906" w:hanging="360"/>
      </w:pPr>
    </w:lvl>
    <w:lvl w:ilvl="4">
      <w:start w:val="1"/>
      <w:numFmt w:val="lowerLetter"/>
      <w:lvlText w:val="%5."/>
      <w:lvlJc w:val="left"/>
      <w:pPr>
        <w:tabs>
          <w:tab w:val="num" w:pos="4626"/>
        </w:tabs>
        <w:ind w:left="4626" w:hanging="360"/>
      </w:pPr>
    </w:lvl>
    <w:lvl w:ilvl="5">
      <w:start w:val="1"/>
      <w:numFmt w:val="lowerRoman"/>
      <w:lvlText w:val="%6."/>
      <w:lvlJc w:val="right"/>
      <w:pPr>
        <w:tabs>
          <w:tab w:val="num" w:pos="5346"/>
        </w:tabs>
        <w:ind w:left="5346" w:hanging="180"/>
      </w:pPr>
    </w:lvl>
    <w:lvl w:ilvl="6">
      <w:start w:val="1"/>
      <w:numFmt w:val="decimal"/>
      <w:lvlText w:val="%7."/>
      <w:lvlJc w:val="left"/>
      <w:pPr>
        <w:tabs>
          <w:tab w:val="num" w:pos="6066"/>
        </w:tabs>
        <w:ind w:left="6066" w:hanging="360"/>
      </w:pPr>
    </w:lvl>
    <w:lvl w:ilvl="7">
      <w:start w:val="1"/>
      <w:numFmt w:val="lowerLetter"/>
      <w:lvlText w:val="%8."/>
      <w:lvlJc w:val="left"/>
      <w:pPr>
        <w:tabs>
          <w:tab w:val="num" w:pos="6786"/>
        </w:tabs>
        <w:ind w:left="6786" w:hanging="360"/>
      </w:pPr>
    </w:lvl>
    <w:lvl w:ilvl="8">
      <w:start w:val="1"/>
      <w:numFmt w:val="lowerRoman"/>
      <w:lvlText w:val="%9."/>
      <w:lvlJc w:val="right"/>
      <w:pPr>
        <w:tabs>
          <w:tab w:val="num" w:pos="7506"/>
        </w:tabs>
        <w:ind w:left="7506" w:hanging="180"/>
      </w:pPr>
    </w:lvl>
  </w:abstractNum>
  <w:abstractNum w:abstractNumId="14" w15:restartNumberingAfterBreak="0">
    <w:nsid w:val="4F361A22"/>
    <w:multiLevelType w:val="hybridMultilevel"/>
    <w:tmpl w:val="393408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BA3662"/>
    <w:multiLevelType w:val="multilevel"/>
    <w:tmpl w:val="3D704E26"/>
    <w:lvl w:ilvl="0">
      <w:start w:val="1"/>
      <w:numFmt w:val="upperRoman"/>
      <w:lvlText w:val="%1."/>
      <w:lvlJc w:val="left"/>
      <w:pPr>
        <w:tabs>
          <w:tab w:val="num" w:pos="0"/>
        </w:tabs>
        <w:ind w:left="1146" w:hanging="72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6" w15:restartNumberingAfterBreak="0">
    <w:nsid w:val="613C7865"/>
    <w:multiLevelType w:val="hybridMultilevel"/>
    <w:tmpl w:val="FF6696F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68A55C55"/>
    <w:multiLevelType w:val="hybridMultilevel"/>
    <w:tmpl w:val="D592F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515286"/>
    <w:multiLevelType w:val="hybridMultilevel"/>
    <w:tmpl w:val="6804B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772645"/>
    <w:multiLevelType w:val="hybridMultilevel"/>
    <w:tmpl w:val="EF24EE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E4527B"/>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B32D3A"/>
    <w:multiLevelType w:val="multilevel"/>
    <w:tmpl w:val="6FC6767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296D18"/>
    <w:multiLevelType w:val="hybridMultilevel"/>
    <w:tmpl w:val="5128C2D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19318421">
    <w:abstractNumId w:val="13"/>
  </w:num>
  <w:num w:numId="2" w16cid:durableId="1636718672">
    <w:abstractNumId w:val="15"/>
  </w:num>
  <w:num w:numId="3" w16cid:durableId="744761109">
    <w:abstractNumId w:val="21"/>
  </w:num>
  <w:num w:numId="4" w16cid:durableId="199363845">
    <w:abstractNumId w:val="18"/>
  </w:num>
  <w:num w:numId="5" w16cid:durableId="896087791">
    <w:abstractNumId w:val="12"/>
  </w:num>
  <w:num w:numId="6" w16cid:durableId="1631787512">
    <w:abstractNumId w:val="0"/>
  </w:num>
  <w:num w:numId="7" w16cid:durableId="25914783">
    <w:abstractNumId w:val="17"/>
  </w:num>
  <w:num w:numId="8" w16cid:durableId="1067342822">
    <w:abstractNumId w:val="10"/>
  </w:num>
  <w:num w:numId="9" w16cid:durableId="398021786">
    <w:abstractNumId w:val="11"/>
  </w:num>
  <w:num w:numId="10" w16cid:durableId="1540239566">
    <w:abstractNumId w:val="4"/>
  </w:num>
  <w:num w:numId="11" w16cid:durableId="531070508">
    <w:abstractNumId w:val="6"/>
  </w:num>
  <w:num w:numId="12" w16cid:durableId="256670923">
    <w:abstractNumId w:val="22"/>
  </w:num>
  <w:num w:numId="13" w16cid:durableId="1493184710">
    <w:abstractNumId w:val="16"/>
  </w:num>
  <w:num w:numId="14" w16cid:durableId="1193416388">
    <w:abstractNumId w:val="5"/>
  </w:num>
  <w:num w:numId="15" w16cid:durableId="1906797572">
    <w:abstractNumId w:val="3"/>
  </w:num>
  <w:num w:numId="16" w16cid:durableId="880826906">
    <w:abstractNumId w:val="1"/>
  </w:num>
  <w:num w:numId="17" w16cid:durableId="1552300136">
    <w:abstractNumId w:val="20"/>
  </w:num>
  <w:num w:numId="18" w16cid:durableId="1452630376">
    <w:abstractNumId w:val="7"/>
  </w:num>
  <w:num w:numId="19" w16cid:durableId="2127652646">
    <w:abstractNumId w:val="9"/>
  </w:num>
  <w:num w:numId="20" w16cid:durableId="1152133882">
    <w:abstractNumId w:val="2"/>
  </w:num>
  <w:num w:numId="21" w16cid:durableId="166865395">
    <w:abstractNumId w:val="19"/>
  </w:num>
  <w:num w:numId="22" w16cid:durableId="796072441">
    <w:abstractNumId w:val="14"/>
  </w:num>
  <w:num w:numId="23" w16cid:durableId="5564329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4F"/>
    <w:rsid w:val="00020469"/>
    <w:rsid w:val="00031C75"/>
    <w:rsid w:val="00035D12"/>
    <w:rsid w:val="000601B5"/>
    <w:rsid w:val="000733F3"/>
    <w:rsid w:val="00093EDD"/>
    <w:rsid w:val="000B0AEA"/>
    <w:rsid w:val="000B0BC5"/>
    <w:rsid w:val="000B75AE"/>
    <w:rsid w:val="00113B57"/>
    <w:rsid w:val="001321F8"/>
    <w:rsid w:val="0014167E"/>
    <w:rsid w:val="00160536"/>
    <w:rsid w:val="001631DB"/>
    <w:rsid w:val="001A36B4"/>
    <w:rsid w:val="001A6CCA"/>
    <w:rsid w:val="001E7D8E"/>
    <w:rsid w:val="00203060"/>
    <w:rsid w:val="00210012"/>
    <w:rsid w:val="00212AA7"/>
    <w:rsid w:val="002425CB"/>
    <w:rsid w:val="002438BB"/>
    <w:rsid w:val="0024507A"/>
    <w:rsid w:val="00251F98"/>
    <w:rsid w:val="002575B8"/>
    <w:rsid w:val="00280D39"/>
    <w:rsid w:val="00290EDD"/>
    <w:rsid w:val="00291CF6"/>
    <w:rsid w:val="0029298C"/>
    <w:rsid w:val="002A6781"/>
    <w:rsid w:val="002B72C1"/>
    <w:rsid w:val="002E74A9"/>
    <w:rsid w:val="002F47D6"/>
    <w:rsid w:val="00324643"/>
    <w:rsid w:val="00360C6C"/>
    <w:rsid w:val="0036438E"/>
    <w:rsid w:val="00397CC5"/>
    <w:rsid w:val="003A4C85"/>
    <w:rsid w:val="003C573A"/>
    <w:rsid w:val="003C6DC7"/>
    <w:rsid w:val="0043029C"/>
    <w:rsid w:val="004342AE"/>
    <w:rsid w:val="004466F8"/>
    <w:rsid w:val="00471C3C"/>
    <w:rsid w:val="004821A1"/>
    <w:rsid w:val="00483503"/>
    <w:rsid w:val="00487AE2"/>
    <w:rsid w:val="0049077A"/>
    <w:rsid w:val="004945C8"/>
    <w:rsid w:val="004D7479"/>
    <w:rsid w:val="004E7326"/>
    <w:rsid w:val="004F396D"/>
    <w:rsid w:val="00551094"/>
    <w:rsid w:val="005754D4"/>
    <w:rsid w:val="0059506A"/>
    <w:rsid w:val="005B13A5"/>
    <w:rsid w:val="005E0619"/>
    <w:rsid w:val="005E42BE"/>
    <w:rsid w:val="005E5346"/>
    <w:rsid w:val="006500C7"/>
    <w:rsid w:val="00652D90"/>
    <w:rsid w:val="0066693F"/>
    <w:rsid w:val="006B2EF7"/>
    <w:rsid w:val="006B5873"/>
    <w:rsid w:val="006C4DE9"/>
    <w:rsid w:val="006C57D4"/>
    <w:rsid w:val="006D726A"/>
    <w:rsid w:val="006E5272"/>
    <w:rsid w:val="006F0D6B"/>
    <w:rsid w:val="006F1DF4"/>
    <w:rsid w:val="007273B4"/>
    <w:rsid w:val="00763774"/>
    <w:rsid w:val="00793377"/>
    <w:rsid w:val="00796767"/>
    <w:rsid w:val="007B4112"/>
    <w:rsid w:val="007D1BE7"/>
    <w:rsid w:val="007D2F79"/>
    <w:rsid w:val="007E7DA6"/>
    <w:rsid w:val="0080455E"/>
    <w:rsid w:val="0082371C"/>
    <w:rsid w:val="008504C6"/>
    <w:rsid w:val="0086368E"/>
    <w:rsid w:val="0087766F"/>
    <w:rsid w:val="008A3426"/>
    <w:rsid w:val="008B3EBE"/>
    <w:rsid w:val="0090566A"/>
    <w:rsid w:val="00912548"/>
    <w:rsid w:val="00937C57"/>
    <w:rsid w:val="00944448"/>
    <w:rsid w:val="00957026"/>
    <w:rsid w:val="009739A7"/>
    <w:rsid w:val="009A08FB"/>
    <w:rsid w:val="009A0EB9"/>
    <w:rsid w:val="009A342A"/>
    <w:rsid w:val="009A7379"/>
    <w:rsid w:val="009B0536"/>
    <w:rsid w:val="009B12A3"/>
    <w:rsid w:val="009D18E0"/>
    <w:rsid w:val="009E32C7"/>
    <w:rsid w:val="009F512A"/>
    <w:rsid w:val="00A30760"/>
    <w:rsid w:val="00A405AD"/>
    <w:rsid w:val="00A441BC"/>
    <w:rsid w:val="00A4568B"/>
    <w:rsid w:val="00AB09D2"/>
    <w:rsid w:val="00B24931"/>
    <w:rsid w:val="00B25DA9"/>
    <w:rsid w:val="00B33EB2"/>
    <w:rsid w:val="00B3718F"/>
    <w:rsid w:val="00B76943"/>
    <w:rsid w:val="00BB24EA"/>
    <w:rsid w:val="00BC044F"/>
    <w:rsid w:val="00BD212B"/>
    <w:rsid w:val="00BD3C46"/>
    <w:rsid w:val="00BD4B47"/>
    <w:rsid w:val="00BE3E39"/>
    <w:rsid w:val="00BF4E7C"/>
    <w:rsid w:val="00C05BFF"/>
    <w:rsid w:val="00C30F63"/>
    <w:rsid w:val="00C37D63"/>
    <w:rsid w:val="00C61F30"/>
    <w:rsid w:val="00CD693F"/>
    <w:rsid w:val="00D57305"/>
    <w:rsid w:val="00D641AF"/>
    <w:rsid w:val="00DD09EA"/>
    <w:rsid w:val="00DD2528"/>
    <w:rsid w:val="00DD4170"/>
    <w:rsid w:val="00DD5F9E"/>
    <w:rsid w:val="00E02888"/>
    <w:rsid w:val="00E079DE"/>
    <w:rsid w:val="00E34B23"/>
    <w:rsid w:val="00E72215"/>
    <w:rsid w:val="00E87BA2"/>
    <w:rsid w:val="00EA098B"/>
    <w:rsid w:val="00EA6A01"/>
    <w:rsid w:val="00EB6A6A"/>
    <w:rsid w:val="00EE0242"/>
    <w:rsid w:val="00F11C83"/>
    <w:rsid w:val="00F36F9A"/>
    <w:rsid w:val="00F50944"/>
    <w:rsid w:val="00F77FF9"/>
    <w:rsid w:val="00F91E2F"/>
    <w:rsid w:val="00F955B7"/>
    <w:rsid w:val="00FC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1E05"/>
  <w15:chartTrackingRefBased/>
  <w15:docId w15:val="{23D7BE23-F139-454B-97F8-BCB068F4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044F"/>
    <w:pPr>
      <w:suppressAutoHyphens/>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BC0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C0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C044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C044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C044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C044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044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044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044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044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C044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C044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C044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C044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C044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044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044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044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044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044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044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044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044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044F"/>
    <w:rPr>
      <w:i/>
      <w:iCs/>
      <w:color w:val="404040" w:themeColor="text1" w:themeTint="BF"/>
    </w:rPr>
  </w:style>
  <w:style w:type="paragraph" w:styleId="Sraopastraipa">
    <w:name w:val="List Paragraph"/>
    <w:aliases w:val="Bullet 1,Use Case List Paragraph,Sąrašo pastraipa1,List Paragraph3,Lentele,List Paragraph22,List Paragraph221,Buletai,List Paragraph111,Medium Grid 1 - Accent 21,Sąrašo pastraipa.Bullet,punktai"/>
    <w:basedOn w:val="prastasis"/>
    <w:link w:val="SraopastraipaDiagrama"/>
    <w:uiPriority w:val="34"/>
    <w:qFormat/>
    <w:rsid w:val="00BC044F"/>
    <w:pPr>
      <w:ind w:left="720"/>
      <w:contextualSpacing/>
    </w:pPr>
  </w:style>
  <w:style w:type="character" w:styleId="Rykuspabraukimas">
    <w:name w:val="Intense Emphasis"/>
    <w:basedOn w:val="Numatytasispastraiposriftas"/>
    <w:uiPriority w:val="21"/>
    <w:qFormat/>
    <w:rsid w:val="00BC044F"/>
    <w:rPr>
      <w:i/>
      <w:iCs/>
      <w:color w:val="2F5496" w:themeColor="accent1" w:themeShade="BF"/>
    </w:rPr>
  </w:style>
  <w:style w:type="paragraph" w:styleId="Iskirtacitata">
    <w:name w:val="Intense Quote"/>
    <w:basedOn w:val="prastasis"/>
    <w:next w:val="prastasis"/>
    <w:link w:val="IskirtacitataDiagrama"/>
    <w:uiPriority w:val="30"/>
    <w:qFormat/>
    <w:rsid w:val="00BC0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C044F"/>
    <w:rPr>
      <w:i/>
      <w:iCs/>
      <w:color w:val="2F5496" w:themeColor="accent1" w:themeShade="BF"/>
    </w:rPr>
  </w:style>
  <w:style w:type="character" w:styleId="Rykinuoroda">
    <w:name w:val="Intense Reference"/>
    <w:basedOn w:val="Numatytasispastraiposriftas"/>
    <w:uiPriority w:val="32"/>
    <w:qFormat/>
    <w:rsid w:val="00BC044F"/>
    <w:rPr>
      <w:b/>
      <w:bCs/>
      <w:smallCaps/>
      <w:color w:val="2F5496" w:themeColor="accent1" w:themeShade="BF"/>
      <w:spacing w:val="5"/>
    </w:rPr>
  </w:style>
  <w:style w:type="character" w:customStyle="1" w:styleId="SraopastraipaDiagrama">
    <w:name w:val="Sąrašo pastraipa Diagrama"/>
    <w:aliases w:val="Bullet 1 Diagrama,Use Case List Paragraph Diagrama,Sąrašo pastraipa1 Diagrama,List Paragraph3 Diagrama,Lentele Diagrama,List Paragraph22 Diagrama,List Paragraph221 Diagrama,Buletai Diagrama,List Paragraph111 Diagrama"/>
    <w:link w:val="Sraopastraipa"/>
    <w:uiPriority w:val="34"/>
    <w:qFormat/>
    <w:locked/>
    <w:rsid w:val="00BC044F"/>
  </w:style>
  <w:style w:type="character" w:customStyle="1" w:styleId="PagrindinistekstasDiagrama">
    <w:name w:val="Pagrindinis tekstas Diagrama"/>
    <w:basedOn w:val="Numatytasispastraiposriftas"/>
    <w:link w:val="Pagrindinistekstas"/>
    <w:qFormat/>
    <w:rsid w:val="00BC044F"/>
    <w:rPr>
      <w:rFonts w:ascii="Times New Roman" w:eastAsia="Times New Roman" w:hAnsi="Times New Roman" w:cs="Times New Roman"/>
    </w:rPr>
  </w:style>
  <w:style w:type="paragraph" w:styleId="Pagrindinistekstas">
    <w:name w:val="Body Text"/>
    <w:basedOn w:val="prastasis"/>
    <w:link w:val="PagrindinistekstasDiagrama"/>
    <w:rsid w:val="00BC044F"/>
    <w:pPr>
      <w:spacing w:line="360" w:lineRule="auto"/>
      <w:jc w:val="both"/>
    </w:pPr>
    <w:rPr>
      <w:kern w:val="2"/>
      <w:sz w:val="22"/>
      <w:szCs w:val="22"/>
      <w:lang w:val="en-GB"/>
      <w14:ligatures w14:val="standardContextual"/>
    </w:rPr>
  </w:style>
  <w:style w:type="character" w:customStyle="1" w:styleId="BodyTextChar1">
    <w:name w:val="Body Text Char1"/>
    <w:basedOn w:val="Numatytasispastraiposriftas"/>
    <w:uiPriority w:val="99"/>
    <w:semiHidden/>
    <w:rsid w:val="00BC044F"/>
    <w:rPr>
      <w:rFonts w:ascii="Times New Roman" w:eastAsia="Times New Roman" w:hAnsi="Times New Roman" w:cs="Times New Roman"/>
      <w:kern w:val="0"/>
      <w:sz w:val="24"/>
      <w:szCs w:val="20"/>
      <w:lang w:val="lt-LT"/>
      <w14:ligatures w14:val="none"/>
    </w:rPr>
  </w:style>
  <w:style w:type="character" w:customStyle="1" w:styleId="PagrindinistekstasDiagrama1">
    <w:name w:val="Pagrindinis tekstas Diagrama1"/>
    <w:basedOn w:val="Numatytasispastraiposriftas"/>
    <w:uiPriority w:val="99"/>
    <w:semiHidden/>
    <w:rsid w:val="00BC044F"/>
    <w:rPr>
      <w:rFonts w:ascii="Times New Roman" w:eastAsia="Times New Roman" w:hAnsi="Times New Roman" w:cs="Times New Roman"/>
      <w:kern w:val="0"/>
      <w:szCs w:val="20"/>
      <w14:ligatures w14:val="none"/>
    </w:rPr>
  </w:style>
  <w:style w:type="paragraph" w:customStyle="1" w:styleId="Skyriauspavadinimas">
    <w:name w:val="Skyriaus pavadinimas"/>
    <w:basedOn w:val="prastasis"/>
    <w:qFormat/>
    <w:rsid w:val="00BC044F"/>
    <w:pPr>
      <w:numPr>
        <w:numId w:val="1"/>
      </w:numPr>
      <w:jc w:val="center"/>
    </w:pPr>
    <w:rPr>
      <w:rFonts w:ascii="Times New Roman Bold" w:hAnsi="Times New Roman Bold"/>
      <w:b/>
      <w:caps/>
      <w:szCs w:val="24"/>
      <w:lang w:val="en-GB"/>
    </w:rPr>
  </w:style>
  <w:style w:type="table" w:styleId="Lentelstinklelis">
    <w:name w:val="Table Grid"/>
    <w:basedOn w:val="prastojilentel"/>
    <w:uiPriority w:val="39"/>
    <w:rsid w:val="00BC044F"/>
    <w:pPr>
      <w:suppressAutoHyphens/>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basedOn w:val="Numatytasispastraiposriftas"/>
    <w:link w:val="ListParagraph1"/>
    <w:uiPriority w:val="99"/>
    <w:qFormat/>
    <w:locked/>
    <w:rsid w:val="00BC044F"/>
  </w:style>
  <w:style w:type="paragraph" w:customStyle="1" w:styleId="ListParagraph1">
    <w:name w:val="List Paragraph1"/>
    <w:aliases w:val="ERP-List Paragraph,List Paragraph11,Numbering,List Paragraph Red,Bullet EY,List Paragraph2,Bullet,TIIS - Bullet Style (Level 1),VKTI - text numbering,Normal bullet 2,Paragraph,List L1,List not in Table,List Paragraph21,lp1"/>
    <w:basedOn w:val="prastasis"/>
    <w:link w:val="ListParagraphChar"/>
    <w:uiPriority w:val="34"/>
    <w:rsid w:val="00BC044F"/>
    <w:pPr>
      <w:suppressAutoHyphens w:val="0"/>
      <w:ind w:left="720"/>
    </w:pPr>
    <w:rPr>
      <w:rFonts w:asciiTheme="minorHAnsi" w:eastAsiaTheme="minorHAnsi" w:hAnsiTheme="minorHAnsi" w:cstheme="minorBidi"/>
      <w:kern w:val="2"/>
      <w:sz w:val="22"/>
      <w:szCs w:val="22"/>
      <w:lang w:val="en-GB"/>
      <w14:ligatures w14:val="standardContextual"/>
    </w:rPr>
  </w:style>
  <w:style w:type="paragraph" w:styleId="Betarp">
    <w:name w:val="No Spacing"/>
    <w:link w:val="BetarpDiagrama"/>
    <w:uiPriority w:val="1"/>
    <w:qFormat/>
    <w:rsid w:val="00BC044F"/>
    <w:pPr>
      <w:spacing w:after="0" w:line="240" w:lineRule="auto"/>
      <w:jc w:val="both"/>
    </w:pPr>
    <w:rPr>
      <w:rFonts w:eastAsiaTheme="minorEastAsia"/>
      <w:kern w:val="0"/>
      <w:lang w:val="en-US"/>
      <w14:ligatures w14:val="none"/>
    </w:rPr>
  </w:style>
  <w:style w:type="character" w:styleId="Komentaronuoroda">
    <w:name w:val="annotation reference"/>
    <w:basedOn w:val="Numatytasispastraiposriftas"/>
    <w:unhideWhenUsed/>
    <w:rsid w:val="00BC044F"/>
    <w:rPr>
      <w:sz w:val="16"/>
    </w:rPr>
  </w:style>
  <w:style w:type="paragraph" w:styleId="Komentarotekstas">
    <w:name w:val="annotation text"/>
    <w:basedOn w:val="prastasis"/>
    <w:link w:val="KomentarotekstasDiagrama"/>
    <w:unhideWhenUsed/>
    <w:rsid w:val="00BC044F"/>
    <w:pPr>
      <w:suppressAutoHyphens w:val="0"/>
      <w:spacing w:after="160"/>
      <w:jc w:val="both"/>
    </w:pPr>
    <w:rPr>
      <w:rFonts w:asciiTheme="minorHAnsi" w:eastAsiaTheme="minorEastAsia" w:hAnsiTheme="minorHAnsi" w:cstheme="minorBidi"/>
      <w:sz w:val="22"/>
      <w:szCs w:val="22"/>
      <w:lang w:val="en-US"/>
    </w:rPr>
  </w:style>
  <w:style w:type="character" w:customStyle="1" w:styleId="KomentarotekstasDiagrama">
    <w:name w:val="Komentaro tekstas Diagrama"/>
    <w:basedOn w:val="Numatytasispastraiposriftas"/>
    <w:link w:val="Komentarotekstas"/>
    <w:rsid w:val="00BC044F"/>
    <w:rPr>
      <w:rFonts w:eastAsiaTheme="minorEastAsia"/>
      <w:kern w:val="0"/>
      <w:lang w:val="en-US"/>
      <w14:ligatures w14:val="none"/>
    </w:rPr>
  </w:style>
  <w:style w:type="character" w:customStyle="1" w:styleId="BetarpDiagrama">
    <w:name w:val="Be tarpų Diagrama"/>
    <w:basedOn w:val="Numatytasispastraiposriftas"/>
    <w:link w:val="Betarp"/>
    <w:uiPriority w:val="1"/>
    <w:rsid w:val="00BC044F"/>
    <w:rPr>
      <w:rFonts w:eastAsiaTheme="minorEastAsia"/>
      <w:kern w:val="0"/>
      <w:lang w:val="en-US"/>
      <w14:ligatures w14:val="none"/>
    </w:rPr>
  </w:style>
  <w:style w:type="paragraph" w:styleId="Komentarotema">
    <w:name w:val="annotation subject"/>
    <w:basedOn w:val="Komentarotekstas"/>
    <w:next w:val="Komentarotekstas"/>
    <w:link w:val="KomentarotemaDiagrama"/>
    <w:uiPriority w:val="99"/>
    <w:semiHidden/>
    <w:unhideWhenUsed/>
    <w:rsid w:val="00BC044F"/>
    <w:pPr>
      <w:suppressAutoHyphens/>
      <w:spacing w:after="0"/>
      <w:jc w:val="left"/>
    </w:pPr>
    <w:rPr>
      <w:rFonts w:ascii="Times New Roman" w:eastAsia="Times New Roman" w:hAnsi="Times New Roman" w:cs="Times New Roman"/>
      <w:b/>
      <w:bCs/>
      <w:sz w:val="20"/>
      <w:szCs w:val="20"/>
      <w:lang w:val="lt-LT"/>
    </w:rPr>
  </w:style>
  <w:style w:type="character" w:customStyle="1" w:styleId="KomentarotemaDiagrama">
    <w:name w:val="Komentaro tema Diagrama"/>
    <w:basedOn w:val="KomentarotekstasDiagrama"/>
    <w:link w:val="Komentarotema"/>
    <w:uiPriority w:val="99"/>
    <w:semiHidden/>
    <w:rsid w:val="00BC044F"/>
    <w:rPr>
      <w:rFonts w:ascii="Times New Roman" w:eastAsia="Times New Roman" w:hAnsi="Times New Roman" w:cs="Times New Roman"/>
      <w:b/>
      <w:bCs/>
      <w:kern w:val="0"/>
      <w:sz w:val="20"/>
      <w:szCs w:val="20"/>
      <w:lang w:val="lt-LT"/>
      <w14:ligatures w14:val="none"/>
    </w:rPr>
  </w:style>
  <w:style w:type="paragraph" w:styleId="Sraassuenkleliais">
    <w:name w:val="List Bullet"/>
    <w:basedOn w:val="prastasis"/>
    <w:uiPriority w:val="1"/>
    <w:unhideWhenUsed/>
    <w:rsid w:val="00BC044F"/>
    <w:pPr>
      <w:numPr>
        <w:numId w:val="6"/>
      </w:numPr>
      <w:suppressAutoHyphens w:val="0"/>
      <w:spacing w:after="40" w:line="252" w:lineRule="auto"/>
      <w:jc w:val="both"/>
    </w:pPr>
    <w:rPr>
      <w:rFonts w:asciiTheme="minorHAnsi" w:eastAsiaTheme="minorEastAsia" w:hAnsiTheme="minorHAnsi" w:cstheme="minorBidi"/>
      <w:sz w:val="22"/>
      <w:szCs w:val="22"/>
      <w:lang w:val="en-US"/>
    </w:rPr>
  </w:style>
  <w:style w:type="paragraph" w:styleId="Pataisymai">
    <w:name w:val="Revision"/>
    <w:hidden/>
    <w:uiPriority w:val="99"/>
    <w:semiHidden/>
    <w:rsid w:val="00BC044F"/>
    <w:pPr>
      <w:spacing w:after="0" w:line="240" w:lineRule="auto"/>
    </w:pPr>
    <w:rPr>
      <w:rFonts w:ascii="Times New Roman" w:eastAsia="Times New Roman" w:hAnsi="Times New Roman" w:cs="Times New Roman"/>
      <w:kern w:val="0"/>
      <w:sz w:val="24"/>
      <w:szCs w:val="20"/>
      <w:lang w:val="lt-LT"/>
      <w14:ligatures w14:val="none"/>
    </w:rPr>
  </w:style>
  <w:style w:type="table" w:customStyle="1" w:styleId="Lentelstinklelis1">
    <w:name w:val="Lentelės tinklelis1"/>
    <w:basedOn w:val="prastojilentel"/>
    <w:uiPriority w:val="99"/>
    <w:rsid w:val="00BC044F"/>
    <w:pPr>
      <w:suppressAutoHyphens/>
      <w:spacing w:after="0" w:line="240" w:lineRule="auto"/>
    </w:pPr>
    <w:rPr>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C04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044F"/>
    <w:rPr>
      <w:rFonts w:ascii="Segoe UI" w:eastAsia="Times New Roman" w:hAnsi="Segoe UI" w:cs="Segoe UI"/>
      <w:kern w:val="0"/>
      <w:sz w:val="18"/>
      <w:szCs w:val="18"/>
      <w:lang w:val="lt-LT"/>
      <w14:ligatures w14:val="none"/>
    </w:rPr>
  </w:style>
  <w:style w:type="character" w:styleId="Vietosrezervavimoenklotekstas">
    <w:name w:val="Placeholder Text"/>
    <w:rsid w:val="004D7479"/>
    <w:rPr>
      <w:color w:val="808080"/>
    </w:rPr>
  </w:style>
  <w:style w:type="paragraph" w:styleId="Antrats">
    <w:name w:val="header"/>
    <w:basedOn w:val="prastasis"/>
    <w:link w:val="AntratsDiagrama"/>
    <w:rsid w:val="004D7479"/>
    <w:pPr>
      <w:tabs>
        <w:tab w:val="center" w:pos="4819"/>
        <w:tab w:val="right" w:pos="9638"/>
      </w:tabs>
      <w:suppressAutoHyphens w:val="0"/>
      <w:ind w:firstLine="720"/>
    </w:pPr>
    <w:rPr>
      <w:rFonts w:ascii="Arial" w:hAnsi="Arial" w:cs="Arial"/>
      <w:sz w:val="20"/>
      <w:lang w:eastAsia="lt-LT"/>
    </w:rPr>
  </w:style>
  <w:style w:type="character" w:customStyle="1" w:styleId="AntratsDiagrama">
    <w:name w:val="Antraštės Diagrama"/>
    <w:basedOn w:val="Numatytasispastraiposriftas"/>
    <w:link w:val="Antrats"/>
    <w:rsid w:val="004D7479"/>
    <w:rPr>
      <w:rFonts w:ascii="Arial" w:eastAsia="Times New Roman" w:hAnsi="Arial" w:cs="Arial"/>
      <w:kern w:val="0"/>
      <w:sz w:val="20"/>
      <w:szCs w:val="20"/>
      <w:lang w:val="lt-LT" w:eastAsia="lt-LT"/>
      <w14:ligatures w14:val="none"/>
    </w:rPr>
  </w:style>
  <w:style w:type="paragraph" w:styleId="Porat">
    <w:name w:val="footer"/>
    <w:basedOn w:val="prastasis"/>
    <w:link w:val="PoratDiagrama"/>
    <w:uiPriority w:val="99"/>
    <w:rsid w:val="004D7479"/>
    <w:pPr>
      <w:tabs>
        <w:tab w:val="center" w:pos="4819"/>
        <w:tab w:val="right" w:pos="9638"/>
      </w:tabs>
      <w:suppressAutoHyphens w:val="0"/>
      <w:ind w:firstLine="720"/>
    </w:pPr>
    <w:rPr>
      <w:rFonts w:ascii="Arial" w:hAnsi="Arial" w:cs="Arial"/>
      <w:sz w:val="20"/>
      <w:lang w:eastAsia="lt-LT"/>
    </w:rPr>
  </w:style>
  <w:style w:type="character" w:customStyle="1" w:styleId="PoratDiagrama">
    <w:name w:val="Poraštė Diagrama"/>
    <w:basedOn w:val="Numatytasispastraiposriftas"/>
    <w:link w:val="Porat"/>
    <w:uiPriority w:val="99"/>
    <w:rsid w:val="004D7479"/>
    <w:rPr>
      <w:rFonts w:ascii="Arial" w:eastAsia="Times New Roman" w:hAnsi="Arial" w:cs="Arial"/>
      <w:kern w:val="0"/>
      <w:sz w:val="20"/>
      <w:szCs w:val="20"/>
      <w:lang w:val="lt-LT" w:eastAsia="lt-LT"/>
      <w14:ligatures w14:val="none"/>
    </w:rPr>
  </w:style>
  <w:style w:type="character" w:styleId="Puslapionumeris">
    <w:name w:val="page number"/>
    <w:basedOn w:val="Numatytasispastraiposriftas"/>
    <w:rsid w:val="004D7479"/>
  </w:style>
  <w:style w:type="numbering" w:customStyle="1" w:styleId="NoList1">
    <w:name w:val="No List1"/>
    <w:next w:val="Sraonra"/>
    <w:rsid w:val="004D7479"/>
  </w:style>
  <w:style w:type="paragraph" w:customStyle="1" w:styleId="msonormal0">
    <w:name w:val="msonormal"/>
    <w:basedOn w:val="prastasis"/>
    <w:rsid w:val="004D7479"/>
    <w:pPr>
      <w:suppressAutoHyphens w:val="0"/>
      <w:spacing w:before="100" w:beforeAutospacing="1" w:after="100" w:afterAutospacing="1"/>
    </w:pPr>
    <w:rPr>
      <w:szCs w:val="24"/>
      <w:lang w:eastAsia="lt-LT"/>
    </w:rPr>
  </w:style>
  <w:style w:type="paragraph" w:customStyle="1" w:styleId="pf0">
    <w:name w:val="pf0"/>
    <w:basedOn w:val="prastasis"/>
    <w:rsid w:val="00944448"/>
    <w:pPr>
      <w:suppressAutoHyphens w:val="0"/>
      <w:spacing w:before="100" w:beforeAutospacing="1" w:after="100" w:afterAutospacing="1"/>
    </w:pPr>
    <w:rPr>
      <w:szCs w:val="24"/>
      <w:lang w:val="en-US"/>
    </w:rPr>
  </w:style>
  <w:style w:type="character" w:customStyle="1" w:styleId="cf01">
    <w:name w:val="cf01"/>
    <w:basedOn w:val="Numatytasispastraiposriftas"/>
    <w:rsid w:val="00944448"/>
    <w:rPr>
      <w:rFonts w:ascii="Segoe UI" w:hAnsi="Segoe UI" w:cs="Segoe UI" w:hint="default"/>
      <w:sz w:val="18"/>
      <w:szCs w:val="18"/>
    </w:rPr>
  </w:style>
  <w:style w:type="paragraph" w:customStyle="1" w:styleId="tin">
    <w:name w:val="tin"/>
    <w:basedOn w:val="prastasis"/>
    <w:rsid w:val="002438BB"/>
    <w:pPr>
      <w:suppressAutoHyphens w:val="0"/>
      <w:spacing w:before="100" w:beforeAutospacing="1" w:after="100" w:afterAutospacing="1"/>
    </w:pPr>
    <w:rPr>
      <w:szCs w:val="24"/>
      <w:lang w:val="en-US"/>
    </w:rPr>
  </w:style>
  <w:style w:type="paragraph" w:customStyle="1" w:styleId="tajtin">
    <w:name w:val="tajtin"/>
    <w:basedOn w:val="prastasis"/>
    <w:rsid w:val="002438BB"/>
    <w:pPr>
      <w:suppressAutoHyphens w:val="0"/>
      <w:spacing w:before="100" w:beforeAutospacing="1" w:after="100" w:afterAutospacing="1"/>
    </w:pPr>
    <w:rPr>
      <w:szCs w:val="24"/>
      <w:lang w:val="en-US"/>
    </w:rPr>
  </w:style>
  <w:style w:type="character" w:customStyle="1" w:styleId="basictext">
    <w:name w:val="basic text"/>
    <w:basedOn w:val="Numatytasispastraiposriftas"/>
    <w:uiPriority w:val="1"/>
    <w:qFormat/>
    <w:rsid w:val="0014167E"/>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4756">
      <w:bodyDiv w:val="1"/>
      <w:marLeft w:val="0"/>
      <w:marRight w:val="0"/>
      <w:marTop w:val="0"/>
      <w:marBottom w:val="0"/>
      <w:divBdr>
        <w:top w:val="none" w:sz="0" w:space="0" w:color="auto"/>
        <w:left w:val="none" w:sz="0" w:space="0" w:color="auto"/>
        <w:bottom w:val="none" w:sz="0" w:space="0" w:color="auto"/>
        <w:right w:val="none" w:sz="0" w:space="0" w:color="auto"/>
      </w:divBdr>
    </w:div>
    <w:div w:id="198082045">
      <w:bodyDiv w:val="1"/>
      <w:marLeft w:val="0"/>
      <w:marRight w:val="0"/>
      <w:marTop w:val="0"/>
      <w:marBottom w:val="0"/>
      <w:divBdr>
        <w:top w:val="none" w:sz="0" w:space="0" w:color="auto"/>
        <w:left w:val="none" w:sz="0" w:space="0" w:color="auto"/>
        <w:bottom w:val="none" w:sz="0" w:space="0" w:color="auto"/>
        <w:right w:val="none" w:sz="0" w:space="0" w:color="auto"/>
      </w:divBdr>
    </w:div>
    <w:div w:id="556166023">
      <w:bodyDiv w:val="1"/>
      <w:marLeft w:val="0"/>
      <w:marRight w:val="0"/>
      <w:marTop w:val="0"/>
      <w:marBottom w:val="0"/>
      <w:divBdr>
        <w:top w:val="none" w:sz="0" w:space="0" w:color="auto"/>
        <w:left w:val="none" w:sz="0" w:space="0" w:color="auto"/>
        <w:bottom w:val="none" w:sz="0" w:space="0" w:color="auto"/>
        <w:right w:val="none" w:sz="0" w:space="0" w:color="auto"/>
      </w:divBdr>
    </w:div>
    <w:div w:id="103114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3C47C1F4FB7A48A87EFEEBA7D6495C" ma:contentTypeVersion="17" ma:contentTypeDescription="Create a new document." ma:contentTypeScope="" ma:versionID="8960d57c8585d7342c3af0203528acd3">
  <xsd:schema xmlns:xsd="http://www.w3.org/2001/XMLSchema" xmlns:xs="http://www.w3.org/2001/XMLSchema" xmlns:p="http://schemas.microsoft.com/office/2006/metadata/properties" xmlns:ns2="9709c448-037d-4902-9e0b-9f0f18492e25" xmlns:ns3="958ef039-ee58-465e-9322-0a065d878b78" targetNamespace="http://schemas.microsoft.com/office/2006/metadata/properties" ma:root="true" ma:fieldsID="7c4cc3c0560ac3ec4f41a33a0099bb29" ns2:_="" ns3:_="">
    <xsd:import namespace="9709c448-037d-4902-9e0b-9f0f18492e25"/>
    <xsd:import namespace="958ef039-ee58-465e-9322-0a065d878b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9c448-037d-4902-9e0b-9f0f18492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8ef039-ee58-465e-9322-0a065d878b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8fab48e-9b04-4891-81bf-4ce0e64ccfc6}" ma:internalName="TaxCatchAll" ma:showField="CatchAllData" ma:web="958ef039-ee58-465e-9322-0a065d878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09c448-037d-4902-9e0b-9f0f18492e25">
      <Terms xmlns="http://schemas.microsoft.com/office/infopath/2007/PartnerControls"/>
    </lcf76f155ced4ddcb4097134ff3c332f>
    <TaxCatchAll xmlns="958ef039-ee58-465e-9322-0a065d878b78" xsi:nil="true"/>
  </documentManagement>
</p:properties>
</file>

<file path=customXml/itemProps1.xml><?xml version="1.0" encoding="utf-8"?>
<ds:datastoreItem xmlns:ds="http://schemas.openxmlformats.org/officeDocument/2006/customXml" ds:itemID="{D53D0067-B93E-40CF-880B-6983338BDA2E}">
  <ds:schemaRefs>
    <ds:schemaRef ds:uri="http://schemas.microsoft.com/sharepoint/v3/contenttype/forms"/>
  </ds:schemaRefs>
</ds:datastoreItem>
</file>

<file path=customXml/itemProps2.xml><?xml version="1.0" encoding="utf-8"?>
<ds:datastoreItem xmlns:ds="http://schemas.openxmlformats.org/officeDocument/2006/customXml" ds:itemID="{10ACB700-E7B0-4925-9317-5ACD8AC0B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9c448-037d-4902-9e0b-9f0f18492e25"/>
    <ds:schemaRef ds:uri="958ef039-ee58-465e-9322-0a065d878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1EBC5-62ED-4E46-9298-D638EDF8B3F3}">
  <ds:schemaRefs>
    <ds:schemaRef ds:uri="http://schemas.microsoft.com/office/2006/metadata/properties"/>
    <ds:schemaRef ds:uri="http://schemas.microsoft.com/office/infopath/2007/PartnerControls"/>
    <ds:schemaRef ds:uri="9709c448-037d-4902-9e0b-9f0f18492e25"/>
    <ds:schemaRef ds:uri="958ef039-ee58-465e-9322-0a065d878b7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10867</Words>
  <Characters>6195</Characters>
  <Application>Microsoft Office Word</Application>
  <DocSecurity>4</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Kaluževičius</dc:creator>
  <cp:lastModifiedBy>Marina Sosnovskaja</cp:lastModifiedBy>
  <cp:revision>2</cp:revision>
  <dcterms:created xsi:type="dcterms:W3CDTF">2025-12-23T11:45:00Z</dcterms:created>
  <dcterms:modified xsi:type="dcterms:W3CDTF">2025-12-23T11:45:00Z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0x010100EA3C47C1F4FB7A48A87EFEEBA7D6495C</vt:lpwstr>
  </property>
</Properties>
</file>