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CBE" w:rsidRPr="002C2B03" w:rsidRDefault="00082666">
      <w:pPr>
        <w:jc w:val="center"/>
        <w:rPr>
          <w:rFonts w:eastAsiaTheme="minorEastAsia"/>
          <w:b/>
          <w:bCs/>
          <w:color w:val="000000"/>
          <w:sz w:val="24"/>
          <w:szCs w:val="24"/>
          <w:lang w:val="lt-LT" w:bidi="lo-LA"/>
        </w:rPr>
      </w:pPr>
      <w:r w:rsidRPr="002C2B03">
        <w:rPr>
          <w:rFonts w:eastAsiaTheme="minorEastAsia"/>
          <w:b/>
          <w:bCs/>
          <w:color w:val="000000"/>
          <w:sz w:val="24"/>
          <w:szCs w:val="24"/>
          <w:lang w:val="lt-LT" w:bidi="lo-LA"/>
        </w:rPr>
        <w:t>SUSITARIMAS NR. 1</w:t>
      </w:r>
    </w:p>
    <w:p w:rsidR="00621CBE" w:rsidRPr="002C2B03" w:rsidRDefault="00082666">
      <w:pPr>
        <w:jc w:val="center"/>
        <w:rPr>
          <w:b/>
          <w:sz w:val="24"/>
          <w:szCs w:val="24"/>
        </w:rPr>
      </w:pPr>
      <w:r w:rsidRPr="002C2B03">
        <w:rPr>
          <w:b/>
          <w:sz w:val="24"/>
          <w:szCs w:val="24"/>
          <w:lang w:val="lt-LT"/>
        </w:rPr>
        <w:t xml:space="preserve">DĖL 2025 M. LAPKRIČIO 10 D. PIRKIMO SUTARTIES </w:t>
      </w:r>
      <w:r w:rsidRPr="002C2B03">
        <w:rPr>
          <w:b/>
          <w:sz w:val="24"/>
          <w:szCs w:val="24"/>
        </w:rPr>
        <w:t>NR. U-737/CPO364641</w:t>
      </w:r>
    </w:p>
    <w:p w:rsidR="00621CBE" w:rsidRPr="002C2B03" w:rsidRDefault="00082666">
      <w:pPr>
        <w:jc w:val="center"/>
        <w:rPr>
          <w:rStyle w:val="FontStyle24"/>
          <w:rFonts w:ascii="Times New Roman" w:hAnsi="Times New Roman" w:cs="Times New Roman"/>
          <w:sz w:val="24"/>
          <w:szCs w:val="24"/>
        </w:rPr>
      </w:pPr>
      <w:r w:rsidRPr="002C2B03">
        <w:rPr>
          <w:rStyle w:val="FontStyle24"/>
          <w:rFonts w:ascii="Times New Roman" w:hAnsi="Times New Roman" w:cs="Times New Roman"/>
          <w:sz w:val="24"/>
          <w:szCs w:val="24"/>
        </w:rPr>
        <w:t>ĮKAINIŲ PERSKAIČIAVIMO</w:t>
      </w:r>
    </w:p>
    <w:p w:rsidR="00621CBE" w:rsidRPr="002C2B03" w:rsidRDefault="00621CBE">
      <w:pPr>
        <w:pStyle w:val="Style3"/>
        <w:widowControl/>
        <w:jc w:val="center"/>
        <w:rPr>
          <w:rStyle w:val="FontStyle24"/>
          <w:rFonts w:ascii="Times New Roman" w:hAnsi="Times New Roman" w:cs="Times New Roman"/>
          <w:sz w:val="24"/>
          <w:szCs w:val="24"/>
          <w:lang w:eastAsia="en-US"/>
        </w:rPr>
      </w:pPr>
      <w:bookmarkStart w:id="0" w:name="_GoBack"/>
      <w:bookmarkEnd w:id="0"/>
    </w:p>
    <w:p w:rsidR="00621CBE" w:rsidRPr="002C2B03" w:rsidRDefault="00082666">
      <w:pPr>
        <w:pStyle w:val="Style3"/>
        <w:widowControl/>
        <w:jc w:val="center"/>
        <w:rPr>
          <w:rStyle w:val="FontStyle23"/>
          <w:rFonts w:ascii="Times New Roman" w:hAnsi="Times New Roman" w:cs="Times New Roman"/>
          <w:sz w:val="24"/>
          <w:szCs w:val="24"/>
        </w:rPr>
      </w:pPr>
      <w:r w:rsidRPr="002C2B03">
        <w:rPr>
          <w:rStyle w:val="FontStyle23"/>
          <w:rFonts w:ascii="Times New Roman" w:hAnsi="Times New Roman" w:cs="Times New Roman"/>
          <w:sz w:val="24"/>
          <w:szCs w:val="24"/>
        </w:rPr>
        <w:t xml:space="preserve">2025 m.                  d. Nr. U- </w:t>
      </w:r>
    </w:p>
    <w:p w:rsidR="00621CBE" w:rsidRPr="002C2B03" w:rsidRDefault="00082666">
      <w:pPr>
        <w:pStyle w:val="Style3"/>
        <w:widowControl/>
        <w:jc w:val="center"/>
        <w:rPr>
          <w:rStyle w:val="FontStyle23"/>
          <w:rFonts w:ascii="Times New Roman" w:hAnsi="Times New Roman" w:cs="Times New Roman"/>
          <w:sz w:val="24"/>
          <w:szCs w:val="24"/>
        </w:rPr>
      </w:pPr>
      <w:r w:rsidRPr="002C2B03">
        <w:rPr>
          <w:rStyle w:val="FontStyle23"/>
          <w:rFonts w:ascii="Times New Roman" w:hAnsi="Times New Roman" w:cs="Times New Roman"/>
          <w:sz w:val="24"/>
          <w:szCs w:val="24"/>
        </w:rPr>
        <w:t>Vilnius</w:t>
      </w:r>
    </w:p>
    <w:p w:rsidR="00621CBE" w:rsidRDefault="00621CBE">
      <w:pPr>
        <w:pStyle w:val="Style3"/>
        <w:widowControl/>
        <w:spacing w:line="276" w:lineRule="auto"/>
        <w:jc w:val="center"/>
        <w:rPr>
          <w:rStyle w:val="FontStyle23"/>
          <w:rFonts w:ascii="Times New Roman" w:hAnsi="Times New Roman" w:cs="Times New Roman"/>
          <w:sz w:val="22"/>
          <w:szCs w:val="22"/>
        </w:rPr>
      </w:pPr>
    </w:p>
    <w:p w:rsidR="00621CBE" w:rsidRDefault="00082666">
      <w:pPr>
        <w:pStyle w:val="NoSpacing"/>
        <w:tabs>
          <w:tab w:val="left" w:pos="851"/>
        </w:tabs>
        <w:ind w:firstLine="567"/>
        <w:jc w:val="both"/>
        <w:rPr>
          <w:sz w:val="24"/>
          <w:szCs w:val="24"/>
          <w:lang w:val="lt-LT"/>
        </w:rPr>
      </w:pPr>
      <w:r>
        <w:rPr>
          <w:sz w:val="24"/>
          <w:szCs w:val="24"/>
          <w:lang w:val="lt-LT"/>
        </w:rPr>
        <w:t>Lietuvos kariuomenės Logistikos valdybos Įgulų aptarnavimo tarnyba, atstovaujama vado pavaduotojo</w:t>
      </w:r>
      <w:r>
        <w:rPr>
          <w:sz w:val="24"/>
          <w:szCs w:val="24"/>
          <w:lang w:val="lt-LT"/>
        </w:rPr>
        <w:t xml:space="preserve">, </w:t>
      </w:r>
      <w:r>
        <w:rPr>
          <w:sz w:val="24"/>
          <w:szCs w:val="24"/>
          <w:lang w:val="lt-LT"/>
        </w:rPr>
        <w:t>vykdančio vado funkcijas</w:t>
      </w:r>
      <w:r>
        <w:rPr>
          <w:sz w:val="24"/>
          <w:szCs w:val="24"/>
          <w:lang w:val="lt-LT"/>
        </w:rPr>
        <w:t xml:space="preserve"> mjr. Eugenijaus Švabausko, veikiančio pagal Įgulų aptarnavimo tarnybos nuostatų, patvirtintų krašto apsaugos ministro 2014 m. gegužės 30 d. įsakymu Nr. V-470 </w:t>
      </w:r>
      <w:r>
        <w:rPr>
          <w:bCs/>
          <w:color w:val="000000"/>
          <w:sz w:val="24"/>
          <w:szCs w:val="24"/>
          <w:lang w:val="lt-LT"/>
        </w:rPr>
        <w:t xml:space="preserve">„Dėl Lietuvos kariuomenės Logistikos valdybos Įgulų aptarnavimo tarnybos </w:t>
      </w:r>
      <w:r>
        <w:rPr>
          <w:bCs/>
          <w:color w:val="000000"/>
          <w:sz w:val="24"/>
          <w:szCs w:val="24"/>
          <w:lang w:val="lt-LT"/>
        </w:rPr>
        <w:t>nuostatų patvirtinimo</w:t>
      </w:r>
      <w:r>
        <w:rPr>
          <w:sz w:val="24"/>
          <w:szCs w:val="24"/>
          <w:lang w:val="lt-LT"/>
        </w:rPr>
        <w:t xml:space="preserve">“, 22 punktu ir atsižvelgiant į Lietuvos kariuomenės Logistikos valdybos Įgulų aptarnavimo tarnybos vado 2025 m. gruodžio 4 d. prašymą Nr. PA-205 </w:t>
      </w:r>
      <w:r>
        <w:rPr>
          <w:color w:val="000000"/>
          <w:sz w:val="24"/>
          <w:szCs w:val="24"/>
          <w:lang w:val="lt-LT"/>
        </w:rPr>
        <w:t>(toliau – Užsakovas),</w:t>
      </w:r>
      <w:r>
        <w:rPr>
          <w:sz w:val="24"/>
          <w:szCs w:val="24"/>
          <w:lang w:val="lt-LT"/>
        </w:rPr>
        <w:t xml:space="preserve"> ir</w:t>
      </w:r>
    </w:p>
    <w:p w:rsidR="00621CBE" w:rsidRDefault="00082666">
      <w:pPr>
        <w:tabs>
          <w:tab w:val="left" w:pos="851"/>
        </w:tabs>
        <w:ind w:firstLine="567"/>
        <w:jc w:val="both"/>
        <w:rPr>
          <w:sz w:val="24"/>
          <w:szCs w:val="24"/>
          <w:lang w:val="lt-LT"/>
        </w:rPr>
      </w:pPr>
      <w:r>
        <w:rPr>
          <w:sz w:val="24"/>
          <w:szCs w:val="24"/>
          <w:lang w:val="lt-LT"/>
        </w:rPr>
        <w:t>UAB „</w:t>
      </w:r>
      <w:proofErr w:type="spellStart"/>
      <w:r>
        <w:rPr>
          <w:sz w:val="24"/>
          <w:szCs w:val="24"/>
          <w:lang w:val="lt-LT"/>
        </w:rPr>
        <w:t>Jutarė</w:t>
      </w:r>
      <w:proofErr w:type="spellEnd"/>
      <w:r>
        <w:rPr>
          <w:rStyle w:val="FontStyle17"/>
          <w:sz w:val="24"/>
          <w:szCs w:val="24"/>
          <w:lang w:val="lt-LT"/>
        </w:rPr>
        <w:t>“,</w:t>
      </w:r>
      <w:r>
        <w:rPr>
          <w:sz w:val="24"/>
          <w:szCs w:val="24"/>
          <w:lang w:val="lt-LT"/>
        </w:rPr>
        <w:t xml:space="preserve"> atstovaujama direktoriaus Vaido </w:t>
      </w:r>
      <w:proofErr w:type="spellStart"/>
      <w:r>
        <w:rPr>
          <w:sz w:val="24"/>
          <w:szCs w:val="24"/>
          <w:lang w:val="lt-LT"/>
        </w:rPr>
        <w:t>Molevičiaus</w:t>
      </w:r>
      <w:proofErr w:type="spellEnd"/>
      <w:r>
        <w:rPr>
          <w:sz w:val="24"/>
          <w:szCs w:val="24"/>
          <w:lang w:val="lt-LT"/>
        </w:rPr>
        <w:t>, veikiančio pagal bendrovės įstatus</w:t>
      </w:r>
      <w:r>
        <w:rPr>
          <w:color w:val="000000"/>
          <w:sz w:val="24"/>
          <w:szCs w:val="24"/>
          <w:lang w:val="lt-LT"/>
        </w:rPr>
        <w:t xml:space="preserve"> (toliau – Tiekėjas), </w:t>
      </w:r>
      <w:r>
        <w:rPr>
          <w:sz w:val="24"/>
          <w:szCs w:val="24"/>
          <w:lang w:val="lt-LT"/>
        </w:rPr>
        <w:t>toliau kartu vadinamos Šalimis, atsižvelgdamos į tai, kad:</w:t>
      </w:r>
    </w:p>
    <w:p w:rsidR="00621CBE" w:rsidRDefault="00082666">
      <w:pPr>
        <w:pStyle w:val="ListParagraph"/>
        <w:numPr>
          <w:ilvl w:val="0"/>
          <w:numId w:val="1"/>
        </w:numPr>
        <w:tabs>
          <w:tab w:val="left" w:pos="851"/>
          <w:tab w:val="left" w:pos="993"/>
        </w:tabs>
        <w:ind w:left="0" w:firstLine="567"/>
        <w:jc w:val="both"/>
        <w:rPr>
          <w:sz w:val="24"/>
          <w:szCs w:val="24"/>
          <w:lang w:val="lt-LT"/>
        </w:rPr>
      </w:pPr>
      <w:r>
        <w:rPr>
          <w:sz w:val="24"/>
          <w:szCs w:val="24"/>
          <w:lang w:val="lt-LT"/>
        </w:rPr>
        <w:t xml:space="preserve">Šalys </w:t>
      </w:r>
      <w:r>
        <w:rPr>
          <w:color w:val="000000"/>
          <w:sz w:val="24"/>
          <w:szCs w:val="24"/>
          <w:lang w:val="lt-LT"/>
        </w:rPr>
        <w:t>2025 m. lapkričio 3 d.</w:t>
      </w:r>
      <w:r>
        <w:rPr>
          <w:sz w:val="24"/>
          <w:szCs w:val="24"/>
          <w:lang w:val="lt-LT"/>
        </w:rPr>
        <w:t xml:space="preserve"> sudarė pirkimo sutartį Nr. U-737/CPO364641 (toliau–Sutartis), paga</w:t>
      </w:r>
      <w:r>
        <w:rPr>
          <w:sz w:val="24"/>
          <w:szCs w:val="24"/>
          <w:lang w:val="lt-LT"/>
        </w:rPr>
        <w:t>l kurią Tiekėjas įsipareigojo suteikti paslaugas, kurių techninės specifikacijos nurodytos Sutarties priede (toliau – Paslaugos);</w:t>
      </w:r>
    </w:p>
    <w:p w:rsidR="00621CBE" w:rsidRDefault="00082666">
      <w:pPr>
        <w:pStyle w:val="ListParagraph"/>
        <w:numPr>
          <w:ilvl w:val="0"/>
          <w:numId w:val="1"/>
        </w:numPr>
        <w:tabs>
          <w:tab w:val="left" w:pos="567"/>
          <w:tab w:val="left" w:pos="993"/>
        </w:tabs>
        <w:ind w:left="0" w:firstLine="567"/>
        <w:jc w:val="both"/>
        <w:rPr>
          <w:sz w:val="24"/>
          <w:szCs w:val="24"/>
          <w:lang w:val="lt-LT"/>
        </w:rPr>
      </w:pPr>
      <w:r>
        <w:rPr>
          <w:sz w:val="24"/>
          <w:szCs w:val="24"/>
          <w:lang w:val="lt-LT"/>
        </w:rPr>
        <w:t>2025 m. gruodžio 18 d. gautas Tiekėjo raštas Nr. G-2165 „Dėl 2025.11.10 sudarytos pirkimo sutarties (valymo paslaugos) Nr. CPO</w:t>
      </w:r>
      <w:r>
        <w:rPr>
          <w:sz w:val="24"/>
          <w:szCs w:val="24"/>
          <w:lang w:val="lt-LT"/>
        </w:rPr>
        <w:t xml:space="preserve"> 364641 pakeitimo“;</w:t>
      </w:r>
    </w:p>
    <w:p w:rsidR="00621CBE" w:rsidRDefault="00082666">
      <w:pPr>
        <w:pStyle w:val="ListParagraph"/>
        <w:numPr>
          <w:ilvl w:val="0"/>
          <w:numId w:val="1"/>
        </w:numPr>
        <w:tabs>
          <w:tab w:val="left" w:pos="567"/>
          <w:tab w:val="left" w:pos="993"/>
        </w:tabs>
        <w:ind w:left="0" w:firstLine="567"/>
        <w:jc w:val="both"/>
        <w:rPr>
          <w:sz w:val="24"/>
          <w:szCs w:val="24"/>
          <w:lang w:val="lt-LT"/>
        </w:rPr>
      </w:pPr>
      <w:r>
        <w:rPr>
          <w:sz w:val="24"/>
          <w:szCs w:val="24"/>
          <w:lang w:val="lt-LT"/>
        </w:rPr>
        <w:t>Vadovaujantis Sutarties 5.6.2.1, 5.6.2.5 ir 10.1.2 papunkčiais</w:t>
      </w:r>
      <w:r>
        <w:rPr>
          <w:sz w:val="24"/>
          <w:szCs w:val="24"/>
          <w:lang w:val="lt-LT"/>
        </w:rPr>
        <w:t xml:space="preserve"> Sutartyje numatyti įkainiai perskaičiuojami Lietuvos Respublikoje pakeitus minimalią mėnesinę algą;</w:t>
      </w:r>
    </w:p>
    <w:p w:rsidR="00621CBE" w:rsidRDefault="00082666">
      <w:pPr>
        <w:pStyle w:val="ListParagraph"/>
        <w:numPr>
          <w:ilvl w:val="0"/>
          <w:numId w:val="1"/>
        </w:numPr>
        <w:tabs>
          <w:tab w:val="left" w:pos="567"/>
          <w:tab w:val="left" w:pos="851"/>
        </w:tabs>
        <w:ind w:left="0" w:firstLine="567"/>
        <w:jc w:val="both"/>
        <w:rPr>
          <w:sz w:val="24"/>
          <w:szCs w:val="24"/>
          <w:lang w:val="lt-LT"/>
        </w:rPr>
      </w:pPr>
      <w:r>
        <w:rPr>
          <w:sz w:val="24"/>
          <w:szCs w:val="24"/>
          <w:lang w:val="lt-LT"/>
        </w:rPr>
        <w:t>Vadovaujantis Lietuvos Respublikos Vyriausybės 2025 m. spalio 16 d. nut</w:t>
      </w:r>
      <w:r>
        <w:rPr>
          <w:sz w:val="24"/>
          <w:szCs w:val="24"/>
          <w:lang w:val="lt-LT"/>
        </w:rPr>
        <w:t>arimu Nr. 700 „Dėl 2026 metais taikomo minimaliojo darbo užmokesčio“ nuo 2026 m. sausio 1 d. minimali mėnesinė alga didinama;</w:t>
      </w:r>
    </w:p>
    <w:p w:rsidR="00621CBE" w:rsidRDefault="00082666">
      <w:pPr>
        <w:pStyle w:val="ListParagraph"/>
        <w:numPr>
          <w:ilvl w:val="0"/>
          <w:numId w:val="1"/>
        </w:numPr>
        <w:tabs>
          <w:tab w:val="left" w:pos="567"/>
          <w:tab w:val="left" w:pos="851"/>
        </w:tabs>
        <w:ind w:left="0" w:firstLine="567"/>
        <w:jc w:val="both"/>
        <w:rPr>
          <w:sz w:val="24"/>
          <w:szCs w:val="24"/>
          <w:lang w:val="lt-LT"/>
        </w:rPr>
      </w:pPr>
      <w:r>
        <w:rPr>
          <w:sz w:val="24"/>
          <w:szCs w:val="24"/>
          <w:lang w:val="lt-LT"/>
        </w:rPr>
        <w:t>Įkainiai perskaičiuoti pagal Sutarties 4.7.2.1 papunktyje nurodytą formulę, kur: NMMA (naujausia) – 1153 Eur, MMA (pradžia) – 1038</w:t>
      </w:r>
      <w:r>
        <w:rPr>
          <w:sz w:val="24"/>
          <w:szCs w:val="24"/>
          <w:lang w:val="lt-LT"/>
        </w:rPr>
        <w:t xml:space="preserve"> Eur, MMA pokytis – 11,1 proc.</w:t>
      </w:r>
    </w:p>
    <w:p w:rsidR="00621CBE" w:rsidRDefault="00082666">
      <w:pPr>
        <w:tabs>
          <w:tab w:val="left" w:pos="851"/>
          <w:tab w:val="left" w:pos="993"/>
        </w:tabs>
        <w:ind w:firstLine="567"/>
        <w:jc w:val="both"/>
        <w:rPr>
          <w:sz w:val="24"/>
          <w:szCs w:val="24"/>
          <w:lang w:val="lt-LT"/>
        </w:rPr>
      </w:pPr>
      <w:r>
        <w:rPr>
          <w:sz w:val="24"/>
          <w:szCs w:val="24"/>
          <w:lang w:val="lt-LT"/>
        </w:rPr>
        <w:t>Šalys sudaro šį susitarimą dėl Sutarties įkainių (kainos) perskaičiavimo (toliau – Susitarimas), kuriuo susitaria:</w:t>
      </w:r>
    </w:p>
    <w:p w:rsidR="00621CBE" w:rsidRDefault="00082666">
      <w:pPr>
        <w:tabs>
          <w:tab w:val="left" w:pos="851"/>
          <w:tab w:val="left" w:pos="993"/>
        </w:tabs>
        <w:ind w:firstLine="567"/>
        <w:jc w:val="both"/>
        <w:rPr>
          <w:sz w:val="24"/>
          <w:szCs w:val="24"/>
          <w:lang w:val="lt-LT"/>
        </w:rPr>
      </w:pPr>
      <w:r>
        <w:rPr>
          <w:kern w:val="2"/>
          <w:sz w:val="24"/>
          <w:szCs w:val="24"/>
          <w:lang w:val="lt-LT"/>
        </w:rPr>
        <w:t xml:space="preserve">1. </w:t>
      </w:r>
      <w:r>
        <w:rPr>
          <w:sz w:val="24"/>
          <w:szCs w:val="24"/>
          <w:lang w:val="lt-LT"/>
        </w:rPr>
        <w:t xml:space="preserve">Perskaičiuoti Sutarties priedo Nr.1 nustatytus įkainius Objekto Nr. 1 eilutėse Nr. 1.1, 3.7, 3.8, 3.9, </w:t>
      </w:r>
      <w:r>
        <w:rPr>
          <w:sz w:val="24"/>
          <w:szCs w:val="24"/>
          <w:lang w:val="lt-LT"/>
        </w:rPr>
        <w:t>3.10, 3.13, 3.16, 3.18, 3.19, 3.40, 4.</w:t>
      </w:r>
      <w:r>
        <w:rPr>
          <w:sz w:val="24"/>
          <w:szCs w:val="24"/>
          <w:lang w:val="lt-LT"/>
        </w:rPr>
        <w:t>1</w:t>
      </w:r>
      <w:r>
        <w:rPr>
          <w:sz w:val="24"/>
          <w:szCs w:val="24"/>
          <w:lang w:val="lt-LT"/>
        </w:rPr>
        <w:t xml:space="preserve">: </w:t>
      </w:r>
    </w:p>
    <w:p w:rsidR="00621CBE" w:rsidRDefault="00621CBE">
      <w:pPr>
        <w:pStyle w:val="NoSpacing"/>
        <w:tabs>
          <w:tab w:val="left" w:pos="851"/>
        </w:tabs>
        <w:jc w:val="both"/>
        <w:rPr>
          <w:sz w:val="24"/>
          <w:szCs w:val="24"/>
          <w:lang w:val="lt-LT"/>
        </w:rPr>
      </w:pPr>
    </w:p>
    <w:tbl>
      <w:tblPr>
        <w:tblStyle w:val="TableGrid"/>
        <w:tblW w:w="9522" w:type="dxa"/>
        <w:tblInd w:w="226" w:type="dxa"/>
        <w:tblLayout w:type="fixed"/>
        <w:tblLook w:val="04A0" w:firstRow="1" w:lastRow="0" w:firstColumn="1" w:lastColumn="0" w:noHBand="0" w:noVBand="1"/>
      </w:tblPr>
      <w:tblGrid>
        <w:gridCol w:w="3709"/>
        <w:gridCol w:w="1418"/>
        <w:gridCol w:w="1275"/>
        <w:gridCol w:w="1702"/>
        <w:gridCol w:w="1418"/>
      </w:tblGrid>
      <w:tr w:rsidR="00621CBE">
        <w:tc>
          <w:tcPr>
            <w:tcW w:w="3709" w:type="dxa"/>
          </w:tcPr>
          <w:p w:rsidR="00621CBE" w:rsidRDefault="00082666">
            <w:pPr>
              <w:pStyle w:val="NoSpacing"/>
              <w:tabs>
                <w:tab w:val="left" w:pos="851"/>
              </w:tabs>
              <w:jc w:val="center"/>
              <w:rPr>
                <w:sz w:val="24"/>
                <w:szCs w:val="24"/>
                <w:lang w:val="lt-LT"/>
              </w:rPr>
            </w:pPr>
            <w:r>
              <w:rPr>
                <w:sz w:val="24"/>
                <w:szCs w:val="24"/>
                <w:lang w:val="lt-LT"/>
              </w:rPr>
              <w:t>Paslaugų pavadinimas</w:t>
            </w:r>
          </w:p>
        </w:tc>
        <w:tc>
          <w:tcPr>
            <w:tcW w:w="1418" w:type="dxa"/>
          </w:tcPr>
          <w:p w:rsidR="00621CBE" w:rsidRDefault="00082666">
            <w:pPr>
              <w:pStyle w:val="NoSpacing"/>
              <w:tabs>
                <w:tab w:val="left" w:pos="851"/>
              </w:tabs>
              <w:jc w:val="center"/>
              <w:rPr>
                <w:sz w:val="24"/>
                <w:szCs w:val="24"/>
                <w:lang w:val="lt-LT"/>
              </w:rPr>
            </w:pPr>
            <w:r>
              <w:rPr>
                <w:sz w:val="24"/>
                <w:szCs w:val="24"/>
                <w:lang w:val="lt-LT"/>
              </w:rPr>
              <w:t>Mato vnt.</w:t>
            </w:r>
          </w:p>
        </w:tc>
        <w:tc>
          <w:tcPr>
            <w:tcW w:w="1275" w:type="dxa"/>
          </w:tcPr>
          <w:p w:rsidR="00621CBE" w:rsidRDefault="00082666">
            <w:pPr>
              <w:pStyle w:val="NoSpacing"/>
              <w:tabs>
                <w:tab w:val="left" w:pos="851"/>
              </w:tabs>
              <w:jc w:val="center"/>
              <w:rPr>
                <w:sz w:val="24"/>
                <w:szCs w:val="24"/>
                <w:lang w:val="lt-LT"/>
              </w:rPr>
            </w:pPr>
            <w:r>
              <w:rPr>
                <w:sz w:val="24"/>
                <w:szCs w:val="24"/>
                <w:lang w:val="lt-LT"/>
              </w:rPr>
              <w:t>Periodiškumas</w:t>
            </w:r>
          </w:p>
        </w:tc>
        <w:tc>
          <w:tcPr>
            <w:tcW w:w="1702" w:type="dxa"/>
          </w:tcPr>
          <w:p w:rsidR="00621CBE" w:rsidRDefault="00082666">
            <w:pPr>
              <w:pStyle w:val="NoSpacing"/>
              <w:tabs>
                <w:tab w:val="left" w:pos="851"/>
              </w:tabs>
              <w:jc w:val="center"/>
              <w:rPr>
                <w:sz w:val="24"/>
                <w:szCs w:val="24"/>
                <w:lang w:val="lt-LT"/>
              </w:rPr>
            </w:pPr>
            <w:r>
              <w:rPr>
                <w:sz w:val="24"/>
                <w:szCs w:val="24"/>
                <w:lang w:val="lt-LT"/>
              </w:rPr>
              <w:t>Preliminarus kiekis</w:t>
            </w:r>
          </w:p>
        </w:tc>
        <w:tc>
          <w:tcPr>
            <w:tcW w:w="1418" w:type="dxa"/>
          </w:tcPr>
          <w:p w:rsidR="00621CBE" w:rsidRDefault="00082666">
            <w:pPr>
              <w:pStyle w:val="NoSpacing"/>
              <w:tabs>
                <w:tab w:val="left" w:pos="851"/>
              </w:tabs>
              <w:jc w:val="center"/>
              <w:rPr>
                <w:sz w:val="24"/>
                <w:szCs w:val="24"/>
                <w:lang w:val="lt-LT"/>
              </w:rPr>
            </w:pPr>
            <w:r>
              <w:rPr>
                <w:sz w:val="24"/>
                <w:szCs w:val="24"/>
                <w:lang w:val="lt-LT"/>
              </w:rPr>
              <w:t>Paslaugos k</w:t>
            </w:r>
            <w:r>
              <w:rPr>
                <w:sz w:val="24"/>
                <w:szCs w:val="24"/>
                <w:lang w:val="lt-LT"/>
              </w:rPr>
              <w:t>aina už mato vienetą (įkainis), EUR be PVM</w:t>
            </w:r>
          </w:p>
        </w:tc>
      </w:tr>
      <w:tr w:rsidR="00621CBE">
        <w:tc>
          <w:tcPr>
            <w:tcW w:w="3709" w:type="dxa"/>
          </w:tcPr>
          <w:p w:rsidR="00621CBE" w:rsidRDefault="00082666">
            <w:pPr>
              <w:pStyle w:val="NoSpacing"/>
              <w:tabs>
                <w:tab w:val="left" w:pos="851"/>
              </w:tabs>
              <w:jc w:val="both"/>
              <w:rPr>
                <w:b/>
                <w:sz w:val="24"/>
                <w:szCs w:val="24"/>
                <w:lang w:val="lt-LT"/>
              </w:rPr>
            </w:pPr>
            <w:r>
              <w:rPr>
                <w:b/>
                <w:sz w:val="24"/>
                <w:szCs w:val="24"/>
                <w:lang w:val="lt-LT"/>
              </w:rPr>
              <w:t>Objektas Nr. 1</w:t>
            </w:r>
          </w:p>
        </w:tc>
        <w:tc>
          <w:tcPr>
            <w:tcW w:w="1418" w:type="dxa"/>
          </w:tcPr>
          <w:p w:rsidR="00621CBE" w:rsidRDefault="00621CBE">
            <w:pPr>
              <w:pStyle w:val="NoSpacing"/>
              <w:tabs>
                <w:tab w:val="left" w:pos="851"/>
              </w:tabs>
              <w:jc w:val="both"/>
              <w:rPr>
                <w:sz w:val="24"/>
                <w:szCs w:val="24"/>
                <w:lang w:val="lt-LT"/>
              </w:rPr>
            </w:pPr>
          </w:p>
        </w:tc>
        <w:tc>
          <w:tcPr>
            <w:tcW w:w="1275" w:type="dxa"/>
          </w:tcPr>
          <w:p w:rsidR="00621CBE" w:rsidRDefault="00621CBE">
            <w:pPr>
              <w:pStyle w:val="NoSpacing"/>
              <w:tabs>
                <w:tab w:val="left" w:pos="851"/>
              </w:tabs>
              <w:jc w:val="both"/>
              <w:rPr>
                <w:sz w:val="24"/>
                <w:szCs w:val="24"/>
                <w:lang w:val="lt-LT"/>
              </w:rPr>
            </w:pPr>
          </w:p>
        </w:tc>
        <w:tc>
          <w:tcPr>
            <w:tcW w:w="1702" w:type="dxa"/>
          </w:tcPr>
          <w:p w:rsidR="00621CBE" w:rsidRDefault="00621CBE">
            <w:pPr>
              <w:pStyle w:val="NoSpacing"/>
              <w:tabs>
                <w:tab w:val="left" w:pos="851"/>
              </w:tabs>
              <w:jc w:val="both"/>
              <w:rPr>
                <w:sz w:val="24"/>
                <w:szCs w:val="24"/>
                <w:lang w:val="lt-LT"/>
              </w:rPr>
            </w:pPr>
          </w:p>
        </w:tc>
        <w:tc>
          <w:tcPr>
            <w:tcW w:w="1418" w:type="dxa"/>
          </w:tcPr>
          <w:p w:rsidR="00621CBE" w:rsidRDefault="00621CBE">
            <w:pPr>
              <w:pStyle w:val="NoSpacing"/>
              <w:tabs>
                <w:tab w:val="left" w:pos="851"/>
              </w:tabs>
              <w:jc w:val="both"/>
              <w:rPr>
                <w:sz w:val="24"/>
                <w:szCs w:val="24"/>
                <w:lang w:val="lt-LT"/>
              </w:rPr>
            </w:pPr>
          </w:p>
        </w:tc>
      </w:tr>
      <w:tr w:rsidR="00621CBE">
        <w:tc>
          <w:tcPr>
            <w:tcW w:w="3709" w:type="dxa"/>
          </w:tcPr>
          <w:p w:rsidR="00621CBE" w:rsidRDefault="00082666">
            <w:pPr>
              <w:pStyle w:val="NoSpacing"/>
              <w:tabs>
                <w:tab w:val="left" w:pos="851"/>
              </w:tabs>
              <w:jc w:val="both"/>
              <w:rPr>
                <w:sz w:val="24"/>
                <w:szCs w:val="24"/>
                <w:lang w:val="lt-LT"/>
              </w:rPr>
            </w:pPr>
            <w:r>
              <w:rPr>
                <w:sz w:val="24"/>
                <w:szCs w:val="24"/>
                <w:lang w:val="lt-LT"/>
              </w:rPr>
              <w:t xml:space="preserve">1.1. Kietų grindų įprastinio valymo paslaugos (grindys taip pat valomos po kilimais keičiamais purvą sugeriančiais kilimėliais, mobiliais baldais) </w:t>
            </w:r>
          </w:p>
        </w:tc>
        <w:tc>
          <w:tcPr>
            <w:tcW w:w="1418" w:type="dxa"/>
          </w:tcPr>
          <w:p w:rsidR="00621CBE" w:rsidRDefault="00082666">
            <w:pPr>
              <w:ind w:left="57"/>
              <w:jc w:val="center"/>
              <w:rPr>
                <w:sz w:val="24"/>
                <w:szCs w:val="24"/>
                <w:lang w:val="lt-LT"/>
              </w:rPr>
            </w:pPr>
            <w:r>
              <w:rPr>
                <w:sz w:val="24"/>
                <w:szCs w:val="24"/>
                <w:lang w:val="lt-LT"/>
              </w:rPr>
              <w:t>1 (vieno) m² 1 (vieno) karto valymas</w:t>
            </w:r>
          </w:p>
        </w:tc>
        <w:tc>
          <w:tcPr>
            <w:tcW w:w="1275" w:type="dxa"/>
          </w:tcPr>
          <w:p w:rsidR="00621CBE" w:rsidRDefault="00082666">
            <w:pPr>
              <w:ind w:left="57"/>
              <w:jc w:val="center"/>
              <w:rPr>
                <w:sz w:val="24"/>
                <w:szCs w:val="24"/>
                <w:lang w:val="lt-LT"/>
              </w:rPr>
            </w:pPr>
            <w:r>
              <w:rPr>
                <w:sz w:val="24"/>
                <w:szCs w:val="24"/>
                <w:lang w:val="lt-LT"/>
              </w:rPr>
              <w:t>23 kartai/ mėn.</w:t>
            </w:r>
          </w:p>
          <w:p w:rsidR="00621CBE" w:rsidRDefault="00621CBE">
            <w:pPr>
              <w:pStyle w:val="NoSpacing"/>
              <w:tabs>
                <w:tab w:val="left" w:pos="851"/>
              </w:tabs>
              <w:jc w:val="both"/>
              <w:rPr>
                <w:sz w:val="24"/>
                <w:szCs w:val="24"/>
                <w:lang w:val="lt-LT"/>
              </w:rPr>
            </w:pPr>
          </w:p>
        </w:tc>
        <w:tc>
          <w:tcPr>
            <w:tcW w:w="1702" w:type="dxa"/>
          </w:tcPr>
          <w:p w:rsidR="00621CBE" w:rsidRDefault="00082666">
            <w:pPr>
              <w:pStyle w:val="NoSpacing"/>
              <w:tabs>
                <w:tab w:val="left" w:pos="851"/>
              </w:tabs>
              <w:jc w:val="center"/>
              <w:rPr>
                <w:sz w:val="24"/>
                <w:szCs w:val="24"/>
                <w:lang w:val="lt-LT"/>
              </w:rPr>
            </w:pPr>
            <w:r>
              <w:rPr>
                <w:sz w:val="24"/>
                <w:szCs w:val="24"/>
                <w:lang w:val="lt-LT"/>
              </w:rPr>
              <w:t>130 m</w:t>
            </w:r>
            <w:r>
              <w:rPr>
                <w:sz w:val="24"/>
                <w:szCs w:val="24"/>
                <w:vertAlign w:val="superscript"/>
                <w:lang w:val="lt-LT"/>
              </w:rPr>
              <w:t>2</w:t>
            </w:r>
            <w:r>
              <w:rPr>
                <w:sz w:val="24"/>
                <w:szCs w:val="24"/>
                <w:lang w:val="lt-LT"/>
              </w:rPr>
              <w:t xml:space="preserve"> vieno karto valymas</w:t>
            </w:r>
          </w:p>
        </w:tc>
        <w:tc>
          <w:tcPr>
            <w:tcW w:w="1418" w:type="dxa"/>
          </w:tcPr>
          <w:p w:rsidR="00621CBE" w:rsidRDefault="00082666">
            <w:pPr>
              <w:pStyle w:val="NoSpacing"/>
              <w:tabs>
                <w:tab w:val="left" w:pos="851"/>
              </w:tabs>
              <w:jc w:val="both"/>
              <w:rPr>
                <w:sz w:val="24"/>
                <w:szCs w:val="24"/>
                <w:lang w:val="lt-LT"/>
              </w:rPr>
            </w:pPr>
            <w:r>
              <w:rPr>
                <w:sz w:val="24"/>
                <w:szCs w:val="24"/>
                <w:lang w:val="lt-LT"/>
              </w:rPr>
              <w:t>0,07</w:t>
            </w:r>
            <w:r>
              <w:rPr>
                <w:sz w:val="24"/>
                <w:szCs w:val="24"/>
                <w:lang w:val="lt-LT"/>
              </w:rPr>
              <w:t xml:space="preserve">5 </w:t>
            </w:r>
          </w:p>
        </w:tc>
      </w:tr>
      <w:tr w:rsidR="00621CBE">
        <w:tc>
          <w:tcPr>
            <w:tcW w:w="3709" w:type="dxa"/>
          </w:tcPr>
          <w:p w:rsidR="00621CBE" w:rsidRDefault="00082666">
            <w:pPr>
              <w:pStyle w:val="NoSpacing"/>
              <w:tabs>
                <w:tab w:val="left" w:pos="851"/>
              </w:tabs>
              <w:jc w:val="both"/>
              <w:rPr>
                <w:sz w:val="24"/>
                <w:szCs w:val="24"/>
                <w:lang w:val="lt-LT"/>
              </w:rPr>
            </w:pPr>
            <w:r>
              <w:rPr>
                <w:sz w:val="24"/>
                <w:szCs w:val="24"/>
                <w:lang w:val="lt-LT"/>
              </w:rPr>
              <w:t>3.7. Dulkių ir kitokio pobūdžio nešvarumų valymas nuo ventiliacinių grotelių.</w:t>
            </w:r>
            <w:r>
              <w:rPr>
                <w:sz w:val="24"/>
                <w:szCs w:val="24"/>
                <w:lang w:val="lt-LT"/>
              </w:rPr>
              <w:tab/>
            </w:r>
          </w:p>
        </w:tc>
        <w:tc>
          <w:tcPr>
            <w:tcW w:w="1418" w:type="dxa"/>
          </w:tcPr>
          <w:p w:rsidR="00621CBE" w:rsidRDefault="00082666">
            <w:pPr>
              <w:ind w:left="57"/>
              <w:jc w:val="center"/>
              <w:rPr>
                <w:sz w:val="24"/>
                <w:szCs w:val="24"/>
                <w:lang w:val="lt-LT"/>
              </w:rPr>
            </w:pPr>
            <w:r>
              <w:rPr>
                <w:sz w:val="24"/>
                <w:szCs w:val="24"/>
                <w:lang w:val="lt-LT"/>
              </w:rPr>
              <w:t>1 vnt.</w:t>
            </w:r>
          </w:p>
        </w:tc>
        <w:tc>
          <w:tcPr>
            <w:tcW w:w="1275" w:type="dxa"/>
          </w:tcPr>
          <w:p w:rsidR="00621CBE" w:rsidRDefault="00082666">
            <w:pPr>
              <w:ind w:left="57"/>
              <w:jc w:val="center"/>
              <w:rPr>
                <w:sz w:val="24"/>
                <w:szCs w:val="24"/>
                <w:lang w:val="lt-LT"/>
              </w:rPr>
            </w:pPr>
            <w:r>
              <w:rPr>
                <w:sz w:val="24"/>
                <w:szCs w:val="24"/>
                <w:lang w:val="lt-LT"/>
              </w:rPr>
              <w:t>4 kartai/ sutarties galiojimo laikotarpį</w:t>
            </w:r>
          </w:p>
        </w:tc>
        <w:tc>
          <w:tcPr>
            <w:tcW w:w="1702" w:type="dxa"/>
          </w:tcPr>
          <w:p w:rsidR="00621CBE" w:rsidRDefault="00082666">
            <w:pPr>
              <w:pStyle w:val="NoSpacing"/>
              <w:tabs>
                <w:tab w:val="left" w:pos="851"/>
              </w:tabs>
              <w:jc w:val="center"/>
              <w:rPr>
                <w:sz w:val="24"/>
                <w:szCs w:val="24"/>
                <w:lang w:val="lt-LT"/>
              </w:rPr>
            </w:pPr>
            <w:r>
              <w:rPr>
                <w:sz w:val="24"/>
                <w:szCs w:val="24"/>
                <w:lang w:val="lt-LT"/>
              </w:rPr>
              <w:t>5 vnt. vieno karto valymas</w:t>
            </w:r>
          </w:p>
        </w:tc>
        <w:tc>
          <w:tcPr>
            <w:tcW w:w="1418" w:type="dxa"/>
          </w:tcPr>
          <w:p w:rsidR="00621CBE" w:rsidRDefault="00082666">
            <w:pPr>
              <w:pStyle w:val="NoSpacing"/>
              <w:tabs>
                <w:tab w:val="left" w:pos="851"/>
              </w:tabs>
              <w:jc w:val="both"/>
              <w:rPr>
                <w:sz w:val="24"/>
                <w:szCs w:val="24"/>
                <w:lang w:val="lt-LT"/>
              </w:rPr>
            </w:pPr>
            <w:r>
              <w:rPr>
                <w:sz w:val="24"/>
                <w:szCs w:val="24"/>
                <w:lang w:val="lt-LT"/>
              </w:rPr>
              <w:t xml:space="preserve">0,001 </w:t>
            </w:r>
          </w:p>
        </w:tc>
      </w:tr>
      <w:tr w:rsidR="00621CBE">
        <w:tc>
          <w:tcPr>
            <w:tcW w:w="3709" w:type="dxa"/>
          </w:tcPr>
          <w:p w:rsidR="00621CBE" w:rsidRDefault="00082666">
            <w:pPr>
              <w:pStyle w:val="NoSpacing"/>
              <w:tabs>
                <w:tab w:val="left" w:pos="851"/>
              </w:tabs>
              <w:jc w:val="both"/>
              <w:rPr>
                <w:b/>
                <w:sz w:val="24"/>
                <w:szCs w:val="24"/>
                <w:lang w:val="lt-LT"/>
              </w:rPr>
            </w:pPr>
            <w:r>
              <w:rPr>
                <w:sz w:val="24"/>
                <w:szCs w:val="24"/>
                <w:lang w:val="lt-LT"/>
              </w:rPr>
              <w:t>3.8. Šaldytuvo valymas.</w:t>
            </w:r>
          </w:p>
        </w:tc>
        <w:tc>
          <w:tcPr>
            <w:tcW w:w="1418" w:type="dxa"/>
          </w:tcPr>
          <w:p w:rsidR="00621CBE" w:rsidRDefault="00082666">
            <w:pPr>
              <w:ind w:left="57"/>
              <w:jc w:val="center"/>
              <w:rPr>
                <w:sz w:val="24"/>
                <w:szCs w:val="24"/>
                <w:lang w:val="lt-LT"/>
              </w:rPr>
            </w:pPr>
            <w:r>
              <w:rPr>
                <w:sz w:val="24"/>
                <w:szCs w:val="24"/>
                <w:lang w:val="lt-LT"/>
              </w:rPr>
              <w:t>1 vnt.</w:t>
            </w:r>
          </w:p>
        </w:tc>
        <w:tc>
          <w:tcPr>
            <w:tcW w:w="1275" w:type="dxa"/>
          </w:tcPr>
          <w:p w:rsidR="00621CBE" w:rsidRDefault="00082666">
            <w:pPr>
              <w:ind w:left="57"/>
              <w:jc w:val="center"/>
              <w:rPr>
                <w:sz w:val="24"/>
                <w:szCs w:val="24"/>
                <w:highlight w:val="yellow"/>
                <w:lang w:val="lt-LT"/>
              </w:rPr>
            </w:pPr>
            <w:r>
              <w:rPr>
                <w:sz w:val="24"/>
                <w:szCs w:val="24"/>
                <w:lang w:val="lt-LT"/>
              </w:rPr>
              <w:t xml:space="preserve">12 kartai/ sutarties </w:t>
            </w:r>
            <w:r>
              <w:rPr>
                <w:sz w:val="24"/>
                <w:szCs w:val="24"/>
                <w:lang w:val="lt-LT"/>
              </w:rPr>
              <w:lastRenderedPageBreak/>
              <w:t xml:space="preserve">galiojimo </w:t>
            </w:r>
            <w:r>
              <w:rPr>
                <w:sz w:val="24"/>
                <w:szCs w:val="24"/>
                <w:lang w:val="lt-LT"/>
              </w:rPr>
              <w:t>laikotarpį</w:t>
            </w:r>
          </w:p>
        </w:tc>
        <w:tc>
          <w:tcPr>
            <w:tcW w:w="1702" w:type="dxa"/>
          </w:tcPr>
          <w:p w:rsidR="00621CBE" w:rsidRDefault="00082666">
            <w:pPr>
              <w:pStyle w:val="NoSpacing"/>
              <w:tabs>
                <w:tab w:val="left" w:pos="851"/>
              </w:tabs>
              <w:jc w:val="center"/>
              <w:rPr>
                <w:sz w:val="24"/>
                <w:szCs w:val="24"/>
                <w:lang w:val="lt-LT"/>
              </w:rPr>
            </w:pPr>
            <w:r>
              <w:rPr>
                <w:sz w:val="24"/>
                <w:szCs w:val="24"/>
                <w:lang w:val="lt-LT"/>
              </w:rPr>
              <w:lastRenderedPageBreak/>
              <w:t>1 vnt. vieno karto valymas</w:t>
            </w:r>
          </w:p>
        </w:tc>
        <w:tc>
          <w:tcPr>
            <w:tcW w:w="1418" w:type="dxa"/>
          </w:tcPr>
          <w:p w:rsidR="00621CBE" w:rsidRDefault="00082666">
            <w:pPr>
              <w:pStyle w:val="NoSpacing"/>
              <w:tabs>
                <w:tab w:val="left" w:pos="851"/>
              </w:tabs>
              <w:jc w:val="center"/>
              <w:rPr>
                <w:sz w:val="24"/>
                <w:szCs w:val="24"/>
                <w:lang w:val="lt-LT"/>
              </w:rPr>
            </w:pPr>
            <w:r>
              <w:rPr>
                <w:sz w:val="24"/>
                <w:szCs w:val="24"/>
                <w:lang w:val="lt-LT"/>
              </w:rPr>
              <w:t xml:space="preserve">0,001 </w:t>
            </w:r>
          </w:p>
        </w:tc>
      </w:tr>
      <w:tr w:rsidR="00621CBE">
        <w:tc>
          <w:tcPr>
            <w:tcW w:w="3709" w:type="dxa"/>
          </w:tcPr>
          <w:p w:rsidR="00621CBE" w:rsidRDefault="00082666">
            <w:pPr>
              <w:pStyle w:val="NoSpacing"/>
              <w:tabs>
                <w:tab w:val="left" w:pos="851"/>
              </w:tabs>
              <w:jc w:val="both"/>
              <w:rPr>
                <w:sz w:val="24"/>
                <w:szCs w:val="24"/>
                <w:lang w:val="lt-LT"/>
              </w:rPr>
            </w:pPr>
            <w:r>
              <w:rPr>
                <w:sz w:val="24"/>
                <w:szCs w:val="24"/>
                <w:lang w:val="lt-LT"/>
              </w:rPr>
              <w:t>3.9. Mikrobangų krosnelės valymas.</w:t>
            </w:r>
          </w:p>
        </w:tc>
        <w:tc>
          <w:tcPr>
            <w:tcW w:w="1418" w:type="dxa"/>
          </w:tcPr>
          <w:p w:rsidR="00621CBE" w:rsidRDefault="00082666">
            <w:pPr>
              <w:ind w:left="57"/>
              <w:jc w:val="center"/>
              <w:rPr>
                <w:sz w:val="24"/>
                <w:szCs w:val="24"/>
                <w:lang w:val="lt-LT"/>
              </w:rPr>
            </w:pPr>
            <w:r>
              <w:rPr>
                <w:sz w:val="24"/>
                <w:szCs w:val="24"/>
                <w:lang w:val="lt-LT"/>
              </w:rPr>
              <w:t>1 vnt.</w:t>
            </w:r>
          </w:p>
        </w:tc>
        <w:tc>
          <w:tcPr>
            <w:tcW w:w="1275" w:type="dxa"/>
          </w:tcPr>
          <w:p w:rsidR="00621CBE" w:rsidRDefault="00082666">
            <w:pPr>
              <w:ind w:left="57"/>
              <w:jc w:val="center"/>
              <w:rPr>
                <w:sz w:val="24"/>
                <w:szCs w:val="24"/>
                <w:lang w:val="lt-LT"/>
              </w:rPr>
            </w:pPr>
            <w:r>
              <w:rPr>
                <w:sz w:val="24"/>
                <w:szCs w:val="24"/>
                <w:lang w:val="lt-LT"/>
              </w:rPr>
              <w:t>24 kartai/ sutarties galiojimo laikotarpį</w:t>
            </w:r>
          </w:p>
        </w:tc>
        <w:tc>
          <w:tcPr>
            <w:tcW w:w="1702" w:type="dxa"/>
          </w:tcPr>
          <w:p w:rsidR="00621CBE" w:rsidRDefault="00082666">
            <w:pPr>
              <w:pStyle w:val="NoSpacing"/>
              <w:tabs>
                <w:tab w:val="left" w:pos="851"/>
              </w:tabs>
              <w:jc w:val="center"/>
              <w:rPr>
                <w:sz w:val="24"/>
                <w:szCs w:val="24"/>
                <w:lang w:val="lt-LT"/>
              </w:rPr>
            </w:pPr>
            <w:r>
              <w:rPr>
                <w:sz w:val="24"/>
                <w:szCs w:val="24"/>
                <w:lang w:val="lt-LT"/>
              </w:rPr>
              <w:t>1 vnt. vieno karto valymas</w:t>
            </w:r>
          </w:p>
        </w:tc>
        <w:tc>
          <w:tcPr>
            <w:tcW w:w="1418" w:type="dxa"/>
          </w:tcPr>
          <w:p w:rsidR="00621CBE" w:rsidRDefault="00082666">
            <w:pPr>
              <w:pStyle w:val="NoSpacing"/>
              <w:tabs>
                <w:tab w:val="left" w:pos="851"/>
              </w:tabs>
              <w:jc w:val="center"/>
              <w:rPr>
                <w:sz w:val="24"/>
                <w:szCs w:val="24"/>
                <w:lang w:val="lt-LT"/>
              </w:rPr>
            </w:pPr>
            <w:r>
              <w:rPr>
                <w:sz w:val="24"/>
                <w:szCs w:val="24"/>
                <w:lang w:val="lt-LT"/>
              </w:rPr>
              <w:t xml:space="preserve">0,001 </w:t>
            </w:r>
          </w:p>
        </w:tc>
      </w:tr>
      <w:tr w:rsidR="00621CBE">
        <w:tc>
          <w:tcPr>
            <w:tcW w:w="3709" w:type="dxa"/>
          </w:tcPr>
          <w:p w:rsidR="00621CBE" w:rsidRDefault="00082666">
            <w:pPr>
              <w:pStyle w:val="NoSpacing"/>
              <w:tabs>
                <w:tab w:val="left" w:pos="851"/>
              </w:tabs>
              <w:jc w:val="both"/>
              <w:rPr>
                <w:b/>
                <w:sz w:val="24"/>
                <w:szCs w:val="24"/>
                <w:lang w:val="lt-LT"/>
              </w:rPr>
            </w:pPr>
            <w:r>
              <w:rPr>
                <w:sz w:val="24"/>
                <w:szCs w:val="24"/>
                <w:lang w:val="lt-LT"/>
              </w:rPr>
              <w:t xml:space="preserve">3.10. Papildomas patalpų valymas (išskyrus langų valymą). Valymo </w:t>
            </w:r>
            <w:r>
              <w:rPr>
                <w:sz w:val="24"/>
                <w:szCs w:val="24"/>
                <w:lang w:val="lt-LT"/>
              </w:rPr>
              <w:t>paslauga atliekama po remonto, statybos darbų ar avarijos, švaros palaikymas statybų metu. Avarijos atveju paslaugos turi būti sutektos ne vėliau kaip per 3 valandas nuo Užsakovo pranešimo. Užsakovas nurodo bendrą valomų patalpų paviršių plotą.</w:t>
            </w:r>
            <w:r>
              <w:rPr>
                <w:sz w:val="24"/>
                <w:szCs w:val="24"/>
                <w:lang w:val="lt-LT"/>
              </w:rPr>
              <w:tab/>
            </w:r>
            <w:r>
              <w:rPr>
                <w:sz w:val="24"/>
                <w:szCs w:val="24"/>
                <w:lang w:val="lt-LT"/>
              </w:rPr>
              <w:tab/>
            </w:r>
          </w:p>
        </w:tc>
        <w:tc>
          <w:tcPr>
            <w:tcW w:w="1418" w:type="dxa"/>
          </w:tcPr>
          <w:p w:rsidR="00621CBE" w:rsidRDefault="00082666">
            <w:pPr>
              <w:ind w:left="57"/>
              <w:jc w:val="center"/>
              <w:rPr>
                <w:sz w:val="24"/>
                <w:szCs w:val="24"/>
                <w:lang w:val="lt-LT"/>
              </w:rPr>
            </w:pPr>
            <w:r>
              <w:rPr>
                <w:sz w:val="24"/>
                <w:szCs w:val="24"/>
                <w:lang w:val="lt-LT"/>
              </w:rPr>
              <w:t>m²</w:t>
            </w:r>
          </w:p>
        </w:tc>
        <w:tc>
          <w:tcPr>
            <w:tcW w:w="1275" w:type="dxa"/>
          </w:tcPr>
          <w:p w:rsidR="00621CBE" w:rsidRDefault="00082666">
            <w:pPr>
              <w:ind w:left="57"/>
              <w:jc w:val="center"/>
              <w:rPr>
                <w:sz w:val="24"/>
                <w:szCs w:val="24"/>
                <w:lang w:val="lt-LT"/>
              </w:rPr>
            </w:pPr>
            <w:r>
              <w:rPr>
                <w:sz w:val="24"/>
                <w:szCs w:val="24"/>
                <w:lang w:val="lt-LT"/>
              </w:rPr>
              <w:t>1 kart</w:t>
            </w:r>
            <w:r>
              <w:rPr>
                <w:sz w:val="24"/>
                <w:szCs w:val="24"/>
                <w:lang w:val="lt-LT"/>
              </w:rPr>
              <w:t xml:space="preserve">ai/ sutarties galiojimo laikotarpį </w:t>
            </w:r>
          </w:p>
        </w:tc>
        <w:tc>
          <w:tcPr>
            <w:tcW w:w="1702" w:type="dxa"/>
          </w:tcPr>
          <w:p w:rsidR="00621CBE" w:rsidRDefault="00082666">
            <w:pPr>
              <w:pStyle w:val="NoSpacing"/>
              <w:tabs>
                <w:tab w:val="left" w:pos="851"/>
              </w:tabs>
              <w:jc w:val="center"/>
              <w:rPr>
                <w:sz w:val="24"/>
                <w:szCs w:val="24"/>
                <w:lang w:val="lt-LT"/>
              </w:rPr>
            </w:pPr>
            <w:r>
              <w:rPr>
                <w:sz w:val="24"/>
                <w:szCs w:val="24"/>
                <w:lang w:val="lt-LT"/>
              </w:rPr>
              <w:t>130 m</w:t>
            </w:r>
            <w:r>
              <w:rPr>
                <w:sz w:val="24"/>
                <w:szCs w:val="24"/>
                <w:vertAlign w:val="superscript"/>
                <w:lang w:val="lt-LT"/>
              </w:rPr>
              <w:t>2</w:t>
            </w:r>
            <w:r>
              <w:rPr>
                <w:sz w:val="24"/>
                <w:szCs w:val="24"/>
                <w:lang w:val="lt-LT"/>
              </w:rPr>
              <w:t xml:space="preserve"> vieno</w:t>
            </w:r>
            <w:r>
              <w:rPr>
                <w:sz w:val="24"/>
                <w:szCs w:val="24"/>
                <w:lang w:val="lt-LT"/>
              </w:rPr>
              <w:t xml:space="preserve"> karto valymas</w:t>
            </w:r>
          </w:p>
        </w:tc>
        <w:tc>
          <w:tcPr>
            <w:tcW w:w="1418" w:type="dxa"/>
          </w:tcPr>
          <w:p w:rsidR="00621CBE" w:rsidRDefault="00082666">
            <w:pPr>
              <w:pStyle w:val="NoSpacing"/>
              <w:tabs>
                <w:tab w:val="left" w:pos="851"/>
              </w:tabs>
              <w:jc w:val="center"/>
              <w:rPr>
                <w:sz w:val="24"/>
                <w:szCs w:val="24"/>
                <w:lang w:val="lt-LT"/>
              </w:rPr>
            </w:pPr>
            <w:r>
              <w:rPr>
                <w:sz w:val="24"/>
                <w:szCs w:val="24"/>
                <w:lang w:val="lt-LT"/>
              </w:rPr>
              <w:t xml:space="preserve">0,001 </w:t>
            </w:r>
          </w:p>
        </w:tc>
      </w:tr>
      <w:tr w:rsidR="00621CBE">
        <w:tc>
          <w:tcPr>
            <w:tcW w:w="3709" w:type="dxa"/>
          </w:tcPr>
          <w:p w:rsidR="00621CBE" w:rsidRDefault="00082666">
            <w:pPr>
              <w:pStyle w:val="NoSpacing"/>
              <w:tabs>
                <w:tab w:val="left" w:pos="851"/>
              </w:tabs>
              <w:jc w:val="both"/>
              <w:rPr>
                <w:sz w:val="24"/>
                <w:szCs w:val="24"/>
                <w:lang w:val="lt-LT"/>
              </w:rPr>
            </w:pPr>
            <w:r>
              <w:rPr>
                <w:sz w:val="24"/>
                <w:szCs w:val="24"/>
                <w:lang w:val="lt-LT"/>
              </w:rPr>
              <w:t>3.13. Minkštų baldų, bet kokiu paviršiumi valymas. Kėdžių, krėslų, sofų ir kitų minkštų baldų bet kokiu paviršiumi (gobeleno, odos, kita) valymas specialiomis priemonėmis</w:t>
            </w:r>
            <w:r>
              <w:rPr>
                <w:sz w:val="24"/>
                <w:szCs w:val="24"/>
                <w:lang w:val="lt-LT"/>
              </w:rPr>
              <w:tab/>
            </w:r>
          </w:p>
        </w:tc>
        <w:tc>
          <w:tcPr>
            <w:tcW w:w="1418" w:type="dxa"/>
          </w:tcPr>
          <w:p w:rsidR="00621CBE" w:rsidRDefault="00082666">
            <w:pPr>
              <w:ind w:left="57"/>
              <w:jc w:val="center"/>
              <w:rPr>
                <w:sz w:val="24"/>
                <w:szCs w:val="24"/>
                <w:lang w:val="lt-LT"/>
              </w:rPr>
            </w:pPr>
            <w:r>
              <w:rPr>
                <w:sz w:val="24"/>
                <w:szCs w:val="24"/>
                <w:lang w:val="lt-LT"/>
              </w:rPr>
              <w:t xml:space="preserve">1 </w:t>
            </w:r>
            <w:r>
              <w:rPr>
                <w:sz w:val="24"/>
                <w:szCs w:val="24"/>
                <w:lang w:val="lt-LT"/>
              </w:rPr>
              <w:t>m²</w:t>
            </w:r>
          </w:p>
        </w:tc>
        <w:tc>
          <w:tcPr>
            <w:tcW w:w="1275" w:type="dxa"/>
          </w:tcPr>
          <w:p w:rsidR="00621CBE" w:rsidRDefault="00082666">
            <w:pPr>
              <w:ind w:left="57"/>
              <w:jc w:val="center"/>
              <w:rPr>
                <w:sz w:val="24"/>
                <w:szCs w:val="24"/>
                <w:lang w:val="lt-LT"/>
              </w:rPr>
            </w:pPr>
            <w:r>
              <w:rPr>
                <w:sz w:val="24"/>
                <w:szCs w:val="24"/>
                <w:lang w:val="lt-LT"/>
              </w:rPr>
              <w:t>4 kartai/ sutarties galiojimo laikotarpį</w:t>
            </w:r>
          </w:p>
        </w:tc>
        <w:tc>
          <w:tcPr>
            <w:tcW w:w="1702" w:type="dxa"/>
          </w:tcPr>
          <w:p w:rsidR="00621CBE" w:rsidRDefault="00082666">
            <w:pPr>
              <w:pStyle w:val="NoSpacing"/>
              <w:tabs>
                <w:tab w:val="left" w:pos="851"/>
              </w:tabs>
              <w:jc w:val="center"/>
              <w:rPr>
                <w:sz w:val="24"/>
                <w:szCs w:val="24"/>
                <w:lang w:val="lt-LT"/>
              </w:rPr>
            </w:pPr>
            <w:r>
              <w:rPr>
                <w:sz w:val="24"/>
                <w:szCs w:val="24"/>
                <w:lang w:val="lt-LT"/>
              </w:rPr>
              <w:t>2 m</w:t>
            </w:r>
            <w:r>
              <w:rPr>
                <w:sz w:val="24"/>
                <w:szCs w:val="24"/>
                <w:vertAlign w:val="superscript"/>
                <w:lang w:val="lt-LT"/>
              </w:rPr>
              <w:t>2</w:t>
            </w:r>
            <w:r>
              <w:rPr>
                <w:sz w:val="24"/>
                <w:szCs w:val="24"/>
                <w:lang w:val="lt-LT"/>
              </w:rPr>
              <w:t xml:space="preserve"> vieno</w:t>
            </w:r>
            <w:r>
              <w:rPr>
                <w:sz w:val="24"/>
                <w:szCs w:val="24"/>
                <w:lang w:val="lt-LT"/>
              </w:rPr>
              <w:t xml:space="preserve"> karto valymas</w:t>
            </w:r>
          </w:p>
        </w:tc>
        <w:tc>
          <w:tcPr>
            <w:tcW w:w="1418" w:type="dxa"/>
          </w:tcPr>
          <w:p w:rsidR="00621CBE" w:rsidRDefault="00082666">
            <w:pPr>
              <w:pStyle w:val="NoSpacing"/>
              <w:tabs>
                <w:tab w:val="left" w:pos="851"/>
              </w:tabs>
              <w:jc w:val="center"/>
              <w:rPr>
                <w:sz w:val="24"/>
                <w:szCs w:val="24"/>
                <w:lang w:val="lt-LT"/>
              </w:rPr>
            </w:pPr>
            <w:r>
              <w:rPr>
                <w:sz w:val="24"/>
                <w:szCs w:val="24"/>
                <w:lang w:val="lt-LT"/>
              </w:rPr>
              <w:t xml:space="preserve">0,001 </w:t>
            </w:r>
          </w:p>
        </w:tc>
      </w:tr>
      <w:tr w:rsidR="00621CBE">
        <w:tc>
          <w:tcPr>
            <w:tcW w:w="3709" w:type="dxa"/>
          </w:tcPr>
          <w:p w:rsidR="00621CBE" w:rsidRDefault="00082666">
            <w:pPr>
              <w:pStyle w:val="NoSpacing"/>
              <w:tabs>
                <w:tab w:val="left" w:pos="851"/>
              </w:tabs>
              <w:jc w:val="both"/>
              <w:rPr>
                <w:sz w:val="24"/>
                <w:szCs w:val="24"/>
                <w:lang w:val="lt-LT"/>
              </w:rPr>
            </w:pPr>
            <w:r>
              <w:rPr>
                <w:sz w:val="24"/>
                <w:szCs w:val="24"/>
                <w:lang w:val="lt-LT"/>
              </w:rPr>
              <w:t>3.16. Vertikalių žaliuzių ir roletų valymas, ne cheminiu būdu (sausas nusiurbimas ir / arba drėgnas nuvalymas, neišvežant žaliuzių ir / ar roletų iš Užsakovo objekto).</w:t>
            </w:r>
            <w:r>
              <w:rPr>
                <w:sz w:val="24"/>
                <w:szCs w:val="24"/>
                <w:lang w:val="lt-LT"/>
              </w:rPr>
              <w:tab/>
            </w:r>
            <w:r>
              <w:rPr>
                <w:sz w:val="24"/>
                <w:szCs w:val="24"/>
                <w:lang w:val="lt-LT"/>
              </w:rPr>
              <w:tab/>
            </w:r>
          </w:p>
        </w:tc>
        <w:tc>
          <w:tcPr>
            <w:tcW w:w="1418" w:type="dxa"/>
          </w:tcPr>
          <w:p w:rsidR="00621CBE" w:rsidRDefault="00082666">
            <w:pPr>
              <w:ind w:left="57"/>
              <w:jc w:val="center"/>
              <w:rPr>
                <w:sz w:val="24"/>
                <w:szCs w:val="24"/>
                <w:lang w:val="lt-LT"/>
              </w:rPr>
            </w:pPr>
            <w:r>
              <w:rPr>
                <w:sz w:val="24"/>
                <w:szCs w:val="24"/>
                <w:lang w:val="lt-LT"/>
              </w:rPr>
              <w:t>1 m²</w:t>
            </w:r>
          </w:p>
        </w:tc>
        <w:tc>
          <w:tcPr>
            <w:tcW w:w="1275" w:type="dxa"/>
          </w:tcPr>
          <w:p w:rsidR="00621CBE" w:rsidRDefault="00082666">
            <w:pPr>
              <w:ind w:left="57"/>
              <w:jc w:val="center"/>
              <w:rPr>
                <w:sz w:val="24"/>
                <w:szCs w:val="24"/>
                <w:lang w:val="lt-LT"/>
              </w:rPr>
            </w:pPr>
            <w:r>
              <w:rPr>
                <w:sz w:val="24"/>
                <w:szCs w:val="24"/>
                <w:lang w:val="lt-LT"/>
              </w:rPr>
              <w:t>12 kartai/ sutarties galiojimo laikotarpį</w:t>
            </w:r>
          </w:p>
        </w:tc>
        <w:tc>
          <w:tcPr>
            <w:tcW w:w="1702" w:type="dxa"/>
          </w:tcPr>
          <w:p w:rsidR="00621CBE" w:rsidRDefault="00082666">
            <w:pPr>
              <w:pStyle w:val="NoSpacing"/>
              <w:tabs>
                <w:tab w:val="left" w:pos="851"/>
              </w:tabs>
              <w:jc w:val="center"/>
              <w:rPr>
                <w:sz w:val="24"/>
                <w:szCs w:val="24"/>
                <w:lang w:val="lt-LT"/>
              </w:rPr>
            </w:pPr>
            <w:r>
              <w:rPr>
                <w:sz w:val="24"/>
                <w:szCs w:val="24"/>
                <w:lang w:val="lt-LT"/>
              </w:rPr>
              <w:t>20 m</w:t>
            </w:r>
            <w:r>
              <w:rPr>
                <w:sz w:val="24"/>
                <w:szCs w:val="24"/>
                <w:vertAlign w:val="superscript"/>
                <w:lang w:val="lt-LT"/>
              </w:rPr>
              <w:t>2</w:t>
            </w:r>
            <w:r>
              <w:rPr>
                <w:sz w:val="24"/>
                <w:szCs w:val="24"/>
                <w:lang w:val="lt-LT"/>
              </w:rPr>
              <w:t xml:space="preserve"> </w:t>
            </w:r>
            <w:r>
              <w:rPr>
                <w:sz w:val="24"/>
                <w:szCs w:val="24"/>
                <w:lang w:val="lt-LT"/>
              </w:rPr>
              <w:t>vieno karto valymas</w:t>
            </w:r>
          </w:p>
        </w:tc>
        <w:tc>
          <w:tcPr>
            <w:tcW w:w="1418" w:type="dxa"/>
          </w:tcPr>
          <w:p w:rsidR="00621CBE" w:rsidRDefault="00082666">
            <w:pPr>
              <w:pStyle w:val="NoSpacing"/>
              <w:tabs>
                <w:tab w:val="left" w:pos="851"/>
              </w:tabs>
              <w:jc w:val="center"/>
              <w:rPr>
                <w:sz w:val="24"/>
                <w:szCs w:val="24"/>
                <w:lang w:val="lt-LT"/>
              </w:rPr>
            </w:pPr>
            <w:r>
              <w:rPr>
                <w:sz w:val="24"/>
                <w:szCs w:val="24"/>
                <w:lang w:val="lt-LT"/>
              </w:rPr>
              <w:t xml:space="preserve">0,001 </w:t>
            </w:r>
          </w:p>
        </w:tc>
      </w:tr>
      <w:tr w:rsidR="00621CBE">
        <w:tc>
          <w:tcPr>
            <w:tcW w:w="3709" w:type="dxa"/>
          </w:tcPr>
          <w:p w:rsidR="00621CBE" w:rsidRDefault="00082666">
            <w:pPr>
              <w:pStyle w:val="NoSpacing"/>
              <w:tabs>
                <w:tab w:val="left" w:pos="851"/>
              </w:tabs>
              <w:jc w:val="both"/>
              <w:rPr>
                <w:sz w:val="24"/>
                <w:szCs w:val="24"/>
                <w:lang w:val="lt-LT"/>
              </w:rPr>
            </w:pPr>
            <w:r>
              <w:rPr>
                <w:sz w:val="24"/>
                <w:szCs w:val="24"/>
                <w:lang w:val="lt-LT"/>
              </w:rPr>
              <w:t>3.18. Šviestuvų tvirtinamų (įleidžiamų) lubose valymas. Valoma šviestuvo išorinė bei vidinė dalis.</w:t>
            </w:r>
            <w:r>
              <w:rPr>
                <w:sz w:val="24"/>
                <w:szCs w:val="24"/>
                <w:lang w:val="lt-LT"/>
              </w:rPr>
              <w:tab/>
            </w:r>
            <w:r>
              <w:rPr>
                <w:sz w:val="24"/>
                <w:szCs w:val="24"/>
                <w:lang w:val="lt-LT"/>
              </w:rPr>
              <w:tab/>
            </w:r>
          </w:p>
        </w:tc>
        <w:tc>
          <w:tcPr>
            <w:tcW w:w="1418" w:type="dxa"/>
          </w:tcPr>
          <w:p w:rsidR="00621CBE" w:rsidRDefault="00082666">
            <w:pPr>
              <w:ind w:left="57"/>
              <w:jc w:val="center"/>
              <w:rPr>
                <w:sz w:val="24"/>
                <w:szCs w:val="24"/>
                <w:lang w:val="lt-LT"/>
              </w:rPr>
            </w:pPr>
            <w:r>
              <w:rPr>
                <w:sz w:val="24"/>
                <w:szCs w:val="24"/>
                <w:lang w:val="lt-LT"/>
              </w:rPr>
              <w:t>1 vnt.</w:t>
            </w:r>
          </w:p>
        </w:tc>
        <w:tc>
          <w:tcPr>
            <w:tcW w:w="1275" w:type="dxa"/>
          </w:tcPr>
          <w:p w:rsidR="00621CBE" w:rsidRDefault="00082666">
            <w:pPr>
              <w:ind w:left="57"/>
              <w:jc w:val="center"/>
              <w:rPr>
                <w:sz w:val="24"/>
                <w:szCs w:val="24"/>
                <w:lang w:val="lt-LT"/>
              </w:rPr>
            </w:pPr>
            <w:r>
              <w:rPr>
                <w:sz w:val="24"/>
                <w:szCs w:val="24"/>
                <w:lang w:val="lt-LT"/>
              </w:rPr>
              <w:t>2 kartai/ sutarties galiojimo laikotarpį</w:t>
            </w:r>
          </w:p>
        </w:tc>
        <w:tc>
          <w:tcPr>
            <w:tcW w:w="1702" w:type="dxa"/>
          </w:tcPr>
          <w:p w:rsidR="00621CBE" w:rsidRDefault="00082666">
            <w:pPr>
              <w:pStyle w:val="NoSpacing"/>
              <w:tabs>
                <w:tab w:val="left" w:pos="851"/>
              </w:tabs>
              <w:jc w:val="center"/>
              <w:rPr>
                <w:sz w:val="24"/>
                <w:szCs w:val="24"/>
                <w:lang w:val="lt-LT"/>
              </w:rPr>
            </w:pPr>
            <w:r>
              <w:rPr>
                <w:sz w:val="24"/>
                <w:szCs w:val="24"/>
                <w:lang w:val="lt-LT"/>
              </w:rPr>
              <w:t>17 vnt. vien</w:t>
            </w:r>
            <w:r>
              <w:rPr>
                <w:sz w:val="24"/>
                <w:szCs w:val="24"/>
                <w:lang w:val="lt-LT"/>
              </w:rPr>
              <w:t>o karto valymas</w:t>
            </w:r>
          </w:p>
        </w:tc>
        <w:tc>
          <w:tcPr>
            <w:tcW w:w="1418" w:type="dxa"/>
          </w:tcPr>
          <w:p w:rsidR="00621CBE" w:rsidRDefault="00082666">
            <w:pPr>
              <w:pStyle w:val="NoSpacing"/>
              <w:tabs>
                <w:tab w:val="left" w:pos="851"/>
              </w:tabs>
              <w:jc w:val="center"/>
              <w:rPr>
                <w:sz w:val="24"/>
                <w:szCs w:val="24"/>
                <w:lang w:val="lt-LT"/>
              </w:rPr>
            </w:pPr>
            <w:r>
              <w:rPr>
                <w:sz w:val="24"/>
                <w:szCs w:val="24"/>
                <w:lang w:val="lt-LT"/>
              </w:rPr>
              <w:t xml:space="preserve">0,001 </w:t>
            </w:r>
          </w:p>
        </w:tc>
      </w:tr>
      <w:tr w:rsidR="00621CBE">
        <w:tc>
          <w:tcPr>
            <w:tcW w:w="3709" w:type="dxa"/>
          </w:tcPr>
          <w:p w:rsidR="00621CBE" w:rsidRDefault="00082666">
            <w:pPr>
              <w:pStyle w:val="NoSpacing"/>
              <w:tabs>
                <w:tab w:val="left" w:pos="851"/>
              </w:tabs>
              <w:jc w:val="both"/>
              <w:rPr>
                <w:sz w:val="24"/>
                <w:szCs w:val="24"/>
                <w:lang w:val="lt-LT"/>
              </w:rPr>
            </w:pPr>
            <w:r>
              <w:rPr>
                <w:sz w:val="24"/>
                <w:szCs w:val="24"/>
                <w:lang w:val="lt-LT"/>
              </w:rPr>
              <w:t xml:space="preserve">3.19. Langų, stoglangių, stogo ir fasado stiklinės dalies valymas. Valoma nenaudojant specialios įrangos (keltuvų, alpinizmo įrangos). Valoma specialiomis priemonėmis, įskaitant rėmus, palanges bei stogines. Langų valymo </w:t>
            </w:r>
            <w:r>
              <w:rPr>
                <w:sz w:val="24"/>
                <w:szCs w:val="24"/>
                <w:lang w:val="lt-LT"/>
              </w:rPr>
              <w:t>plotas nurodomas iš vienos pusės. Jei reikalingas langų valymas iš abiejų pusių turi būti nurodomas dvigubas langų valymo plotas. Jei langai yra dvigubo rėmo ir Užsakovas pageidauja, kad langai būtų valomi iš vidaus (atsukus rėmą) Užsakovas turi nurodyti k</w:t>
            </w:r>
            <w:r>
              <w:rPr>
                <w:sz w:val="24"/>
                <w:szCs w:val="24"/>
                <w:lang w:val="lt-LT"/>
              </w:rPr>
              <w:t>eturgubą tokių langų valymo plotą.</w:t>
            </w:r>
            <w:r>
              <w:rPr>
                <w:sz w:val="24"/>
                <w:szCs w:val="24"/>
                <w:lang w:val="lt-LT"/>
              </w:rPr>
              <w:tab/>
            </w:r>
            <w:r>
              <w:rPr>
                <w:sz w:val="24"/>
                <w:szCs w:val="24"/>
                <w:lang w:val="lt-LT"/>
              </w:rPr>
              <w:tab/>
            </w:r>
          </w:p>
        </w:tc>
        <w:tc>
          <w:tcPr>
            <w:tcW w:w="1418" w:type="dxa"/>
          </w:tcPr>
          <w:p w:rsidR="00621CBE" w:rsidRDefault="00082666">
            <w:pPr>
              <w:ind w:left="57"/>
              <w:jc w:val="center"/>
              <w:rPr>
                <w:sz w:val="24"/>
                <w:szCs w:val="24"/>
                <w:lang w:val="lt-LT"/>
              </w:rPr>
            </w:pPr>
            <w:r>
              <w:rPr>
                <w:sz w:val="24"/>
                <w:szCs w:val="24"/>
                <w:lang w:val="lt-LT"/>
              </w:rPr>
              <w:t>1 m²</w:t>
            </w:r>
          </w:p>
        </w:tc>
        <w:tc>
          <w:tcPr>
            <w:tcW w:w="1275" w:type="dxa"/>
          </w:tcPr>
          <w:p w:rsidR="00621CBE" w:rsidRDefault="00082666">
            <w:pPr>
              <w:ind w:left="57"/>
              <w:jc w:val="center"/>
              <w:rPr>
                <w:sz w:val="24"/>
                <w:szCs w:val="24"/>
                <w:lang w:val="lt-LT"/>
              </w:rPr>
            </w:pPr>
            <w:r>
              <w:rPr>
                <w:sz w:val="24"/>
                <w:szCs w:val="24"/>
                <w:lang w:val="lt-LT"/>
              </w:rPr>
              <w:t>4 kartai/ sutarties galiojimo laikotarpį</w:t>
            </w:r>
          </w:p>
        </w:tc>
        <w:tc>
          <w:tcPr>
            <w:tcW w:w="1702" w:type="dxa"/>
          </w:tcPr>
          <w:p w:rsidR="00621CBE" w:rsidRDefault="00082666">
            <w:pPr>
              <w:pStyle w:val="NoSpacing"/>
              <w:tabs>
                <w:tab w:val="left" w:pos="851"/>
              </w:tabs>
              <w:jc w:val="center"/>
              <w:rPr>
                <w:sz w:val="24"/>
                <w:szCs w:val="24"/>
                <w:lang w:val="lt-LT"/>
              </w:rPr>
            </w:pPr>
            <w:r>
              <w:rPr>
                <w:sz w:val="24"/>
                <w:szCs w:val="24"/>
                <w:lang w:val="lt-LT"/>
              </w:rPr>
              <w:t>60 m</w:t>
            </w:r>
            <w:r>
              <w:rPr>
                <w:sz w:val="24"/>
                <w:szCs w:val="24"/>
                <w:vertAlign w:val="superscript"/>
                <w:lang w:val="lt-LT"/>
              </w:rPr>
              <w:t>2</w:t>
            </w:r>
            <w:r>
              <w:rPr>
                <w:sz w:val="24"/>
                <w:szCs w:val="24"/>
                <w:lang w:val="lt-LT"/>
              </w:rPr>
              <w:t xml:space="preserve"> </w:t>
            </w:r>
            <w:r>
              <w:rPr>
                <w:sz w:val="24"/>
                <w:szCs w:val="24"/>
                <w:lang w:val="lt-LT"/>
              </w:rPr>
              <w:t>vieno karto valymas</w:t>
            </w:r>
          </w:p>
        </w:tc>
        <w:tc>
          <w:tcPr>
            <w:tcW w:w="1418" w:type="dxa"/>
          </w:tcPr>
          <w:p w:rsidR="00621CBE" w:rsidRDefault="00082666">
            <w:pPr>
              <w:pStyle w:val="NoSpacing"/>
              <w:tabs>
                <w:tab w:val="left" w:pos="851"/>
              </w:tabs>
              <w:jc w:val="center"/>
              <w:rPr>
                <w:sz w:val="24"/>
                <w:szCs w:val="24"/>
                <w:lang w:val="lt-LT"/>
              </w:rPr>
            </w:pPr>
            <w:r>
              <w:rPr>
                <w:sz w:val="24"/>
                <w:szCs w:val="24"/>
                <w:lang w:val="lt-LT"/>
              </w:rPr>
              <w:t xml:space="preserve">0,001 </w:t>
            </w:r>
          </w:p>
        </w:tc>
      </w:tr>
      <w:tr w:rsidR="00621CBE">
        <w:tc>
          <w:tcPr>
            <w:tcW w:w="3709" w:type="dxa"/>
          </w:tcPr>
          <w:p w:rsidR="00621CBE" w:rsidRDefault="00082666">
            <w:pPr>
              <w:pStyle w:val="NoSpacing"/>
              <w:tabs>
                <w:tab w:val="left" w:pos="851"/>
              </w:tabs>
              <w:jc w:val="both"/>
              <w:rPr>
                <w:sz w:val="24"/>
                <w:szCs w:val="24"/>
                <w:lang w:val="lt-LT"/>
              </w:rPr>
            </w:pPr>
            <w:r>
              <w:rPr>
                <w:sz w:val="24"/>
                <w:szCs w:val="24"/>
                <w:lang w:val="lt-LT"/>
              </w:rPr>
              <w:t xml:space="preserve">3.40. Higienos priemonių (tualetinio popieriaus, popierinių rankšluosčių, skysto muilo) laikiklio įrengimas </w:t>
            </w:r>
            <w:r>
              <w:rPr>
                <w:sz w:val="24"/>
                <w:szCs w:val="24"/>
                <w:lang w:val="lt-LT"/>
              </w:rPr>
              <w:lastRenderedPageBreak/>
              <w:t>(sumontavimas). Įre</w:t>
            </w:r>
            <w:r>
              <w:rPr>
                <w:sz w:val="24"/>
                <w:szCs w:val="24"/>
                <w:lang w:val="lt-LT"/>
              </w:rPr>
              <w:t>ngiami laikikliai pagal Užsakovo poreikį higienos priemonėms laikyti. Laikiklių kaina turi būti įskaičiuota į laikiklio įrengimo kainą.</w:t>
            </w:r>
          </w:p>
        </w:tc>
        <w:tc>
          <w:tcPr>
            <w:tcW w:w="1418" w:type="dxa"/>
          </w:tcPr>
          <w:p w:rsidR="00621CBE" w:rsidRDefault="00082666">
            <w:pPr>
              <w:ind w:left="57"/>
              <w:jc w:val="center"/>
              <w:rPr>
                <w:sz w:val="24"/>
                <w:szCs w:val="24"/>
                <w:lang w:val="lt-LT"/>
              </w:rPr>
            </w:pPr>
            <w:r>
              <w:rPr>
                <w:sz w:val="24"/>
                <w:szCs w:val="24"/>
                <w:lang w:val="lt-LT"/>
              </w:rPr>
              <w:lastRenderedPageBreak/>
              <w:t>1 vnt.</w:t>
            </w:r>
          </w:p>
        </w:tc>
        <w:tc>
          <w:tcPr>
            <w:tcW w:w="1275" w:type="dxa"/>
          </w:tcPr>
          <w:p w:rsidR="00621CBE" w:rsidRDefault="00082666">
            <w:pPr>
              <w:ind w:left="57"/>
              <w:jc w:val="center"/>
              <w:rPr>
                <w:sz w:val="24"/>
                <w:szCs w:val="24"/>
                <w:lang w:val="lt-LT"/>
              </w:rPr>
            </w:pPr>
            <w:r>
              <w:rPr>
                <w:sz w:val="24"/>
                <w:szCs w:val="24"/>
                <w:lang w:val="lt-LT"/>
              </w:rPr>
              <w:t xml:space="preserve">1 kartai/ sutarties </w:t>
            </w:r>
            <w:r>
              <w:rPr>
                <w:sz w:val="24"/>
                <w:szCs w:val="24"/>
                <w:lang w:val="lt-LT"/>
              </w:rPr>
              <w:lastRenderedPageBreak/>
              <w:t>galiojimo laikotarpį</w:t>
            </w:r>
          </w:p>
        </w:tc>
        <w:tc>
          <w:tcPr>
            <w:tcW w:w="1702" w:type="dxa"/>
          </w:tcPr>
          <w:p w:rsidR="00621CBE" w:rsidRDefault="00082666">
            <w:pPr>
              <w:pStyle w:val="NoSpacing"/>
              <w:tabs>
                <w:tab w:val="left" w:pos="851"/>
              </w:tabs>
              <w:jc w:val="center"/>
              <w:rPr>
                <w:sz w:val="24"/>
                <w:szCs w:val="24"/>
                <w:lang w:val="lt-LT"/>
              </w:rPr>
            </w:pPr>
            <w:r>
              <w:rPr>
                <w:sz w:val="24"/>
                <w:szCs w:val="24"/>
                <w:lang w:val="lt-LT"/>
              </w:rPr>
              <w:lastRenderedPageBreak/>
              <w:t>6 vnt. laikiklių skaičius</w:t>
            </w:r>
          </w:p>
        </w:tc>
        <w:tc>
          <w:tcPr>
            <w:tcW w:w="1418" w:type="dxa"/>
          </w:tcPr>
          <w:p w:rsidR="00621CBE" w:rsidRDefault="00082666">
            <w:pPr>
              <w:pStyle w:val="NoSpacing"/>
              <w:tabs>
                <w:tab w:val="left" w:pos="851"/>
              </w:tabs>
              <w:jc w:val="center"/>
              <w:rPr>
                <w:sz w:val="24"/>
                <w:szCs w:val="24"/>
                <w:lang w:val="lt-LT"/>
              </w:rPr>
            </w:pPr>
            <w:r>
              <w:rPr>
                <w:sz w:val="24"/>
                <w:szCs w:val="24"/>
                <w:lang w:val="lt-LT"/>
              </w:rPr>
              <w:t xml:space="preserve">13,066 </w:t>
            </w:r>
          </w:p>
        </w:tc>
      </w:tr>
      <w:tr w:rsidR="00621CBE">
        <w:tc>
          <w:tcPr>
            <w:tcW w:w="3709" w:type="dxa"/>
          </w:tcPr>
          <w:p w:rsidR="00621CBE" w:rsidRDefault="00082666">
            <w:pPr>
              <w:pStyle w:val="NoSpacing"/>
              <w:tabs>
                <w:tab w:val="left" w:pos="851"/>
              </w:tabs>
              <w:jc w:val="both"/>
              <w:rPr>
                <w:sz w:val="24"/>
                <w:szCs w:val="24"/>
                <w:lang w:val="lt-LT"/>
              </w:rPr>
            </w:pPr>
            <w:r>
              <w:rPr>
                <w:sz w:val="24"/>
                <w:szCs w:val="24"/>
                <w:lang w:val="lt-LT"/>
              </w:rPr>
              <w:lastRenderedPageBreak/>
              <w:t>4.</w:t>
            </w:r>
            <w:r>
              <w:rPr>
                <w:sz w:val="24"/>
                <w:szCs w:val="24"/>
                <w:lang w:val="lt-LT"/>
              </w:rPr>
              <w:t xml:space="preserve">1. A higienos reikmenų </w:t>
            </w:r>
            <w:r>
              <w:rPr>
                <w:sz w:val="24"/>
                <w:szCs w:val="24"/>
                <w:lang w:val="lt-LT"/>
              </w:rPr>
              <w:t>ir priemonių krepšelis.</w:t>
            </w:r>
            <w:r>
              <w:rPr>
                <w:sz w:val="24"/>
                <w:szCs w:val="24"/>
                <w:lang w:val="lt-LT"/>
              </w:rPr>
              <w:tab/>
            </w:r>
            <w:r>
              <w:rPr>
                <w:sz w:val="24"/>
                <w:szCs w:val="24"/>
                <w:lang w:val="lt-LT"/>
              </w:rPr>
              <w:tab/>
            </w:r>
          </w:p>
        </w:tc>
        <w:tc>
          <w:tcPr>
            <w:tcW w:w="1418" w:type="dxa"/>
          </w:tcPr>
          <w:p w:rsidR="00621CBE" w:rsidRDefault="00082666">
            <w:pPr>
              <w:ind w:left="57"/>
              <w:jc w:val="center"/>
              <w:rPr>
                <w:sz w:val="24"/>
                <w:szCs w:val="24"/>
                <w:lang w:val="lt-LT"/>
              </w:rPr>
            </w:pPr>
            <w:r>
              <w:rPr>
                <w:sz w:val="24"/>
                <w:szCs w:val="24"/>
                <w:lang w:val="lt-LT"/>
              </w:rPr>
              <w:t>1 (vieno) asmens 1 (vieno) mėnesio aprūpinimas</w:t>
            </w:r>
          </w:p>
        </w:tc>
        <w:tc>
          <w:tcPr>
            <w:tcW w:w="1275" w:type="dxa"/>
          </w:tcPr>
          <w:p w:rsidR="00621CBE" w:rsidRDefault="00621CBE">
            <w:pPr>
              <w:ind w:left="57"/>
              <w:jc w:val="center"/>
              <w:rPr>
                <w:sz w:val="24"/>
                <w:szCs w:val="24"/>
                <w:lang w:val="lt-LT"/>
              </w:rPr>
            </w:pPr>
          </w:p>
        </w:tc>
        <w:tc>
          <w:tcPr>
            <w:tcW w:w="1702" w:type="dxa"/>
          </w:tcPr>
          <w:p w:rsidR="00621CBE" w:rsidRDefault="00082666">
            <w:pPr>
              <w:pStyle w:val="NoSpacing"/>
              <w:tabs>
                <w:tab w:val="left" w:pos="851"/>
              </w:tabs>
              <w:jc w:val="center"/>
              <w:rPr>
                <w:sz w:val="24"/>
                <w:szCs w:val="24"/>
                <w:lang w:val="lt-LT"/>
              </w:rPr>
            </w:pPr>
            <w:r>
              <w:rPr>
                <w:sz w:val="24"/>
                <w:szCs w:val="24"/>
                <w:lang w:val="lt-LT"/>
              </w:rPr>
              <w:t>4 asmenų vieno mėnesio aprūpinimas</w:t>
            </w:r>
          </w:p>
        </w:tc>
        <w:tc>
          <w:tcPr>
            <w:tcW w:w="1418" w:type="dxa"/>
          </w:tcPr>
          <w:p w:rsidR="00621CBE" w:rsidRDefault="00082666">
            <w:pPr>
              <w:pStyle w:val="NoSpacing"/>
              <w:tabs>
                <w:tab w:val="left" w:pos="851"/>
              </w:tabs>
              <w:jc w:val="center"/>
              <w:rPr>
                <w:sz w:val="24"/>
                <w:szCs w:val="24"/>
                <w:lang w:val="lt-LT"/>
              </w:rPr>
            </w:pPr>
            <w:r>
              <w:rPr>
                <w:sz w:val="24"/>
                <w:szCs w:val="24"/>
                <w:lang w:val="lt-LT"/>
              </w:rPr>
              <w:t>12,380</w:t>
            </w:r>
            <w:r>
              <w:rPr>
                <w:sz w:val="24"/>
                <w:szCs w:val="24"/>
                <w:lang w:val="lt-LT"/>
              </w:rPr>
              <w:t xml:space="preserve"> EUR be PVM</w:t>
            </w:r>
          </w:p>
        </w:tc>
      </w:tr>
    </w:tbl>
    <w:p w:rsidR="00621CBE" w:rsidRDefault="00621CBE">
      <w:pPr>
        <w:tabs>
          <w:tab w:val="left" w:pos="851"/>
        </w:tabs>
        <w:spacing w:line="276" w:lineRule="auto"/>
        <w:jc w:val="both"/>
        <w:rPr>
          <w:kern w:val="2"/>
          <w:sz w:val="24"/>
          <w:szCs w:val="24"/>
          <w:lang w:val="lt-LT"/>
        </w:rPr>
      </w:pPr>
    </w:p>
    <w:p w:rsidR="00621CBE" w:rsidRDefault="00082666">
      <w:pPr>
        <w:tabs>
          <w:tab w:val="left" w:pos="851"/>
        </w:tabs>
        <w:ind w:firstLine="567"/>
        <w:jc w:val="both"/>
        <w:rPr>
          <w:sz w:val="24"/>
          <w:szCs w:val="24"/>
          <w:lang w:val="lt-LT"/>
        </w:rPr>
      </w:pPr>
      <w:r>
        <w:rPr>
          <w:kern w:val="2"/>
          <w:sz w:val="24"/>
          <w:szCs w:val="24"/>
          <w:lang w:val="lt-LT"/>
        </w:rPr>
        <w:t>2. Pakeisti Pradinės Pirkimo Sutarties vertę vadovaujantis Sutartyje nustatytomis sąlygomis ir ją išdėstyti taip:</w:t>
      </w:r>
      <w:r>
        <w:rPr>
          <w:sz w:val="24"/>
          <w:szCs w:val="24"/>
          <w:lang w:val="lt-LT"/>
        </w:rPr>
        <w:t xml:space="preserve"> Pradinės Pirkimo sutarties vertė </w:t>
      </w:r>
      <w:r>
        <w:rPr>
          <w:sz w:val="24"/>
          <w:szCs w:val="24"/>
          <w:lang w:val="lt-LT"/>
        </w:rPr>
        <w:t>–</w:t>
      </w:r>
      <w:r>
        <w:rPr>
          <w:sz w:val="24"/>
          <w:szCs w:val="24"/>
          <w:lang w:val="lt-LT"/>
        </w:rPr>
        <w:t xml:space="preserve"> 10798,02 Eur be PVM.</w:t>
      </w:r>
    </w:p>
    <w:p w:rsidR="00621CBE" w:rsidRDefault="00082666">
      <w:pPr>
        <w:tabs>
          <w:tab w:val="left" w:pos="851"/>
        </w:tabs>
        <w:ind w:firstLine="567"/>
        <w:jc w:val="both"/>
        <w:rPr>
          <w:sz w:val="24"/>
          <w:szCs w:val="24"/>
          <w:lang w:val="lt-LT" w:eastAsia="zh-CN"/>
        </w:rPr>
      </w:pPr>
      <w:r>
        <w:rPr>
          <w:sz w:val="24"/>
          <w:szCs w:val="24"/>
          <w:lang w:val="lt-LT"/>
        </w:rPr>
        <w:t xml:space="preserve">3. </w:t>
      </w:r>
      <w:r>
        <w:rPr>
          <w:sz w:val="24"/>
          <w:szCs w:val="24"/>
          <w:lang w:val="lt-LT"/>
        </w:rPr>
        <w:t>Susitarimas įsigalioja</w:t>
      </w:r>
      <w:r>
        <w:rPr>
          <w:sz w:val="24"/>
          <w:szCs w:val="24"/>
          <w:lang w:val="lt-LT"/>
        </w:rPr>
        <w:t xml:space="preserve"> nuo 2026 m. sausio 20 d.</w:t>
      </w:r>
    </w:p>
    <w:p w:rsidR="00621CBE" w:rsidRDefault="00082666">
      <w:pPr>
        <w:tabs>
          <w:tab w:val="left" w:pos="851"/>
        </w:tabs>
        <w:ind w:firstLine="567"/>
        <w:jc w:val="both"/>
        <w:rPr>
          <w:kern w:val="2"/>
          <w:sz w:val="24"/>
          <w:szCs w:val="24"/>
          <w:lang w:val="lt-LT"/>
        </w:rPr>
      </w:pPr>
      <w:r>
        <w:rPr>
          <w:kern w:val="2"/>
          <w:sz w:val="24"/>
          <w:szCs w:val="24"/>
          <w:lang w:val="lt-LT"/>
        </w:rPr>
        <w:t>4. Visos kitos Sutarties sąlygos lieka nepakeist</w:t>
      </w:r>
      <w:r>
        <w:rPr>
          <w:kern w:val="2"/>
          <w:sz w:val="24"/>
          <w:szCs w:val="24"/>
          <w:lang w:val="lt-LT"/>
        </w:rPr>
        <w:t>os.</w:t>
      </w:r>
    </w:p>
    <w:p w:rsidR="00621CBE" w:rsidRDefault="00082666">
      <w:pPr>
        <w:tabs>
          <w:tab w:val="left" w:pos="851"/>
        </w:tabs>
        <w:ind w:firstLine="567"/>
        <w:jc w:val="both"/>
        <w:rPr>
          <w:kern w:val="2"/>
          <w:sz w:val="24"/>
          <w:szCs w:val="24"/>
          <w:lang w:val="lt-LT"/>
        </w:rPr>
      </w:pPr>
      <w:r>
        <w:rPr>
          <w:kern w:val="2"/>
          <w:sz w:val="24"/>
          <w:szCs w:val="24"/>
          <w:lang w:val="lt-LT"/>
        </w:rPr>
        <w:t>5. Susitarimas įsigalioja nuo pasirašymo dienos.</w:t>
      </w:r>
    </w:p>
    <w:p w:rsidR="00621CBE" w:rsidRDefault="00082666">
      <w:pPr>
        <w:tabs>
          <w:tab w:val="left" w:pos="851"/>
        </w:tabs>
        <w:ind w:firstLine="567"/>
        <w:jc w:val="both"/>
        <w:rPr>
          <w:kern w:val="2"/>
          <w:sz w:val="24"/>
          <w:szCs w:val="24"/>
          <w:lang w:val="lt-LT"/>
        </w:rPr>
      </w:pPr>
      <w:r>
        <w:rPr>
          <w:kern w:val="2"/>
          <w:sz w:val="24"/>
          <w:szCs w:val="24"/>
          <w:lang w:val="lt-LT"/>
        </w:rPr>
        <w:t xml:space="preserve">6. Susitarimas laikomas neatskiriama Sutarties dalimi. </w:t>
      </w:r>
    </w:p>
    <w:p w:rsidR="00621CBE" w:rsidRDefault="00082666">
      <w:pPr>
        <w:tabs>
          <w:tab w:val="left" w:pos="851"/>
        </w:tabs>
        <w:ind w:firstLine="567"/>
        <w:jc w:val="both"/>
        <w:rPr>
          <w:kern w:val="2"/>
          <w:sz w:val="24"/>
          <w:szCs w:val="24"/>
          <w:lang w:val="lt-LT"/>
        </w:rPr>
      </w:pPr>
      <w:r>
        <w:rPr>
          <w:kern w:val="2"/>
          <w:sz w:val="24"/>
          <w:szCs w:val="24"/>
          <w:lang w:val="lt-LT"/>
        </w:rPr>
        <w:t xml:space="preserve">7. Elektroninės formos Susitarimas, pasirašant jį kvalifikuotais elektroniniais parašais, sudaromas 1 egzemplioriumi. </w:t>
      </w:r>
    </w:p>
    <w:p w:rsidR="00621CBE" w:rsidRDefault="00621CBE">
      <w:pPr>
        <w:pStyle w:val="NoSpacing"/>
        <w:spacing w:line="276" w:lineRule="auto"/>
        <w:ind w:firstLine="567"/>
        <w:jc w:val="both"/>
        <w:rPr>
          <w:sz w:val="24"/>
          <w:szCs w:val="24"/>
          <w:lang w:val="lt-LT"/>
        </w:rPr>
      </w:pPr>
    </w:p>
    <w:p w:rsidR="00621CBE" w:rsidRDefault="00082666">
      <w:pPr>
        <w:pStyle w:val="NoSpacing"/>
        <w:spacing w:line="276" w:lineRule="auto"/>
        <w:ind w:firstLine="567"/>
        <w:jc w:val="both"/>
        <w:rPr>
          <w:sz w:val="24"/>
          <w:szCs w:val="24"/>
          <w:lang w:val="lt-LT"/>
        </w:rPr>
      </w:pPr>
      <w:r>
        <w:rPr>
          <w:sz w:val="24"/>
          <w:szCs w:val="24"/>
          <w:lang w:val="lt-LT"/>
        </w:rPr>
        <w:t xml:space="preserve">Šalių parašai ir </w:t>
      </w:r>
      <w:r>
        <w:rPr>
          <w:sz w:val="24"/>
          <w:szCs w:val="24"/>
          <w:lang w:val="lt-LT"/>
        </w:rPr>
        <w:t>rekvizitai:</w:t>
      </w:r>
    </w:p>
    <w:p w:rsidR="00621CBE" w:rsidRDefault="00082666">
      <w:pPr>
        <w:tabs>
          <w:tab w:val="left" w:pos="1080"/>
        </w:tabs>
        <w:rPr>
          <w:b/>
          <w:sz w:val="24"/>
          <w:szCs w:val="24"/>
          <w:lang w:val="lt-LT"/>
        </w:rPr>
      </w:pPr>
      <w:r>
        <w:rPr>
          <w:b/>
          <w:sz w:val="24"/>
          <w:szCs w:val="24"/>
          <w:lang w:val="lt-LT"/>
        </w:rPr>
        <w:t>Užsakovas:</w:t>
      </w:r>
      <w:r>
        <w:rPr>
          <w:b/>
          <w:sz w:val="24"/>
          <w:szCs w:val="24"/>
          <w:lang w:val="lt-LT"/>
        </w:rPr>
        <w:tab/>
      </w:r>
      <w:r>
        <w:rPr>
          <w:b/>
          <w:sz w:val="24"/>
          <w:szCs w:val="24"/>
          <w:lang w:val="lt-LT"/>
        </w:rPr>
        <w:tab/>
      </w:r>
      <w:r>
        <w:rPr>
          <w:b/>
          <w:sz w:val="24"/>
          <w:szCs w:val="24"/>
          <w:lang w:val="lt-LT"/>
        </w:rPr>
        <w:tab/>
      </w:r>
      <w:r>
        <w:rPr>
          <w:b/>
          <w:sz w:val="24"/>
          <w:szCs w:val="24"/>
          <w:lang w:val="lt-LT"/>
        </w:rPr>
        <w:tab/>
      </w:r>
      <w:r>
        <w:rPr>
          <w:b/>
          <w:sz w:val="24"/>
          <w:szCs w:val="24"/>
          <w:lang w:val="lt-LT"/>
        </w:rPr>
        <w:tab/>
      </w:r>
      <w:r>
        <w:rPr>
          <w:b/>
          <w:sz w:val="24"/>
          <w:szCs w:val="24"/>
          <w:lang w:val="lt-LT"/>
        </w:rPr>
        <w:tab/>
        <w:t>Tiekėjas:</w:t>
      </w:r>
    </w:p>
    <w:p w:rsidR="00621CBE" w:rsidRDefault="00082666">
      <w:pPr>
        <w:rPr>
          <w:rFonts w:eastAsia="Calibri"/>
          <w:b/>
          <w:sz w:val="24"/>
          <w:szCs w:val="24"/>
          <w:lang w:val="lt-LT"/>
        </w:rPr>
      </w:pPr>
      <w:r>
        <w:rPr>
          <w:rFonts w:eastAsia="Calibri"/>
          <w:b/>
          <w:sz w:val="24"/>
          <w:szCs w:val="24"/>
          <w:lang w:val="lt-LT"/>
        </w:rPr>
        <w:t xml:space="preserve">LK LV Įgulų aptarnavimo tarnyba             </w:t>
      </w:r>
      <w:r>
        <w:rPr>
          <w:sz w:val="24"/>
          <w:szCs w:val="24"/>
          <w:lang w:val="lt-LT"/>
        </w:rPr>
        <w:tab/>
      </w:r>
      <w:r>
        <w:rPr>
          <w:b/>
          <w:sz w:val="24"/>
          <w:szCs w:val="24"/>
          <w:lang w:val="lt-LT"/>
        </w:rPr>
        <w:t>UAB „</w:t>
      </w:r>
      <w:proofErr w:type="spellStart"/>
      <w:r>
        <w:rPr>
          <w:b/>
          <w:sz w:val="24"/>
          <w:szCs w:val="24"/>
          <w:lang w:val="lt-LT"/>
        </w:rPr>
        <w:t>Jutarė</w:t>
      </w:r>
      <w:proofErr w:type="spellEnd"/>
      <w:r>
        <w:rPr>
          <w:b/>
          <w:sz w:val="24"/>
          <w:szCs w:val="24"/>
          <w:lang w:val="lt-LT"/>
        </w:rPr>
        <w:t>“</w:t>
      </w:r>
    </w:p>
    <w:p w:rsidR="00621CBE" w:rsidRDefault="00082666">
      <w:pPr>
        <w:rPr>
          <w:rFonts w:eastAsia="Calibri"/>
          <w:sz w:val="24"/>
          <w:szCs w:val="24"/>
          <w:lang w:val="lt-LT"/>
        </w:rPr>
      </w:pPr>
      <w:r>
        <w:rPr>
          <w:rFonts w:eastAsia="Calibri"/>
          <w:sz w:val="24"/>
          <w:szCs w:val="24"/>
          <w:lang w:val="lt-LT"/>
        </w:rPr>
        <w:t>Mindaugo g. 26, LT-03226 Vilnius</w:t>
      </w:r>
      <w:r>
        <w:rPr>
          <w:sz w:val="24"/>
          <w:szCs w:val="24"/>
          <w:lang w:val="lt-LT"/>
        </w:rPr>
        <w:tab/>
      </w:r>
      <w:r>
        <w:rPr>
          <w:sz w:val="24"/>
          <w:szCs w:val="24"/>
          <w:lang w:val="lt-LT"/>
        </w:rPr>
        <w:tab/>
      </w:r>
      <w:r>
        <w:rPr>
          <w:sz w:val="24"/>
          <w:szCs w:val="24"/>
          <w:lang w:val="lt-LT"/>
        </w:rPr>
        <w:tab/>
        <w:t>Ukmergės g. 369A, LT-12142 Vilnius</w:t>
      </w:r>
    </w:p>
    <w:p w:rsidR="00621CBE" w:rsidRDefault="00082666">
      <w:pPr>
        <w:rPr>
          <w:rFonts w:eastAsia="Calibri"/>
          <w:sz w:val="24"/>
          <w:szCs w:val="24"/>
          <w:lang w:val="lt-LT"/>
        </w:rPr>
      </w:pPr>
      <w:r>
        <w:rPr>
          <w:rFonts w:eastAsia="Calibri"/>
          <w:sz w:val="24"/>
          <w:szCs w:val="24"/>
          <w:lang w:val="lt-LT"/>
        </w:rPr>
        <w:t>Įmonės kodas 300066843</w:t>
      </w:r>
      <w:r>
        <w:rPr>
          <w:sz w:val="24"/>
          <w:szCs w:val="24"/>
          <w:lang w:val="lt-LT"/>
        </w:rPr>
        <w:t xml:space="preserve">                                           Įmonės kodas </w:t>
      </w:r>
      <w:r>
        <w:rPr>
          <w:sz w:val="24"/>
          <w:szCs w:val="24"/>
        </w:rPr>
        <w:t>303323428</w:t>
      </w:r>
    </w:p>
    <w:p w:rsidR="00621CBE" w:rsidRDefault="00082666">
      <w:pPr>
        <w:rPr>
          <w:bCs/>
          <w:spacing w:val="-3"/>
          <w:sz w:val="24"/>
          <w:szCs w:val="24"/>
          <w:lang w:val="lt-LT"/>
        </w:rPr>
      </w:pPr>
      <w:r>
        <w:rPr>
          <w:bCs/>
          <w:spacing w:val="-3"/>
          <w:sz w:val="24"/>
          <w:szCs w:val="24"/>
          <w:lang w:val="lt-LT"/>
        </w:rPr>
        <w:t xml:space="preserve">Tel. +370 706 72 854     </w:t>
      </w:r>
      <w:r>
        <w:rPr>
          <w:sz w:val="24"/>
          <w:szCs w:val="24"/>
          <w:lang w:val="lt-LT"/>
        </w:rPr>
        <w:tab/>
      </w:r>
      <w:r>
        <w:rPr>
          <w:sz w:val="24"/>
          <w:szCs w:val="24"/>
          <w:lang w:val="lt-LT"/>
        </w:rPr>
        <w:tab/>
      </w:r>
      <w:r>
        <w:rPr>
          <w:sz w:val="24"/>
          <w:szCs w:val="24"/>
          <w:lang w:val="lt-LT"/>
        </w:rPr>
        <w:tab/>
      </w:r>
      <w:r>
        <w:rPr>
          <w:sz w:val="24"/>
          <w:szCs w:val="24"/>
          <w:lang w:val="lt-LT"/>
        </w:rPr>
        <w:tab/>
        <w:t>PVM kodas LT100008689713</w:t>
      </w:r>
    </w:p>
    <w:p w:rsidR="00621CBE" w:rsidRDefault="00082666">
      <w:pPr>
        <w:shd w:val="clear" w:color="auto" w:fill="FFFFFF"/>
        <w:tabs>
          <w:tab w:val="left" w:pos="1080"/>
        </w:tabs>
        <w:rPr>
          <w:bCs/>
          <w:spacing w:val="-3"/>
          <w:sz w:val="24"/>
          <w:szCs w:val="24"/>
          <w:lang w:val="lt-LT"/>
        </w:rPr>
      </w:pPr>
      <w:r>
        <w:rPr>
          <w:bCs/>
          <w:spacing w:val="-3"/>
          <w:sz w:val="24"/>
          <w:szCs w:val="24"/>
          <w:lang w:val="lt-LT"/>
        </w:rPr>
        <w:t xml:space="preserve">El. paštas </w:t>
      </w:r>
      <w:proofErr w:type="spellStart"/>
      <w:r>
        <w:rPr>
          <w:bCs/>
          <w:spacing w:val="-3"/>
          <w:sz w:val="24"/>
          <w:szCs w:val="24"/>
          <w:lang w:val="lt-LT"/>
        </w:rPr>
        <w:t>iat@mil.lt</w:t>
      </w:r>
      <w:proofErr w:type="spellEnd"/>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 xml:space="preserve">A. s. </w:t>
      </w:r>
      <w:r>
        <w:rPr>
          <w:sz w:val="24"/>
          <w:szCs w:val="24"/>
        </w:rPr>
        <w:t>LT334010051002032825</w:t>
      </w:r>
      <w:r>
        <w:rPr>
          <w:sz w:val="24"/>
          <w:szCs w:val="24"/>
          <w:lang w:val="lt-LT"/>
        </w:rPr>
        <w:t xml:space="preserve">, </w:t>
      </w:r>
    </w:p>
    <w:p w:rsidR="00621CBE" w:rsidRDefault="00082666">
      <w:pPr>
        <w:shd w:val="clear" w:color="auto" w:fill="FFFFFF"/>
        <w:tabs>
          <w:tab w:val="left" w:pos="1080"/>
        </w:tabs>
        <w:rPr>
          <w:bCs/>
          <w:spacing w:val="-3"/>
          <w:sz w:val="24"/>
          <w:szCs w:val="24"/>
          <w:lang w:val="lt-LT"/>
        </w:rPr>
      </w:pPr>
      <w:r>
        <w:rPr>
          <w:bCs/>
          <w:spacing w:val="-3"/>
          <w:sz w:val="24"/>
          <w:szCs w:val="24"/>
          <w:lang w:val="lt-LT"/>
        </w:rPr>
        <w:t>Lietuvos Respublikos finansų ministerija</w:t>
      </w:r>
      <w:r>
        <w:rPr>
          <w:sz w:val="24"/>
          <w:szCs w:val="24"/>
          <w:lang w:val="lt-LT"/>
        </w:rPr>
        <w:tab/>
      </w:r>
      <w:r>
        <w:rPr>
          <w:sz w:val="24"/>
          <w:szCs w:val="24"/>
          <w:lang w:val="lt-LT"/>
        </w:rPr>
        <w:tab/>
        <w:t>AB Luminor  bankas</w:t>
      </w:r>
    </w:p>
    <w:p w:rsidR="00621CBE" w:rsidRDefault="00082666">
      <w:pPr>
        <w:shd w:val="clear" w:color="auto" w:fill="FFFFFF"/>
        <w:tabs>
          <w:tab w:val="left" w:pos="1080"/>
        </w:tabs>
        <w:rPr>
          <w:bCs/>
          <w:spacing w:val="-3"/>
          <w:sz w:val="24"/>
          <w:szCs w:val="24"/>
          <w:lang w:val="lt-LT"/>
        </w:rPr>
      </w:pPr>
      <w:r>
        <w:rPr>
          <w:bCs/>
          <w:spacing w:val="-3"/>
          <w:sz w:val="24"/>
          <w:szCs w:val="24"/>
          <w:lang w:val="lt-LT"/>
        </w:rPr>
        <w:t>A. s. LT62 40400 63610 001175</w:t>
      </w:r>
      <w:r>
        <w:rPr>
          <w:sz w:val="24"/>
          <w:szCs w:val="24"/>
          <w:lang w:val="lt-LT"/>
        </w:rPr>
        <w:tab/>
      </w:r>
      <w:r>
        <w:rPr>
          <w:sz w:val="24"/>
          <w:szCs w:val="24"/>
          <w:lang w:val="lt-LT"/>
        </w:rPr>
        <w:tab/>
      </w:r>
      <w:r>
        <w:rPr>
          <w:sz w:val="24"/>
          <w:szCs w:val="24"/>
          <w:lang w:val="lt-LT"/>
        </w:rPr>
        <w:tab/>
        <w:t xml:space="preserve">Tel. </w:t>
      </w:r>
      <w:r>
        <w:rPr>
          <w:sz w:val="24"/>
          <w:szCs w:val="24"/>
        </w:rPr>
        <w:t>+37063025028</w:t>
      </w:r>
    </w:p>
    <w:p w:rsidR="00621CBE" w:rsidRDefault="00082666">
      <w:pPr>
        <w:tabs>
          <w:tab w:val="left" w:pos="1080"/>
        </w:tabs>
        <w:rPr>
          <w:sz w:val="24"/>
          <w:szCs w:val="24"/>
          <w:lang w:val="en-US"/>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 xml:space="preserve">El. p. </w:t>
      </w:r>
      <w:r>
        <w:rPr>
          <w:sz w:val="24"/>
          <w:szCs w:val="24"/>
        </w:rPr>
        <w:t>info@jutare.lt</w:t>
      </w:r>
    </w:p>
    <w:p w:rsidR="00621CBE" w:rsidRDefault="00621CBE" w:rsidP="002C2B03">
      <w:pPr>
        <w:spacing w:line="276" w:lineRule="auto"/>
        <w:jc w:val="both"/>
        <w:rPr>
          <w:sz w:val="24"/>
          <w:szCs w:val="24"/>
          <w:lang w:val="lt-LT"/>
        </w:rPr>
      </w:pPr>
      <w:bookmarkStart w:id="1" w:name="_GoBack_Copy_1"/>
      <w:bookmarkEnd w:id="1"/>
    </w:p>
    <w:p w:rsidR="00621CBE" w:rsidRDefault="00082666">
      <w:pPr>
        <w:tabs>
          <w:tab w:val="left" w:pos="1080"/>
        </w:tabs>
        <w:rPr>
          <w:rFonts w:eastAsia="Calibri"/>
          <w:sz w:val="24"/>
          <w:szCs w:val="24"/>
          <w:lang w:val="lt-LT"/>
        </w:rPr>
      </w:pPr>
      <w:r>
        <w:rPr>
          <w:b/>
          <w:bCs/>
          <w:spacing w:val="-3"/>
          <w:sz w:val="24"/>
          <w:szCs w:val="24"/>
          <w:lang w:val="lt-LT"/>
        </w:rPr>
        <w:t>Užsa</w:t>
      </w:r>
      <w:r>
        <w:rPr>
          <w:b/>
          <w:bCs/>
          <w:spacing w:val="-3"/>
          <w:sz w:val="24"/>
          <w:szCs w:val="24"/>
          <w:lang w:val="lt-LT"/>
        </w:rPr>
        <w:t>kovo vardu</w:t>
      </w:r>
      <w:r>
        <w:rPr>
          <w:bCs/>
          <w:spacing w:val="-3"/>
          <w:sz w:val="24"/>
          <w:szCs w:val="24"/>
          <w:lang w:val="lt-LT"/>
        </w:rPr>
        <w:t>:</w:t>
      </w:r>
      <w:r>
        <w:rPr>
          <w:bCs/>
          <w:spacing w:val="-3"/>
          <w:sz w:val="24"/>
          <w:szCs w:val="24"/>
          <w:lang w:val="lt-LT"/>
        </w:rPr>
        <w:tab/>
      </w:r>
      <w:r>
        <w:rPr>
          <w:bCs/>
          <w:spacing w:val="-3"/>
          <w:sz w:val="24"/>
          <w:szCs w:val="24"/>
          <w:lang w:val="lt-LT"/>
        </w:rPr>
        <w:tab/>
      </w:r>
      <w:r>
        <w:rPr>
          <w:bCs/>
          <w:spacing w:val="-3"/>
          <w:sz w:val="24"/>
          <w:szCs w:val="24"/>
          <w:lang w:val="lt-LT"/>
        </w:rPr>
        <w:tab/>
      </w:r>
      <w:r>
        <w:rPr>
          <w:bCs/>
          <w:spacing w:val="-3"/>
          <w:sz w:val="24"/>
          <w:szCs w:val="24"/>
          <w:lang w:val="lt-LT"/>
        </w:rPr>
        <w:tab/>
      </w:r>
      <w:r>
        <w:rPr>
          <w:bCs/>
          <w:spacing w:val="-3"/>
          <w:sz w:val="24"/>
          <w:szCs w:val="24"/>
          <w:lang w:val="lt-LT"/>
        </w:rPr>
        <w:tab/>
      </w:r>
      <w:r>
        <w:rPr>
          <w:rFonts w:eastAsia="Calibri"/>
          <w:b/>
          <w:sz w:val="24"/>
          <w:szCs w:val="24"/>
          <w:lang w:val="lt-LT"/>
        </w:rPr>
        <w:t>Tiekėjo vardu</w:t>
      </w:r>
      <w:r>
        <w:rPr>
          <w:rFonts w:eastAsia="Calibri"/>
          <w:sz w:val="24"/>
          <w:szCs w:val="24"/>
          <w:lang w:val="lt-LT"/>
        </w:rPr>
        <w:t>:</w:t>
      </w:r>
    </w:p>
    <w:p w:rsidR="00621CBE" w:rsidRDefault="00082666">
      <w:pPr>
        <w:rPr>
          <w:rFonts w:eastAsia="Calibri"/>
          <w:sz w:val="24"/>
          <w:szCs w:val="24"/>
          <w:lang w:val="lt-LT"/>
        </w:rPr>
      </w:pPr>
      <w:r>
        <w:rPr>
          <w:bCs/>
          <w:spacing w:val="-3"/>
          <w:sz w:val="24"/>
          <w:szCs w:val="24"/>
          <w:lang w:val="lt-LT"/>
        </w:rPr>
        <w:t>Vado pavaduotojas,</w:t>
      </w:r>
      <w:r>
        <w:rPr>
          <w:bCs/>
          <w:spacing w:val="-3"/>
          <w:sz w:val="24"/>
          <w:szCs w:val="24"/>
          <w:lang w:val="lt-LT"/>
        </w:rPr>
        <w:tab/>
      </w:r>
      <w:r>
        <w:rPr>
          <w:bCs/>
          <w:spacing w:val="-3"/>
          <w:sz w:val="24"/>
          <w:szCs w:val="24"/>
          <w:lang w:val="lt-LT"/>
        </w:rPr>
        <w:tab/>
      </w:r>
      <w:r>
        <w:rPr>
          <w:bCs/>
          <w:spacing w:val="-3"/>
          <w:sz w:val="24"/>
          <w:szCs w:val="24"/>
          <w:lang w:val="lt-LT"/>
        </w:rPr>
        <w:tab/>
      </w:r>
      <w:r>
        <w:rPr>
          <w:bCs/>
          <w:spacing w:val="-3"/>
          <w:sz w:val="24"/>
          <w:szCs w:val="24"/>
          <w:lang w:val="lt-LT"/>
        </w:rPr>
        <w:tab/>
      </w:r>
      <w:r>
        <w:rPr>
          <w:bCs/>
          <w:spacing w:val="-3"/>
          <w:sz w:val="24"/>
          <w:szCs w:val="24"/>
          <w:lang w:val="lt-LT"/>
        </w:rPr>
        <w:tab/>
      </w:r>
      <w:r>
        <w:rPr>
          <w:rFonts w:eastAsia="Calibri"/>
          <w:sz w:val="24"/>
          <w:szCs w:val="24"/>
          <w:lang w:val="lt-LT"/>
        </w:rPr>
        <w:t>Direktorius</w:t>
      </w:r>
    </w:p>
    <w:p w:rsidR="00621CBE" w:rsidRDefault="00082666">
      <w:pPr>
        <w:shd w:val="clear" w:color="auto" w:fill="FFFFFF"/>
        <w:tabs>
          <w:tab w:val="left" w:pos="1080"/>
        </w:tabs>
        <w:rPr>
          <w:bCs/>
          <w:spacing w:val="-3"/>
          <w:sz w:val="24"/>
          <w:szCs w:val="24"/>
          <w:lang w:val="lt-LT"/>
        </w:rPr>
      </w:pPr>
      <w:r>
        <w:rPr>
          <w:bCs/>
          <w:spacing w:val="-3"/>
          <w:sz w:val="24"/>
          <w:szCs w:val="24"/>
          <w:lang w:val="lt-LT"/>
        </w:rPr>
        <w:t>vykdantis vado funkcijas</w:t>
      </w:r>
      <w:r>
        <w:rPr>
          <w:bCs/>
          <w:spacing w:val="-3"/>
          <w:sz w:val="24"/>
          <w:szCs w:val="24"/>
          <w:lang w:val="lt-LT"/>
        </w:rPr>
        <w:tab/>
      </w:r>
      <w:r>
        <w:rPr>
          <w:bCs/>
          <w:spacing w:val="-3"/>
          <w:sz w:val="24"/>
          <w:szCs w:val="24"/>
          <w:lang w:val="lt-LT"/>
        </w:rPr>
        <w:tab/>
      </w:r>
      <w:r>
        <w:rPr>
          <w:bCs/>
          <w:spacing w:val="-3"/>
          <w:sz w:val="24"/>
          <w:szCs w:val="24"/>
          <w:lang w:val="lt-LT"/>
        </w:rPr>
        <w:tab/>
      </w:r>
      <w:r>
        <w:rPr>
          <w:bCs/>
          <w:spacing w:val="-3"/>
          <w:sz w:val="24"/>
          <w:szCs w:val="24"/>
          <w:lang w:val="lt-LT"/>
        </w:rPr>
        <w:tab/>
      </w:r>
      <w:r>
        <w:rPr>
          <w:rFonts w:eastAsia="Calibri"/>
          <w:sz w:val="24"/>
          <w:szCs w:val="24"/>
          <w:lang w:val="lt-LT"/>
        </w:rPr>
        <w:t xml:space="preserve">Vaidas </w:t>
      </w:r>
      <w:proofErr w:type="spellStart"/>
      <w:r>
        <w:rPr>
          <w:rFonts w:eastAsia="Calibri"/>
          <w:sz w:val="24"/>
          <w:szCs w:val="24"/>
          <w:lang w:val="lt-LT"/>
        </w:rPr>
        <w:t>Molevičius</w:t>
      </w:r>
      <w:proofErr w:type="spellEnd"/>
    </w:p>
    <w:p w:rsidR="00621CBE" w:rsidRDefault="00082666">
      <w:pPr>
        <w:pStyle w:val="NoSpacing"/>
        <w:spacing w:line="360" w:lineRule="auto"/>
        <w:jc w:val="both"/>
        <w:rPr>
          <w:sz w:val="22"/>
          <w:szCs w:val="22"/>
          <w:lang w:val="en-US" w:eastAsia="ar-SA"/>
        </w:rPr>
      </w:pPr>
      <w:r>
        <w:rPr>
          <w:bCs/>
          <w:spacing w:val="-3"/>
          <w:sz w:val="24"/>
          <w:szCs w:val="24"/>
          <w:lang w:val="lt-LT"/>
        </w:rPr>
        <w:t xml:space="preserve">mjr. Eugenijus </w:t>
      </w:r>
      <w:proofErr w:type="spellStart"/>
      <w:r>
        <w:rPr>
          <w:bCs/>
          <w:spacing w:val="-3"/>
          <w:sz w:val="24"/>
          <w:szCs w:val="24"/>
          <w:lang w:val="lt-LT"/>
        </w:rPr>
        <w:t>Švabauskas</w:t>
      </w:r>
      <w:proofErr w:type="spellEnd"/>
    </w:p>
    <w:sectPr w:rsidR="00621CBE">
      <w:footerReference w:type="even" r:id="rId11"/>
      <w:footerReference w:type="default" r:id="rId12"/>
      <w:footerReference w:type="first" r:id="rId13"/>
      <w:pgSz w:w="11906" w:h="16838"/>
      <w:pgMar w:top="1134" w:right="567" w:bottom="1134" w:left="1701" w:header="0"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666" w:rsidRDefault="00082666">
      <w:r>
        <w:separator/>
      </w:r>
    </w:p>
  </w:endnote>
  <w:endnote w:type="continuationSeparator" w:id="0">
    <w:p w:rsidR="00082666" w:rsidRDefault="00082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okChamp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CBE" w:rsidRDefault="00621C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4312577"/>
      <w:docPartObj>
        <w:docPartGallery w:val="Page Numbers (Bottom of Page)"/>
        <w:docPartUnique/>
      </w:docPartObj>
    </w:sdtPr>
    <w:sdtEndPr/>
    <w:sdtContent>
      <w:p w:rsidR="00621CBE" w:rsidRDefault="00082666">
        <w:pPr>
          <w:pStyle w:val="Footer"/>
          <w:tabs>
            <w:tab w:val="left" w:pos="5256"/>
            <w:tab w:val="center" w:pos="5386"/>
          </w:tabs>
          <w:rPr>
            <w:rFonts w:ascii="Times New Roman" w:hAnsi="Times New Roman" w:cs="Times New Roman"/>
            <w:sz w:val="20"/>
            <w:szCs w:val="20"/>
          </w:rPr>
        </w:pPr>
        <w:r>
          <w:tab/>
        </w:r>
        <w:r>
          <w:tab/>
        </w:r>
      </w:p>
    </w:sdtContent>
  </w:sdt>
  <w:p w:rsidR="00621CBE" w:rsidRDefault="00621CBE">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CBE" w:rsidRDefault="00621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666" w:rsidRDefault="00082666">
      <w:r>
        <w:separator/>
      </w:r>
    </w:p>
  </w:footnote>
  <w:footnote w:type="continuationSeparator" w:id="0">
    <w:p w:rsidR="00082666" w:rsidRDefault="00082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F0C4B"/>
    <w:multiLevelType w:val="multilevel"/>
    <w:tmpl w:val="8D00B38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15:restartNumberingAfterBreak="0">
    <w:nsid w:val="432F11C2"/>
    <w:multiLevelType w:val="multilevel"/>
    <w:tmpl w:val="DC2E5F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CBE"/>
    <w:rsid w:val="00082666"/>
    <w:rsid w:val="002C2B03"/>
    <w:rsid w:val="00621CB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5595AF-B62D-488F-A0FD-875E0951C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117"/>
    <w:rPr>
      <w:rFonts w:ascii="Times New Roman" w:eastAsia="Times New Roman" w:hAnsi="Times New Roman" w:cs="Times New Roman"/>
      <w:sz w:val="20"/>
      <w:szCs w:val="20"/>
      <w:lang w:val="en-GB"/>
    </w:rPr>
  </w:style>
  <w:style w:type="paragraph" w:styleId="Heading2">
    <w:name w:val="heading 2"/>
    <w:basedOn w:val="Normal"/>
    <w:next w:val="Normal"/>
    <w:link w:val="Heading2Char"/>
    <w:qFormat/>
    <w:rsid w:val="000F0825"/>
    <w:pPr>
      <w:keepNext/>
      <w:outlineLvl w:val="1"/>
    </w:pPr>
    <w:rPr>
      <w:rFonts w:ascii="Garamond" w:hAnsi="Garamond"/>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Char">
    <w:name w:val="Body Text 2 Char"/>
    <w:basedOn w:val="DefaultParagraphFont"/>
    <w:link w:val="BodyText2"/>
    <w:qFormat/>
    <w:rsid w:val="00E61117"/>
    <w:rPr>
      <w:rFonts w:ascii="Garamond" w:eastAsia="Times New Roman" w:hAnsi="Garamond" w:cs="Times New Roman"/>
      <w:sz w:val="24"/>
      <w:szCs w:val="20"/>
      <w:lang w:val="lt-LT"/>
    </w:rPr>
  </w:style>
  <w:style w:type="character" w:customStyle="1" w:styleId="BodyTextChar">
    <w:name w:val="Body Text Char"/>
    <w:basedOn w:val="DefaultParagraphFont"/>
    <w:link w:val="BodyText"/>
    <w:uiPriority w:val="99"/>
    <w:qFormat/>
    <w:rsid w:val="000F0825"/>
    <w:rPr>
      <w:rFonts w:ascii="Times New Roman" w:eastAsia="Times New Roman" w:hAnsi="Times New Roman" w:cs="Times New Roman"/>
      <w:sz w:val="20"/>
      <w:szCs w:val="20"/>
      <w:lang w:val="en-GB"/>
    </w:rPr>
  </w:style>
  <w:style w:type="character" w:customStyle="1" w:styleId="Heading2Char">
    <w:name w:val="Heading 2 Char"/>
    <w:basedOn w:val="DefaultParagraphFont"/>
    <w:link w:val="Heading2"/>
    <w:qFormat/>
    <w:rsid w:val="000F0825"/>
    <w:rPr>
      <w:rFonts w:ascii="Garamond" w:eastAsia="Times New Roman" w:hAnsi="Garamond" w:cs="Times New Roman"/>
      <w:sz w:val="24"/>
      <w:szCs w:val="20"/>
      <w:lang w:val="lt-LT"/>
    </w:rPr>
  </w:style>
  <w:style w:type="character" w:styleId="Hyperlink">
    <w:name w:val="Hyperlink"/>
    <w:uiPriority w:val="99"/>
    <w:rsid w:val="000F0825"/>
    <w:rPr>
      <w:color w:val="0000FF"/>
      <w:u w:val="single"/>
    </w:rPr>
  </w:style>
  <w:style w:type="character" w:customStyle="1" w:styleId="BalloonTextChar">
    <w:name w:val="Balloon Text Char"/>
    <w:basedOn w:val="DefaultParagraphFont"/>
    <w:link w:val="BalloonText"/>
    <w:uiPriority w:val="99"/>
    <w:semiHidden/>
    <w:qFormat/>
    <w:rsid w:val="006965D8"/>
    <w:rPr>
      <w:rFonts w:ascii="Tahoma" w:eastAsia="Times New Roman" w:hAnsi="Tahoma" w:cs="Tahoma"/>
      <w:sz w:val="16"/>
      <w:szCs w:val="16"/>
      <w:lang w:val="en-GB"/>
    </w:rPr>
  </w:style>
  <w:style w:type="character" w:customStyle="1" w:styleId="BodyTextIndentChar">
    <w:name w:val="Body Text Indent Char"/>
    <w:basedOn w:val="DefaultParagraphFont"/>
    <w:link w:val="BodyTextIndent"/>
    <w:uiPriority w:val="99"/>
    <w:qFormat/>
    <w:rsid w:val="007954CF"/>
    <w:rPr>
      <w:rFonts w:ascii="Times New Roman" w:eastAsia="Times New Roman" w:hAnsi="Times New Roman" w:cs="Times New Roman"/>
      <w:sz w:val="20"/>
      <w:szCs w:val="20"/>
      <w:lang w:val="en-GB"/>
    </w:rPr>
  </w:style>
  <w:style w:type="character" w:customStyle="1" w:styleId="FontStyle22">
    <w:name w:val="Font Style22"/>
    <w:basedOn w:val="DefaultParagraphFont"/>
    <w:uiPriority w:val="99"/>
    <w:qFormat/>
    <w:rsid w:val="008F2D40"/>
    <w:rPr>
      <w:rFonts w:ascii="Arial" w:hAnsi="Arial" w:cs="Arial"/>
      <w:b/>
      <w:bCs/>
      <w:smallCaps/>
      <w:color w:val="000000"/>
      <w:sz w:val="18"/>
      <w:szCs w:val="18"/>
    </w:rPr>
  </w:style>
  <w:style w:type="character" w:customStyle="1" w:styleId="FontStyle23">
    <w:name w:val="Font Style23"/>
    <w:basedOn w:val="DefaultParagraphFont"/>
    <w:uiPriority w:val="99"/>
    <w:qFormat/>
    <w:rsid w:val="008F2D40"/>
    <w:rPr>
      <w:rFonts w:ascii="Arial" w:hAnsi="Arial" w:cs="Arial"/>
      <w:color w:val="000000"/>
      <w:sz w:val="18"/>
      <w:szCs w:val="18"/>
    </w:rPr>
  </w:style>
  <w:style w:type="character" w:customStyle="1" w:styleId="FontStyle24">
    <w:name w:val="Font Style24"/>
    <w:basedOn w:val="DefaultParagraphFont"/>
    <w:uiPriority w:val="99"/>
    <w:qFormat/>
    <w:rsid w:val="008F2D40"/>
    <w:rPr>
      <w:rFonts w:ascii="Arial" w:hAnsi="Arial" w:cs="Arial"/>
      <w:b/>
      <w:bCs/>
      <w:color w:val="000000"/>
      <w:sz w:val="18"/>
      <w:szCs w:val="18"/>
    </w:rPr>
  </w:style>
  <w:style w:type="character" w:customStyle="1" w:styleId="FontStyle25">
    <w:name w:val="Font Style25"/>
    <w:basedOn w:val="DefaultParagraphFont"/>
    <w:uiPriority w:val="99"/>
    <w:qFormat/>
    <w:rsid w:val="008F2D40"/>
    <w:rPr>
      <w:rFonts w:ascii="Arial" w:hAnsi="Arial" w:cs="Arial"/>
      <w:i/>
      <w:iCs/>
      <w:color w:val="000000"/>
      <w:sz w:val="18"/>
      <w:szCs w:val="18"/>
    </w:rPr>
  </w:style>
  <w:style w:type="character" w:customStyle="1" w:styleId="FontStyle68">
    <w:name w:val="Font Style68"/>
    <w:uiPriority w:val="99"/>
    <w:qFormat/>
    <w:rsid w:val="008F2D40"/>
    <w:rPr>
      <w:rFonts w:ascii="Cambria" w:hAnsi="Cambria"/>
      <w:i/>
      <w:sz w:val="16"/>
    </w:rPr>
  </w:style>
  <w:style w:type="character" w:customStyle="1" w:styleId="FooterChar">
    <w:name w:val="Footer Char"/>
    <w:basedOn w:val="DefaultParagraphFont"/>
    <w:link w:val="Footer"/>
    <w:uiPriority w:val="99"/>
    <w:qFormat/>
    <w:rsid w:val="008F2D40"/>
    <w:rPr>
      <w:lang w:val="lt-LT"/>
    </w:rPr>
  </w:style>
  <w:style w:type="character" w:styleId="CommentReference">
    <w:name w:val="annotation reference"/>
    <w:basedOn w:val="DefaultParagraphFont"/>
    <w:uiPriority w:val="99"/>
    <w:semiHidden/>
    <w:unhideWhenUsed/>
    <w:qFormat/>
    <w:rsid w:val="004D351F"/>
    <w:rPr>
      <w:sz w:val="16"/>
      <w:szCs w:val="16"/>
    </w:rPr>
  </w:style>
  <w:style w:type="character" w:customStyle="1" w:styleId="CommentTextChar">
    <w:name w:val="Comment Text Char"/>
    <w:basedOn w:val="DefaultParagraphFont"/>
    <w:link w:val="CommentText"/>
    <w:uiPriority w:val="99"/>
    <w:qFormat/>
    <w:rsid w:val="004D351F"/>
    <w:rPr>
      <w:rFonts w:ascii="Times New Roman" w:eastAsia="Times New Roma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sid w:val="004D351F"/>
    <w:rPr>
      <w:rFonts w:ascii="Times New Roman" w:eastAsia="Times New Roman" w:hAnsi="Times New Roman" w:cs="Times New Roman"/>
      <w:b/>
      <w:bCs/>
      <w:sz w:val="20"/>
      <w:szCs w:val="20"/>
      <w:lang w:val="en-GB"/>
    </w:rPr>
  </w:style>
  <w:style w:type="character" w:customStyle="1" w:styleId="HeaderChar">
    <w:name w:val="Header Char"/>
    <w:basedOn w:val="DefaultParagraphFont"/>
    <w:link w:val="Header"/>
    <w:uiPriority w:val="99"/>
    <w:qFormat/>
    <w:rsid w:val="00AA602A"/>
    <w:rPr>
      <w:rFonts w:ascii="Times New Roman" w:eastAsia="Times New Roman" w:hAnsi="Times New Roman" w:cs="Times New Roman"/>
      <w:sz w:val="20"/>
      <w:szCs w:val="20"/>
      <w:lang w:val="en-GB"/>
    </w:rPr>
  </w:style>
  <w:style w:type="character" w:customStyle="1" w:styleId="FontStyle17">
    <w:name w:val="Font Style17"/>
    <w:qFormat/>
    <w:rsid w:val="00635819"/>
    <w:rPr>
      <w:rFonts w:ascii="Times New Roman" w:hAnsi="Times New Roman" w:cs="Times New Roman"/>
      <w:sz w:val="14"/>
      <w:szCs w:val="14"/>
    </w:rPr>
  </w:style>
  <w:style w:type="character" w:customStyle="1" w:styleId="ListParagraphChar">
    <w:name w:val="List Paragraph Char"/>
    <w:link w:val="ListParagraph"/>
    <w:uiPriority w:val="34"/>
    <w:qFormat/>
    <w:locked/>
    <w:rsid w:val="002A0EBD"/>
    <w:rPr>
      <w:rFonts w:ascii="Times New Roman" w:eastAsia="Times New Roman" w:hAnsi="Times New Roman" w:cs="Times New Roman"/>
      <w:sz w:val="20"/>
      <w:szCs w:val="20"/>
      <w:lang w:val="en-GB"/>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unhideWhenUsed/>
    <w:rsid w:val="000F0825"/>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BodyText2">
    <w:name w:val="Body Text 2"/>
    <w:basedOn w:val="Normal"/>
    <w:link w:val="BodyText2Char"/>
    <w:qFormat/>
    <w:rsid w:val="00E61117"/>
    <w:pPr>
      <w:ind w:right="283"/>
      <w:jc w:val="both"/>
    </w:pPr>
    <w:rPr>
      <w:rFonts w:ascii="Garamond" w:hAnsi="Garamond"/>
      <w:sz w:val="24"/>
      <w:lang w:val="lt-LT"/>
    </w:rPr>
  </w:style>
  <w:style w:type="paragraph" w:styleId="BalloonText">
    <w:name w:val="Balloon Text"/>
    <w:basedOn w:val="Normal"/>
    <w:link w:val="BalloonTextChar"/>
    <w:uiPriority w:val="99"/>
    <w:semiHidden/>
    <w:unhideWhenUsed/>
    <w:qFormat/>
    <w:rsid w:val="006965D8"/>
    <w:rPr>
      <w:rFonts w:ascii="Tahoma" w:hAnsi="Tahoma" w:cs="Tahoma"/>
      <w:sz w:val="16"/>
      <w:szCs w:val="16"/>
    </w:rPr>
  </w:style>
  <w:style w:type="paragraph" w:styleId="BodyTextIndent">
    <w:name w:val="Body Text Indent"/>
    <w:basedOn w:val="Normal"/>
    <w:link w:val="BodyTextIndentChar"/>
    <w:uiPriority w:val="99"/>
    <w:unhideWhenUsed/>
    <w:rsid w:val="007954CF"/>
    <w:pPr>
      <w:spacing w:after="120"/>
      <w:ind w:left="283"/>
    </w:pPr>
  </w:style>
  <w:style w:type="paragraph" w:styleId="ListParagraph">
    <w:name w:val="List Paragraph"/>
    <w:basedOn w:val="Normal"/>
    <w:link w:val="ListParagraphChar"/>
    <w:uiPriority w:val="34"/>
    <w:qFormat/>
    <w:rsid w:val="007954CF"/>
    <w:pPr>
      <w:ind w:left="720"/>
      <w:contextualSpacing/>
    </w:pPr>
  </w:style>
  <w:style w:type="paragraph" w:customStyle="1" w:styleId="Style3">
    <w:name w:val="Style3"/>
    <w:basedOn w:val="Normal"/>
    <w:uiPriority w:val="99"/>
    <w:qFormat/>
    <w:rsid w:val="008F2D40"/>
    <w:pPr>
      <w:widowControl w:val="0"/>
    </w:pPr>
    <w:rPr>
      <w:rFonts w:eastAsiaTheme="minorEastAsia" w:cs="DokChampa"/>
      <w:sz w:val="24"/>
      <w:szCs w:val="24"/>
      <w:lang w:val="lt-LT" w:eastAsia="lt-LT" w:bidi="lo-LA"/>
    </w:rPr>
  </w:style>
  <w:style w:type="paragraph" w:customStyle="1" w:styleId="Style5">
    <w:name w:val="Style5"/>
    <w:basedOn w:val="Normal"/>
    <w:uiPriority w:val="99"/>
    <w:qFormat/>
    <w:rsid w:val="008F2D40"/>
    <w:pPr>
      <w:widowControl w:val="0"/>
    </w:pPr>
    <w:rPr>
      <w:rFonts w:eastAsiaTheme="minorEastAsia" w:cs="DokChampa"/>
      <w:sz w:val="24"/>
      <w:szCs w:val="24"/>
      <w:lang w:val="lt-LT" w:eastAsia="lt-LT" w:bidi="lo-LA"/>
    </w:rPr>
  </w:style>
  <w:style w:type="paragraph" w:customStyle="1" w:styleId="Style6">
    <w:name w:val="Style6"/>
    <w:basedOn w:val="Normal"/>
    <w:uiPriority w:val="99"/>
    <w:qFormat/>
    <w:rsid w:val="008F2D40"/>
    <w:pPr>
      <w:widowControl w:val="0"/>
    </w:pPr>
    <w:rPr>
      <w:rFonts w:eastAsiaTheme="minorEastAsia" w:cs="DokChampa"/>
      <w:sz w:val="24"/>
      <w:szCs w:val="24"/>
      <w:lang w:val="lt-LT" w:eastAsia="lt-LT" w:bidi="lo-LA"/>
    </w:rPr>
  </w:style>
  <w:style w:type="paragraph" w:customStyle="1" w:styleId="Style16">
    <w:name w:val="Style16"/>
    <w:basedOn w:val="Normal"/>
    <w:uiPriority w:val="99"/>
    <w:qFormat/>
    <w:rsid w:val="008F2D40"/>
    <w:pPr>
      <w:widowControl w:val="0"/>
    </w:pPr>
    <w:rPr>
      <w:rFonts w:eastAsiaTheme="minorEastAsia" w:cs="DokChampa"/>
      <w:sz w:val="24"/>
      <w:szCs w:val="24"/>
      <w:lang w:val="lt-LT" w:eastAsia="lt-LT" w:bidi="lo-LA"/>
    </w:rPr>
  </w:style>
  <w:style w:type="paragraph" w:customStyle="1" w:styleId="HeaderandFooter">
    <w:name w:val="Header and Footer"/>
    <w:basedOn w:val="Normal"/>
    <w:qFormat/>
  </w:style>
  <w:style w:type="paragraph" w:styleId="Footer">
    <w:name w:val="footer"/>
    <w:basedOn w:val="Normal"/>
    <w:link w:val="FooterChar"/>
    <w:uiPriority w:val="99"/>
    <w:unhideWhenUsed/>
    <w:rsid w:val="008F2D40"/>
    <w:pPr>
      <w:tabs>
        <w:tab w:val="center" w:pos="4513"/>
        <w:tab w:val="right" w:pos="9026"/>
      </w:tabs>
      <w:ind w:firstLine="1134"/>
    </w:pPr>
    <w:rPr>
      <w:rFonts w:asciiTheme="minorHAnsi" w:eastAsiaTheme="minorHAnsi" w:hAnsiTheme="minorHAnsi" w:cstheme="minorBidi"/>
      <w:sz w:val="22"/>
      <w:szCs w:val="22"/>
      <w:lang w:val="lt-LT"/>
    </w:rPr>
  </w:style>
  <w:style w:type="paragraph" w:customStyle="1" w:styleId="Style18">
    <w:name w:val="Style18"/>
    <w:basedOn w:val="Normal"/>
    <w:uiPriority w:val="99"/>
    <w:qFormat/>
    <w:rsid w:val="008F2D40"/>
    <w:pPr>
      <w:widowControl w:val="0"/>
    </w:pPr>
    <w:rPr>
      <w:rFonts w:ascii="Arial" w:hAnsi="Arial" w:cs="Arial"/>
      <w:sz w:val="24"/>
      <w:szCs w:val="24"/>
      <w:lang w:val="lt-LT" w:eastAsia="lt-LT"/>
    </w:rPr>
  </w:style>
  <w:style w:type="paragraph" w:styleId="Revision">
    <w:name w:val="Revision"/>
    <w:uiPriority w:val="99"/>
    <w:semiHidden/>
    <w:qFormat/>
    <w:rsid w:val="004D351F"/>
    <w:rPr>
      <w:rFonts w:ascii="Times New Roman" w:eastAsia="Times New Roman" w:hAnsi="Times New Roman" w:cs="Times New Roman"/>
      <w:sz w:val="20"/>
      <w:szCs w:val="20"/>
      <w:lang w:val="en-GB"/>
    </w:rPr>
  </w:style>
  <w:style w:type="paragraph" w:styleId="CommentText">
    <w:name w:val="annotation text"/>
    <w:basedOn w:val="Normal"/>
    <w:link w:val="CommentTextChar"/>
    <w:uiPriority w:val="99"/>
    <w:unhideWhenUsed/>
    <w:rsid w:val="004D351F"/>
  </w:style>
  <w:style w:type="paragraph" w:styleId="CommentSubject">
    <w:name w:val="annotation subject"/>
    <w:basedOn w:val="CommentText"/>
    <w:next w:val="CommentText"/>
    <w:link w:val="CommentSubjectChar"/>
    <w:uiPriority w:val="99"/>
    <w:semiHidden/>
    <w:unhideWhenUsed/>
    <w:qFormat/>
    <w:rsid w:val="004D351F"/>
    <w:rPr>
      <w:b/>
      <w:bCs/>
    </w:rPr>
  </w:style>
  <w:style w:type="paragraph" w:styleId="Header">
    <w:name w:val="header"/>
    <w:basedOn w:val="Normal"/>
    <w:link w:val="HeaderChar"/>
    <w:uiPriority w:val="99"/>
    <w:unhideWhenUsed/>
    <w:rsid w:val="00AA602A"/>
    <w:pPr>
      <w:tabs>
        <w:tab w:val="center" w:pos="4986"/>
        <w:tab w:val="right" w:pos="9972"/>
      </w:tabs>
    </w:pPr>
  </w:style>
  <w:style w:type="paragraph" w:styleId="NoSpacing">
    <w:name w:val="No Spacing"/>
    <w:qFormat/>
    <w:rsid w:val="0021523D"/>
    <w:rPr>
      <w:rFonts w:ascii="Times New Roman" w:eastAsia="Times New Roman" w:hAnsi="Times New Roman" w:cs="Times New Roman"/>
      <w:sz w:val="20"/>
      <w:szCs w:val="20"/>
      <w:lang w:val="en-GB"/>
    </w:rPr>
  </w:style>
  <w:style w:type="paragraph" w:customStyle="1" w:styleId="FrameContentsuser">
    <w:name w:val="Frame Contents (user)"/>
    <w:basedOn w:val="Normal"/>
    <w:qFormat/>
  </w:style>
  <w:style w:type="table" w:styleId="TableGrid">
    <w:name w:val="Table Grid"/>
    <w:basedOn w:val="TableNormal"/>
    <w:uiPriority w:val="39"/>
    <w:rsid w:val="00A06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93556"/>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TableGrid0">
    <w:name w:val="TableGrid"/>
    <w:rsid w:val="002A104D"/>
    <w:rPr>
      <w:rFonts w:eastAsiaTheme="minorEastAsia"/>
      <w:lang w:val="lt-LT" w:eastAsia="lt-LT"/>
    </w:rPr>
    <w:tblPr>
      <w:tblCellMar>
        <w:top w:w="0" w:type="dxa"/>
        <w:left w:w="0" w:type="dxa"/>
        <w:bottom w:w="0" w:type="dxa"/>
        <w:right w:w="0" w:type="dxa"/>
      </w:tblCellMar>
    </w:tblPr>
  </w:style>
  <w:style w:type="table" w:customStyle="1" w:styleId="TableGrid1">
    <w:name w:val="TableGrid1"/>
    <w:rsid w:val="002A104D"/>
    <w:rPr>
      <w:rFonts w:eastAsiaTheme="minorEastAsia"/>
      <w:lang w:val="lt-LT" w:eastAsia="lt-LT"/>
    </w:rPr>
    <w:tblPr>
      <w:tblCellMar>
        <w:top w:w="0" w:type="dxa"/>
        <w:left w:w="0" w:type="dxa"/>
        <w:bottom w:w="0" w:type="dxa"/>
        <w:right w:w="0" w:type="dxa"/>
      </w:tblCellMar>
    </w:tblPr>
  </w:style>
  <w:style w:type="table" w:customStyle="1" w:styleId="TableGrid2">
    <w:name w:val="TableGrid2"/>
    <w:rsid w:val="002A104D"/>
    <w:rPr>
      <w:rFonts w:eastAsiaTheme="minorEastAsia"/>
      <w:lang w:val="lt-LT" w:eastAsia="lt-LT"/>
    </w:rPr>
    <w:tblPr>
      <w:tblCellMar>
        <w:top w:w="0" w:type="dxa"/>
        <w:left w:w="0" w:type="dxa"/>
        <w:bottom w:w="0" w:type="dxa"/>
        <w:right w:w="0" w:type="dxa"/>
      </w:tblCellMar>
    </w:tblPr>
  </w:style>
  <w:style w:type="table" w:customStyle="1" w:styleId="TableGrid3">
    <w:name w:val="TableGrid3"/>
    <w:rsid w:val="002A104D"/>
    <w:rPr>
      <w:rFonts w:eastAsiaTheme="minorEastAsia"/>
      <w:lang w:val="lt-LT" w:eastAsia="lt-LT"/>
    </w:rPr>
    <w:tblPr>
      <w:tblCellMar>
        <w:top w:w="0" w:type="dxa"/>
        <w:left w:w="0" w:type="dxa"/>
        <w:bottom w:w="0" w:type="dxa"/>
        <w:right w:w="0" w:type="dxa"/>
      </w:tblCellMar>
    </w:tblPr>
  </w:style>
  <w:style w:type="table" w:customStyle="1" w:styleId="TableGrid4">
    <w:name w:val="TableGrid4"/>
    <w:rsid w:val="002A104D"/>
    <w:rPr>
      <w:rFonts w:eastAsiaTheme="minorEastAsia"/>
      <w:lang w:val="lt-LT" w:eastAsia="lt-LT"/>
    </w:rPr>
    <w:tblPr>
      <w:tblCellMar>
        <w:top w:w="0" w:type="dxa"/>
        <w:left w:w="0" w:type="dxa"/>
        <w:bottom w:w="0" w:type="dxa"/>
        <w:right w:w="0" w:type="dxa"/>
      </w:tblCellMar>
    </w:tblPr>
  </w:style>
  <w:style w:type="table" w:customStyle="1" w:styleId="TableGrid5">
    <w:name w:val="TableGrid5"/>
    <w:rsid w:val="002A104D"/>
    <w:rPr>
      <w:rFonts w:eastAsiaTheme="minorEastAsia"/>
      <w:lang w:val="lt-LT" w:eastAsia="lt-LT"/>
    </w:rPr>
    <w:tblPr>
      <w:tblCellMar>
        <w:top w:w="0" w:type="dxa"/>
        <w:left w:w="0" w:type="dxa"/>
        <w:bottom w:w="0" w:type="dxa"/>
        <w:right w:w="0" w:type="dxa"/>
      </w:tblCellMar>
    </w:tblPr>
  </w:style>
  <w:style w:type="table" w:customStyle="1" w:styleId="TableGrid6">
    <w:name w:val="TableGrid6"/>
    <w:rsid w:val="002A104D"/>
    <w:rPr>
      <w:rFonts w:eastAsiaTheme="minorEastAsia"/>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08fd98-d08b-466c-b4cc-aff0e66e7902" xsi:nil="true"/>
    <lcf76f155ced4ddcb4097134ff3c332f xmlns="cfc8a1c4-9a22-4ca5-9819-54865a651f5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465ADD93F7FE47912AEB8F2F35452E" ma:contentTypeVersion="10" ma:contentTypeDescription="Create a new document." ma:contentTypeScope="" ma:versionID="a3219a1981c094aae507cb4acf1ad9c9">
  <xsd:schema xmlns:xsd="http://www.w3.org/2001/XMLSchema" xmlns:xs="http://www.w3.org/2001/XMLSchema" xmlns:p="http://schemas.microsoft.com/office/2006/metadata/properties" xmlns:ns2="cfc8a1c4-9a22-4ca5-9819-54865a651f53" xmlns:ns3="5c08fd98-d08b-466c-b4cc-aff0e66e7902" targetNamespace="http://schemas.microsoft.com/office/2006/metadata/properties" ma:root="true" ma:fieldsID="9fb4ac24d47b2c1bc9084a2a8d2a07e9" ns2:_="" ns3:_="">
    <xsd:import namespace="cfc8a1c4-9a22-4ca5-9819-54865a651f53"/>
    <xsd:import namespace="5c08fd98-d08b-466c-b4cc-aff0e66e79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8a1c4-9a22-4ca5-9819-54865a651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3d9bfb0-8189-467f-a4ac-1ed3c15877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08fd98-d08b-466c-b4cc-aff0e66e79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db8cae-9906-4678-a8d5-7559f7620684}" ma:internalName="TaxCatchAll" ma:showField="CatchAllData" ma:web="5c08fd98-d08b-466c-b4cc-aff0e66e79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74BC4-D3C4-400F-9B12-F926EB151306}">
  <ds:schemaRefs>
    <ds:schemaRef ds:uri="http://schemas.microsoft.com/sharepoint/v3/contenttype/forms"/>
  </ds:schemaRefs>
</ds:datastoreItem>
</file>

<file path=customXml/itemProps2.xml><?xml version="1.0" encoding="utf-8"?>
<ds:datastoreItem xmlns:ds="http://schemas.openxmlformats.org/officeDocument/2006/customXml" ds:itemID="{86D4C484-97BE-4B2F-BE0F-8756E76A4E68}">
  <ds:schemaRefs>
    <ds:schemaRef ds:uri="http://schemas.microsoft.com/office/2006/metadata/properties"/>
    <ds:schemaRef ds:uri="http://schemas.microsoft.com/office/infopath/2007/PartnerControls"/>
    <ds:schemaRef ds:uri="5c08fd98-d08b-466c-b4cc-aff0e66e7902"/>
    <ds:schemaRef ds:uri="cfc8a1c4-9a22-4ca5-9819-54865a651f53"/>
  </ds:schemaRefs>
</ds:datastoreItem>
</file>

<file path=customXml/itemProps3.xml><?xml version="1.0" encoding="utf-8"?>
<ds:datastoreItem xmlns:ds="http://schemas.openxmlformats.org/officeDocument/2006/customXml" ds:itemID="{B3C5543C-62BB-4257-9C1D-B747635E1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8a1c4-9a22-4ca5-9819-54865a651f53"/>
    <ds:schemaRef ds:uri="5c08fd98-d08b-466c-b4cc-aff0e66e7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B35EEB-186E-430D-8D91-C29DC7D4E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3904</Words>
  <Characters>2226</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vkisielius</dc:creator>
  <dc:description/>
  <cp:lastModifiedBy>Greta Butkuviene</cp:lastModifiedBy>
  <cp:revision>2</cp:revision>
  <cp:lastPrinted>2025-12-01T09:01:00Z</cp:lastPrinted>
  <dcterms:created xsi:type="dcterms:W3CDTF">2025-12-30T05:49:00Z</dcterms:created>
  <dcterms:modified xsi:type="dcterms:W3CDTF">2025-12-30T05:49:00Z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0x010100C4465ADD93F7FE47912AEB8F2F35452E</vt:lpwstr>
  </property>
</Properties>
</file>