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6BEA6389" w:rsidR="002B06AB" w:rsidRDefault="00676F95">
            <w:pPr>
              <w:jc w:val="both"/>
              <w:rPr>
                <w:kern w:val="2"/>
                <w:szCs w:val="24"/>
              </w:rPr>
            </w:pPr>
            <w:r w:rsidRPr="00676F95">
              <w:rPr>
                <w:kern w:val="2"/>
                <w:szCs w:val="24"/>
              </w:rPr>
              <w:t>2026-01-06</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257A7500" w:rsidR="002B06AB" w:rsidRDefault="006D17BA">
            <w:pPr>
              <w:jc w:val="both"/>
              <w:rPr>
                <w:kern w:val="2"/>
                <w:szCs w:val="24"/>
              </w:rPr>
            </w:pPr>
            <w:r w:rsidRPr="006D17BA">
              <w:rPr>
                <w:kern w:val="2"/>
                <w:szCs w:val="24"/>
              </w:rPr>
              <w:t>EV12-6</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747A227A" w:rsidR="002B06AB" w:rsidRDefault="00EB334A">
            <w:pPr>
              <w:jc w:val="both"/>
              <w:rPr>
                <w:rFonts w:asciiTheme="majorBidi" w:hAnsiTheme="majorBidi" w:cstheme="majorBidi"/>
                <w:kern w:val="2"/>
              </w:rPr>
            </w:pPr>
            <w:r>
              <w:rPr>
                <w:rStyle w:val="normaltextrun"/>
                <w:color w:val="000000"/>
                <w:shd w:val="clear" w:color="auto" w:fill="FFFFFF"/>
              </w:rPr>
              <w:t>Chemijos</w:t>
            </w:r>
            <w:r w:rsidR="004C1336">
              <w:rPr>
                <w:rStyle w:val="normaltextrun"/>
                <w:color w:val="000000"/>
                <w:shd w:val="clear" w:color="auto" w:fill="FFFFFF"/>
              </w:rPr>
              <w:t xml:space="preserve"> valstybinio brandos egzamino </w:t>
            </w:r>
            <w:r w:rsidR="00BF63AD">
              <w:rPr>
                <w:rStyle w:val="normaltextrun"/>
                <w:color w:val="000000"/>
                <w:shd w:val="clear" w:color="auto" w:fill="FFFFFF"/>
              </w:rPr>
              <w:t>antr</w:t>
            </w:r>
            <w:r w:rsidR="004C1336">
              <w:rPr>
                <w:rStyle w:val="normaltextrun"/>
                <w:color w:val="000000"/>
                <w:shd w:val="clear" w:color="auto" w:fill="FFFFFF"/>
              </w:rPr>
              <w:t>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63FD349E" w:rsidR="002B06AB" w:rsidRDefault="00687D19">
            <w:pPr>
              <w:jc w:val="both"/>
              <w:rPr>
                <w:kern w:val="2"/>
              </w:rPr>
            </w:pPr>
            <w:r w:rsidRPr="00687D19">
              <w:rPr>
                <w:kern w:val="2"/>
              </w:rPr>
              <w:t>5739195</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675C481A" w:rsidR="002B06AB" w:rsidRDefault="00EB334A">
            <w:pPr>
              <w:rPr>
                <w:sz w:val="22"/>
                <w:szCs w:val="22"/>
              </w:rPr>
            </w:pPr>
            <w:r>
              <w:rPr>
                <w:sz w:val="22"/>
                <w:szCs w:val="22"/>
              </w:rPr>
              <w:t>V</w:t>
            </w:r>
            <w:r w:rsidR="00CA7ACC" w:rsidRPr="00CA7ACC">
              <w:rPr>
                <w:sz w:val="22"/>
                <w:szCs w:val="22"/>
              </w:rPr>
              <w:t xml:space="preserve"> kategorija. </w:t>
            </w:r>
            <w:r>
              <w:rPr>
                <w:sz w:val="22"/>
                <w:szCs w:val="22"/>
              </w:rPr>
              <w:t>Chemijos</w:t>
            </w:r>
            <w:r w:rsidR="00CA7ACC"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1B663C89" w:rsidR="002B06AB" w:rsidRPr="00DA0E50" w:rsidRDefault="002B06AB" w:rsidP="00C91FF9">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3C2D14E2" w:rsidR="002B06AB" w:rsidRPr="00DA0E50" w:rsidRDefault="002B06AB" w:rsidP="00C91FF9">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08E37F61" w:rsidR="002B06AB" w:rsidRPr="00DA0E50" w:rsidRDefault="002B06AB" w:rsidP="00C91FF9">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Pr="00DA0E50" w:rsidRDefault="002B06AB" w:rsidP="00C91FF9">
            <w:pPr>
              <w:rPr>
                <w:kern w:val="2"/>
                <w:szCs w:val="24"/>
              </w:rPr>
            </w:pPr>
          </w:p>
        </w:tc>
      </w:tr>
      <w:tr w:rsidR="00A72450"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A72450" w:rsidRDefault="00A72450" w:rsidP="00A7245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1A9A6962" w:rsidR="00A72450" w:rsidRPr="00DA0E50" w:rsidRDefault="00A72450" w:rsidP="00A72450">
            <w:pPr>
              <w:rPr>
                <w:kern w:val="2"/>
                <w:szCs w:val="24"/>
              </w:rPr>
            </w:pPr>
          </w:p>
        </w:tc>
      </w:tr>
      <w:tr w:rsidR="00A72450"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A72450" w:rsidRDefault="00A72450" w:rsidP="00A7245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30C99078" w:rsidR="00A72450" w:rsidRPr="00DA0E50" w:rsidRDefault="00A72450" w:rsidP="00A72450">
            <w:pPr>
              <w:rPr>
                <w:kern w:val="2"/>
                <w:szCs w:val="24"/>
              </w:rPr>
            </w:pPr>
          </w:p>
        </w:tc>
      </w:tr>
      <w:tr w:rsidR="00A72450"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A72450" w:rsidRDefault="00A72450" w:rsidP="00A7245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3FB82A74" w:rsidR="00A72450" w:rsidRPr="00DA0E50" w:rsidRDefault="00A72450" w:rsidP="00A72450">
            <w:pPr>
              <w:rPr>
                <w:kern w:val="2"/>
                <w:szCs w:val="24"/>
              </w:rPr>
            </w:pPr>
          </w:p>
        </w:tc>
      </w:tr>
      <w:tr w:rsidR="00A72450"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A72450" w:rsidRDefault="00A72450" w:rsidP="00A7245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17417C56" w:rsidR="00A72450" w:rsidRPr="00DA0E50" w:rsidRDefault="00A72450" w:rsidP="00A72450">
            <w:pPr>
              <w:rPr>
                <w:kern w:val="2"/>
                <w:szCs w:val="24"/>
              </w:rPr>
            </w:pPr>
          </w:p>
        </w:tc>
      </w:tr>
      <w:tr w:rsidR="00A72450"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A72450" w:rsidRDefault="00A72450" w:rsidP="00A7245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A72450" w:rsidRDefault="00A72450" w:rsidP="00A72450">
            <w:pPr>
              <w:rPr>
                <w:kern w:val="2"/>
                <w:szCs w:val="24"/>
              </w:rPr>
            </w:pPr>
          </w:p>
        </w:tc>
      </w:tr>
      <w:tr w:rsidR="00A72450"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A72450" w:rsidRDefault="00A72450" w:rsidP="00A72450">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A72450" w:rsidRDefault="00A72450" w:rsidP="00A7245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A72450" w:rsidRDefault="00A72450" w:rsidP="00A72450">
            <w:pP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 xml:space="preserve">Pasiekimų patikrinimo užduočių skyriaus vedėja Miglė </w:t>
            </w:r>
            <w:proofErr w:type="spellStart"/>
            <w:r>
              <w:t>Meidutė</w:t>
            </w:r>
            <w:proofErr w:type="spellEnd"/>
            <w:r>
              <w:t>,</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32D4B1C8" w:rsidR="002B06AB" w:rsidRDefault="002B06AB">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5A46F6B8" w:rsidR="00831855" w:rsidRDefault="00831855" w:rsidP="00831855">
            <w:pPr>
              <w:rPr>
                <w:kern w:val="2"/>
              </w:rPr>
            </w:pP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551D5BF4" w:rsidR="00831855" w:rsidRDefault="00EB334A" w:rsidP="00831855">
            <w:pPr>
              <w:rPr>
                <w:rStyle w:val="normaltextrun"/>
              </w:rPr>
            </w:pPr>
            <w:r>
              <w:rPr>
                <w:rStyle w:val="normaltextrun"/>
                <w:color w:val="000000"/>
                <w:shd w:val="clear" w:color="auto" w:fill="FFFFFF"/>
              </w:rPr>
              <w:t xml:space="preserve">Chemijos </w:t>
            </w:r>
            <w:r w:rsidR="002E1AEE">
              <w:rPr>
                <w:rStyle w:val="normaltextrun"/>
                <w:color w:val="000000"/>
                <w:shd w:val="clear" w:color="auto" w:fill="FFFFFF"/>
              </w:rPr>
              <w:t xml:space="preserve">valstybinio brandos egzamino </w:t>
            </w:r>
            <w:r w:rsidR="00BF63AD">
              <w:rPr>
                <w:rStyle w:val="normaltextrun"/>
                <w:color w:val="000000"/>
                <w:shd w:val="clear" w:color="auto" w:fill="FFFFFF"/>
              </w:rPr>
              <w:t>antr</w:t>
            </w:r>
            <w:r w:rsidR="002E1AEE">
              <w:rPr>
                <w:rStyle w:val="normaltextrun"/>
                <w:color w:val="000000"/>
                <w:shd w:val="clear" w:color="auto" w:fill="FFFFFF"/>
              </w:rPr>
              <w:t>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01EA6D13" w:rsidR="002B06AB" w:rsidRPr="00E57ADC" w:rsidRDefault="00EB334A">
            <w:pPr>
              <w:rPr>
                <w:kern w:val="2"/>
                <w:szCs w:val="24"/>
                <w:highlight w:val="yellow"/>
              </w:rPr>
            </w:pPr>
            <w:r>
              <w:rPr>
                <w:rStyle w:val="normaltextrun"/>
                <w:color w:val="000000"/>
                <w:shd w:val="clear" w:color="auto" w:fill="FFFFFF"/>
              </w:rPr>
              <w:t>Chemijos</w:t>
            </w:r>
            <w:r w:rsidR="002C10FB">
              <w:rPr>
                <w:rStyle w:val="normaltextrun"/>
                <w:color w:val="000000"/>
                <w:shd w:val="clear" w:color="auto" w:fill="FFFFFF"/>
              </w:rPr>
              <w:t xml:space="preserve"> valstybinio brandos egzamino </w:t>
            </w:r>
            <w:r w:rsidR="00467860">
              <w:rPr>
                <w:rStyle w:val="normaltextrun"/>
                <w:color w:val="000000"/>
                <w:shd w:val="clear" w:color="auto" w:fill="FFFFFF"/>
              </w:rPr>
              <w:t>antro</w:t>
            </w:r>
            <w:r w:rsidR="002C10FB">
              <w:rPr>
                <w:rStyle w:val="normaltextrun"/>
                <w:color w:val="000000"/>
                <w:shd w:val="clear" w:color="auto" w:fill="FFFFFF"/>
              </w:rPr>
              <w:t>sios dalies užduočių recenzavimo paslaugos</w:t>
            </w:r>
          </w:p>
          <w:p w14:paraId="797EAA23" w14:textId="4CEA31D8" w:rsidR="002B06AB" w:rsidRDefault="00CB7D7E">
            <w:r w:rsidRPr="002C10FB">
              <w:rPr>
                <w:kern w:val="2"/>
                <w:szCs w:val="24"/>
              </w:rPr>
              <w:t>Pirkimo Nr</w:t>
            </w:r>
            <w:r w:rsidRPr="002C10FB">
              <w:rPr>
                <w:kern w:val="2"/>
              </w:rPr>
              <w:t>.</w:t>
            </w:r>
            <w:r w:rsidR="00A72450">
              <w:rPr>
                <w:kern w:val="2"/>
              </w:rPr>
              <w:t xml:space="preserve"> </w:t>
            </w:r>
            <w:r w:rsidR="00687D19" w:rsidRPr="00687D19">
              <w:rPr>
                <w:kern w:val="2"/>
              </w:rPr>
              <w:t>5739195</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0D883ECF"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EB334A">
              <w:rPr>
                <w:rStyle w:val="normaltextrun"/>
                <w:color w:val="000000"/>
              </w:rPr>
              <w:t>chemijos</w:t>
            </w:r>
            <w:r w:rsidR="0030312E">
              <w:rPr>
                <w:rStyle w:val="normaltextrun"/>
                <w:color w:val="000000"/>
              </w:rPr>
              <w:t xml:space="preserve"> valstybinio brandos egzamino </w:t>
            </w:r>
            <w:r w:rsidR="00BF63AD">
              <w:rPr>
                <w:rStyle w:val="normaltextrun"/>
                <w:color w:val="000000"/>
              </w:rPr>
              <w:t>antr</w:t>
            </w:r>
            <w:r w:rsidR="0030312E">
              <w:rPr>
                <w:rStyle w:val="normaltextrun"/>
                <w:color w:val="000000"/>
              </w:rPr>
              <w:t>osios dalies u</w:t>
            </w:r>
            <w:r w:rsidRPr="0030312E">
              <w:rPr>
                <w:rStyle w:val="normaltextrun"/>
                <w:color w:val="000000"/>
              </w:rPr>
              <w:t>žduočių recenzijų parengimo ir perdavimo Užsakovui terminai</w:t>
            </w:r>
            <w:r>
              <w:rPr>
                <w:rStyle w:val="normaltextrun"/>
                <w:color w:val="000000"/>
              </w:rPr>
              <w:t>:</w:t>
            </w:r>
          </w:p>
          <w:p w14:paraId="0532D2B0" w14:textId="4C8E327D"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kovo </w:t>
            </w:r>
            <w:r w:rsidR="00467860">
              <w:rPr>
                <w:rStyle w:val="normaltextrun"/>
                <w:color w:val="000000"/>
              </w:rPr>
              <w:t>20</w:t>
            </w:r>
            <w:r>
              <w:rPr>
                <w:rStyle w:val="normaltextrun"/>
                <w:color w:val="000000"/>
              </w:rPr>
              <w:t xml:space="preserve"> d.;</w:t>
            </w:r>
          </w:p>
          <w:p w14:paraId="09C95E04" w14:textId="6F2D8E92"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balandžio </w:t>
            </w:r>
            <w:r w:rsidR="00467860">
              <w:rPr>
                <w:rStyle w:val="normaltextrun"/>
                <w:color w:val="000000"/>
              </w:rPr>
              <w:t>20</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726E85">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058973A6" w:rsidR="00020AAC" w:rsidRPr="00E57ADC" w:rsidRDefault="00CB7D7E">
            <w:pPr>
              <w:jc w:val="both"/>
              <w:rPr>
                <w:highlight w:val="yellow"/>
              </w:rPr>
            </w:pPr>
            <w:r w:rsidRPr="00B81DE5">
              <w:rPr>
                <w:kern w:val="2"/>
                <w:szCs w:val="24"/>
              </w:rPr>
              <w:t xml:space="preserve">4.5.1. </w:t>
            </w:r>
            <w:r w:rsidR="00DF00F4">
              <w:rPr>
                <w:kern w:val="2"/>
                <w:szCs w:val="24"/>
              </w:rPr>
              <w:t>Chemijos</w:t>
            </w:r>
            <w:r w:rsidR="00714CAB">
              <w:rPr>
                <w:kern w:val="2"/>
                <w:szCs w:val="24"/>
              </w:rPr>
              <w:t xml:space="preserve"> valstybinio brandos egzamino </w:t>
            </w:r>
            <w:r w:rsidR="00BF63AD">
              <w:rPr>
                <w:kern w:val="2"/>
                <w:szCs w:val="24"/>
              </w:rPr>
              <w:t>antr</w:t>
            </w:r>
            <w:r w:rsidR="00C76055">
              <w:rPr>
                <w:kern w:val="2"/>
                <w:szCs w:val="24"/>
              </w:rPr>
              <w:t>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proofErr w:type="spellStart"/>
            <w:r w:rsidR="00020AAC">
              <w:rPr>
                <w:rStyle w:val="normaltextrun"/>
                <w:i/>
                <w:iCs/>
                <w:color w:val="000000"/>
                <w:shd w:val="clear" w:color="auto" w:fill="FFFFFF"/>
              </w:rPr>
              <w:t>docx</w:t>
            </w:r>
            <w:proofErr w:type="spellEnd"/>
            <w:r w:rsidR="00020AAC">
              <w:rPr>
                <w:rStyle w:val="normaltextrun"/>
                <w:color w:val="000000"/>
                <w:shd w:val="clear" w:color="auto" w:fill="FFFFFF"/>
              </w:rPr>
              <w:t xml:space="preserve"> formatu.</w:t>
            </w:r>
          </w:p>
          <w:p w14:paraId="50C4EA2E" w14:textId="3CEC72CE"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DF00F4">
              <w:rPr>
                <w:kern w:val="2"/>
                <w:szCs w:val="24"/>
              </w:rPr>
              <w:t>chemijos</w:t>
            </w:r>
            <w:r w:rsidR="001723B7">
              <w:rPr>
                <w:kern w:val="2"/>
                <w:szCs w:val="24"/>
              </w:rPr>
              <w:t xml:space="preserve"> valstybinio brandos egzamino </w:t>
            </w:r>
            <w:r w:rsidR="00BF63AD">
              <w:rPr>
                <w:kern w:val="2"/>
                <w:szCs w:val="24"/>
              </w:rPr>
              <w:t>antr</w:t>
            </w:r>
            <w:r w:rsidR="001723B7">
              <w:rPr>
                <w:kern w:val="2"/>
                <w:szCs w:val="24"/>
              </w:rPr>
              <w:t>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4BC5E17A" w:rsidR="002B06AB" w:rsidRDefault="00CB7D7E">
            <w:pPr>
              <w:jc w:val="both"/>
              <w:rPr>
                <w:iCs/>
                <w:kern w:val="2"/>
                <w:szCs w:val="24"/>
              </w:rPr>
            </w:pPr>
            <w:r>
              <w:rPr>
                <w:kern w:val="2"/>
                <w:szCs w:val="24"/>
              </w:rPr>
              <w:t xml:space="preserve">Sutarties kaina yra </w:t>
            </w:r>
            <w:r w:rsidR="008D4840" w:rsidRPr="008D4840">
              <w:rPr>
                <w:iCs/>
                <w:kern w:val="2"/>
                <w:szCs w:val="24"/>
              </w:rPr>
              <w:t>4600,00</w:t>
            </w:r>
            <w:r w:rsidRPr="008D4840">
              <w:rPr>
                <w:iCs/>
                <w:kern w:val="2"/>
                <w:szCs w:val="24"/>
              </w:rPr>
              <w:t xml:space="preserve"> Eur (</w:t>
            </w:r>
            <w:r w:rsidR="008D4840" w:rsidRPr="008D4840">
              <w:rPr>
                <w:iCs/>
                <w:kern w:val="2"/>
                <w:szCs w:val="24"/>
              </w:rPr>
              <w:t>keturi tūkstančiai šeši šimtai eurų)</w:t>
            </w:r>
            <w:r w:rsidRPr="008D4840">
              <w:rPr>
                <w:iCs/>
                <w:kern w:val="2"/>
                <w:szCs w:val="24"/>
              </w:rPr>
              <w:t>.</w:t>
            </w:r>
          </w:p>
          <w:p w14:paraId="076D8AA4" w14:textId="77777777" w:rsidR="008D4840" w:rsidRPr="00F26908" w:rsidRDefault="008D4840">
            <w:pPr>
              <w:jc w:val="both"/>
              <w:rPr>
                <w:szCs w:val="24"/>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F344FB">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3E06A2">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3E06A2">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3E06A2">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58055C43"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DF00F4">
              <w:rPr>
                <w:rFonts w:cstheme="majorBidi"/>
              </w:rPr>
              <w:t>chemijos</w:t>
            </w:r>
            <w:r w:rsidR="00541FF5" w:rsidRPr="002C41C3">
              <w:rPr>
                <w:rFonts w:cstheme="majorBidi"/>
              </w:rPr>
              <w:t xml:space="preserve"> valstybinio brandos egzamino </w:t>
            </w:r>
            <w:r w:rsidR="00791957">
              <w:rPr>
                <w:rFonts w:cstheme="majorBidi"/>
              </w:rPr>
              <w:t>antr</w:t>
            </w:r>
            <w:r w:rsidR="00146FF4" w:rsidRPr="002C41C3">
              <w:rPr>
                <w:rFonts w:cstheme="majorBidi"/>
              </w:rPr>
              <w:t>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1006E52B" w:rsidR="002B06AB" w:rsidRPr="009931F2" w:rsidRDefault="002B06AB">
            <w:pPr>
              <w:rPr>
                <w:rFonts w:asciiTheme="majorBidi" w:hAnsiTheme="majorBidi" w:cstheme="majorBidi"/>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3E06A2">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64E58734" w:rsidR="002B06AB" w:rsidRDefault="00CB7D7E">
            <w:pPr>
              <w:jc w:val="both"/>
            </w:pPr>
            <w:r>
              <w:rPr>
                <w:kern w:val="2"/>
                <w:szCs w:val="24"/>
              </w:rPr>
              <w:t>9.10.3. Pažeidus kitų asmenų autorines teises mokama bauda 10 (dešimt) proc. nuo Sutarties specialių</w:t>
            </w:r>
            <w:r w:rsidR="008D4840">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64376844" w:rsidR="002B06AB" w:rsidRPr="00BC21C3" w:rsidRDefault="00BC21C3">
            <w:pPr>
              <w:jc w:val="center"/>
              <w:rPr>
                <w:iCs/>
                <w:kern w:val="2"/>
                <w:szCs w:val="24"/>
              </w:rPr>
            </w:pPr>
            <w:r w:rsidRPr="00BC21C3">
              <w:rPr>
                <w:iCs/>
                <w:kern w:val="2"/>
                <w:szCs w:val="24"/>
              </w:rPr>
              <w:t xml:space="preserve">Direktorius Simonas </w:t>
            </w:r>
            <w:proofErr w:type="spellStart"/>
            <w:r w:rsidRPr="00BC21C3">
              <w:rPr>
                <w:iCs/>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3925E69" w:rsidR="002B06AB" w:rsidRPr="00BC21C3" w:rsidRDefault="002B06AB">
            <w:pPr>
              <w:jc w:val="center"/>
              <w:rPr>
                <w:b/>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EAF4" w14:textId="77777777" w:rsidR="00F344FB" w:rsidRDefault="00F344FB">
      <w:r>
        <w:separator/>
      </w:r>
    </w:p>
  </w:endnote>
  <w:endnote w:type="continuationSeparator" w:id="0">
    <w:p w14:paraId="4716A903" w14:textId="77777777" w:rsidR="00F344FB" w:rsidRDefault="00F3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3EBC" w14:textId="77777777" w:rsidR="00F344FB" w:rsidRDefault="00F344FB">
      <w:pPr>
        <w:rPr>
          <w:sz w:val="12"/>
        </w:rPr>
      </w:pPr>
      <w:r>
        <w:separator/>
      </w:r>
    </w:p>
  </w:footnote>
  <w:footnote w:type="continuationSeparator" w:id="0">
    <w:p w14:paraId="5D6CEE66" w14:textId="77777777" w:rsidR="00F344FB" w:rsidRDefault="00F344FB">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28DA3793"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315E20">
      <w:rPr>
        <w:rFonts w:ascii="Arial" w:eastAsia="Arial" w:hAnsi="Arial" w:cs="Arial"/>
        <w:noProof/>
        <w:sz w:val="18"/>
        <w:szCs w:val="18"/>
      </w:rPr>
      <w:t>9</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AB"/>
    <w:rsid w:val="00020AAC"/>
    <w:rsid w:val="00023929"/>
    <w:rsid w:val="00054F49"/>
    <w:rsid w:val="00063BC0"/>
    <w:rsid w:val="00072971"/>
    <w:rsid w:val="000B6256"/>
    <w:rsid w:val="000B64DF"/>
    <w:rsid w:val="000C15FA"/>
    <w:rsid w:val="000C4350"/>
    <w:rsid w:val="00114BDE"/>
    <w:rsid w:val="00146FF4"/>
    <w:rsid w:val="00167B27"/>
    <w:rsid w:val="001723B7"/>
    <w:rsid w:val="0023152F"/>
    <w:rsid w:val="00244199"/>
    <w:rsid w:val="00291739"/>
    <w:rsid w:val="002B06AB"/>
    <w:rsid w:val="002C10FB"/>
    <w:rsid w:val="002C41C3"/>
    <w:rsid w:val="002C543C"/>
    <w:rsid w:val="002E1AEE"/>
    <w:rsid w:val="00301B8C"/>
    <w:rsid w:val="0030312E"/>
    <w:rsid w:val="00307EB3"/>
    <w:rsid w:val="00312C1A"/>
    <w:rsid w:val="00315E20"/>
    <w:rsid w:val="00331D7A"/>
    <w:rsid w:val="0036102E"/>
    <w:rsid w:val="00373800"/>
    <w:rsid w:val="00377F43"/>
    <w:rsid w:val="00381A5B"/>
    <w:rsid w:val="003B2E20"/>
    <w:rsid w:val="003D07A5"/>
    <w:rsid w:val="003E06A2"/>
    <w:rsid w:val="00436747"/>
    <w:rsid w:val="00467860"/>
    <w:rsid w:val="004C1336"/>
    <w:rsid w:val="004F4285"/>
    <w:rsid w:val="00506BE6"/>
    <w:rsid w:val="00541FF5"/>
    <w:rsid w:val="00580758"/>
    <w:rsid w:val="00580CBF"/>
    <w:rsid w:val="00584DA9"/>
    <w:rsid w:val="005A3383"/>
    <w:rsid w:val="00632168"/>
    <w:rsid w:val="006366C1"/>
    <w:rsid w:val="00644E6E"/>
    <w:rsid w:val="00670CB0"/>
    <w:rsid w:val="00676F95"/>
    <w:rsid w:val="00687D19"/>
    <w:rsid w:val="006C74C0"/>
    <w:rsid w:val="006D17BA"/>
    <w:rsid w:val="006E46A8"/>
    <w:rsid w:val="00713D36"/>
    <w:rsid w:val="00714CAB"/>
    <w:rsid w:val="007162C9"/>
    <w:rsid w:val="00726E85"/>
    <w:rsid w:val="00731BD6"/>
    <w:rsid w:val="00791957"/>
    <w:rsid w:val="007B181C"/>
    <w:rsid w:val="007B1A11"/>
    <w:rsid w:val="00831855"/>
    <w:rsid w:val="00853A47"/>
    <w:rsid w:val="0087318E"/>
    <w:rsid w:val="008826B6"/>
    <w:rsid w:val="00894B54"/>
    <w:rsid w:val="008D4840"/>
    <w:rsid w:val="008F0AEF"/>
    <w:rsid w:val="009156AB"/>
    <w:rsid w:val="009548FE"/>
    <w:rsid w:val="00967B25"/>
    <w:rsid w:val="009931F2"/>
    <w:rsid w:val="009A20DC"/>
    <w:rsid w:val="009B7228"/>
    <w:rsid w:val="009D7A2D"/>
    <w:rsid w:val="009F2A07"/>
    <w:rsid w:val="00A00CEE"/>
    <w:rsid w:val="00A37623"/>
    <w:rsid w:val="00A72450"/>
    <w:rsid w:val="00A80EC5"/>
    <w:rsid w:val="00B25F07"/>
    <w:rsid w:val="00B4553E"/>
    <w:rsid w:val="00B64849"/>
    <w:rsid w:val="00B70616"/>
    <w:rsid w:val="00B81DE5"/>
    <w:rsid w:val="00BC21C3"/>
    <w:rsid w:val="00BF63AD"/>
    <w:rsid w:val="00C66E60"/>
    <w:rsid w:val="00C76055"/>
    <w:rsid w:val="00C91FF9"/>
    <w:rsid w:val="00C92973"/>
    <w:rsid w:val="00CA6BB0"/>
    <w:rsid w:val="00CA7ACC"/>
    <w:rsid w:val="00CB7D7E"/>
    <w:rsid w:val="00CE5F19"/>
    <w:rsid w:val="00D61A56"/>
    <w:rsid w:val="00D75886"/>
    <w:rsid w:val="00DA0E50"/>
    <w:rsid w:val="00DE02C8"/>
    <w:rsid w:val="00DE060E"/>
    <w:rsid w:val="00DF00F4"/>
    <w:rsid w:val="00DF175F"/>
    <w:rsid w:val="00E0780E"/>
    <w:rsid w:val="00E54C2B"/>
    <w:rsid w:val="00E57ADC"/>
    <w:rsid w:val="00E729E5"/>
    <w:rsid w:val="00E9107B"/>
    <w:rsid w:val="00EB334A"/>
    <w:rsid w:val="00EC2A63"/>
    <w:rsid w:val="00EE6836"/>
    <w:rsid w:val="00F0388C"/>
    <w:rsid w:val="00F24C25"/>
    <w:rsid w:val="00F26908"/>
    <w:rsid w:val="00F344FB"/>
    <w:rsid w:val="00F748CA"/>
    <w:rsid w:val="00F74DD0"/>
    <w:rsid w:val="00F83D14"/>
    <w:rsid w:val="00FC1A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customStyle="1" w:styleId="Neapdorotaspaminjimas1">
    <w:name w:val="Neapdorotas paminėjimas1"/>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F3744CD-6384-4F6B-8E63-E2E823AA9AB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15863</Words>
  <Characters>9042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2026-01-08T12:34:00Z</dcterms:created>
  <dcterms:modified xsi:type="dcterms:W3CDTF">2026-01-08T12:34:00Z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