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517" w:type="pct"/>
        <w:tblInd w:w="-996" w:type="dxa"/>
        <w:tblLook w:val="04A0" w:firstRow="1" w:lastRow="0" w:firstColumn="1" w:lastColumn="0" w:noHBand="0" w:noVBand="1"/>
      </w:tblPr>
      <w:tblGrid>
        <w:gridCol w:w="567"/>
        <w:gridCol w:w="4821"/>
        <w:gridCol w:w="5240"/>
      </w:tblGrid>
      <w:tr w:rsidR="008C693C" w:rsidRPr="00553ECC" w14:paraId="22D5C5D2" w14:textId="77777777" w:rsidTr="002D0BA1">
        <w:tc>
          <w:tcPr>
            <w:tcW w:w="2535"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11773931" w:rsidR="008C693C" w:rsidRPr="00553ECC" w:rsidRDefault="00F47A64" w:rsidP="002D0BA1">
            <w:pPr>
              <w:jc w:val="center"/>
              <w:rPr>
                <w:rFonts w:ascii="Arial" w:hAnsi="Arial" w:cs="Arial"/>
                <w:b/>
                <w:bCs/>
                <w:color w:val="000000" w:themeColor="text1"/>
                <w:sz w:val="20"/>
                <w:szCs w:val="20"/>
              </w:rPr>
            </w:pPr>
            <w:r w:rsidRPr="00553ECC">
              <w:rPr>
                <w:rFonts w:ascii="Arial" w:hAnsi="Arial" w:cs="Arial"/>
                <w:b/>
                <w:bCs/>
                <w:color w:val="000000" w:themeColor="text1"/>
                <w:sz w:val="20"/>
                <w:szCs w:val="20"/>
              </w:rPr>
              <w:t>TECHNINĖ SPECIFIKACIJA</w:t>
            </w:r>
          </w:p>
        </w:tc>
        <w:tc>
          <w:tcPr>
            <w:tcW w:w="246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4DBA064E" w:rsidR="008C693C" w:rsidRPr="00553ECC" w:rsidRDefault="002D0BA1" w:rsidP="002D0BA1">
            <w:pPr>
              <w:pStyle w:val="Subtitle"/>
              <w:rPr>
                <w:rFonts w:ascii="Arial" w:hAnsi="Arial" w:cs="Arial"/>
                <w:b/>
                <w:bCs/>
                <w:color w:val="000000" w:themeColor="text1"/>
                <w:sz w:val="20"/>
                <w:szCs w:val="20"/>
                <w:u w:val="none"/>
                <w:lang w:val="en-GB"/>
              </w:rPr>
            </w:pPr>
            <w:r>
              <w:rPr>
                <w:rFonts w:ascii="Arial" w:hAnsi="Arial" w:cs="Arial"/>
                <w:b/>
                <w:bCs/>
                <w:color w:val="000000" w:themeColor="text1"/>
                <w:sz w:val="20"/>
                <w:szCs w:val="20"/>
                <w:u w:val="none"/>
                <w:lang w:val="en-GB"/>
              </w:rPr>
              <w:t xml:space="preserve">                   </w:t>
            </w:r>
            <w:r w:rsidR="00F47A64" w:rsidRPr="00553ECC">
              <w:rPr>
                <w:rFonts w:ascii="Arial" w:hAnsi="Arial" w:cs="Arial"/>
                <w:b/>
                <w:bCs/>
                <w:color w:val="000000" w:themeColor="text1"/>
                <w:sz w:val="20"/>
                <w:szCs w:val="20"/>
                <w:u w:val="none"/>
                <w:lang w:val="en-GB"/>
              </w:rPr>
              <w:t>TECHNICAL SPECIFICATION</w:t>
            </w:r>
          </w:p>
        </w:tc>
      </w:tr>
      <w:tr w:rsidR="008C6AFA" w:rsidRPr="00553ECC" w14:paraId="0F7274FA" w14:textId="77777777" w:rsidTr="002D0BA1">
        <w:tc>
          <w:tcPr>
            <w:tcW w:w="267" w:type="pct"/>
            <w:vAlign w:val="center"/>
          </w:tcPr>
          <w:p w14:paraId="3DB3B4F1" w14:textId="380DC30D" w:rsidR="008C6AFA" w:rsidRPr="00182B3C" w:rsidRDefault="008C6AFA" w:rsidP="002D0BA1">
            <w:pPr>
              <w:pStyle w:val="ListParagraph"/>
              <w:numPr>
                <w:ilvl w:val="0"/>
                <w:numId w:val="21"/>
              </w:numPr>
              <w:ind w:left="-203" w:right="-720"/>
              <w:jc w:val="center"/>
              <w:rPr>
                <w:rFonts w:ascii="Arial" w:hAnsi="Arial" w:cs="Arial"/>
                <w:b/>
                <w:bCs/>
                <w:sz w:val="20"/>
                <w:szCs w:val="20"/>
              </w:rPr>
            </w:pPr>
          </w:p>
        </w:tc>
        <w:tc>
          <w:tcPr>
            <w:tcW w:w="2268" w:type="pct"/>
          </w:tcPr>
          <w:p w14:paraId="323165F5" w14:textId="4E8871E9" w:rsidR="008C6AFA" w:rsidRPr="00553ECC" w:rsidRDefault="00F47A64" w:rsidP="002D0BA1">
            <w:pPr>
              <w:rPr>
                <w:rFonts w:ascii="Arial" w:hAnsi="Arial" w:cs="Arial"/>
                <w:sz w:val="20"/>
                <w:szCs w:val="20"/>
              </w:rPr>
            </w:pPr>
            <w:r w:rsidRPr="00553ECC">
              <w:rPr>
                <w:rFonts w:ascii="Arial" w:hAnsi="Arial" w:cs="Arial"/>
                <w:b/>
                <w:bCs/>
                <w:sz w:val="20"/>
                <w:szCs w:val="20"/>
              </w:rPr>
              <w:t>Informacija apie perkam</w:t>
            </w:r>
            <w:r w:rsidR="009141FC">
              <w:rPr>
                <w:rFonts w:ascii="Arial" w:hAnsi="Arial" w:cs="Arial"/>
                <w:b/>
                <w:bCs/>
                <w:sz w:val="20"/>
                <w:szCs w:val="20"/>
              </w:rPr>
              <w:t>ą</w:t>
            </w:r>
            <w:r w:rsidRPr="00553ECC">
              <w:rPr>
                <w:rFonts w:ascii="Arial" w:hAnsi="Arial" w:cs="Arial"/>
                <w:b/>
                <w:bCs/>
                <w:sz w:val="20"/>
                <w:szCs w:val="20"/>
              </w:rPr>
              <w:t xml:space="preserve"> prek</w:t>
            </w:r>
            <w:r w:rsidR="009141FC">
              <w:rPr>
                <w:rFonts w:ascii="Arial" w:hAnsi="Arial" w:cs="Arial"/>
                <w:b/>
                <w:bCs/>
                <w:sz w:val="20"/>
                <w:szCs w:val="20"/>
              </w:rPr>
              <w:t>ę</w:t>
            </w:r>
            <w:r w:rsidRPr="00553ECC">
              <w:rPr>
                <w:rFonts w:ascii="Arial" w:hAnsi="Arial" w:cs="Arial"/>
                <w:b/>
                <w:bCs/>
                <w:sz w:val="20"/>
                <w:szCs w:val="20"/>
              </w:rPr>
              <w:t>:</w:t>
            </w:r>
          </w:p>
        </w:tc>
        <w:tc>
          <w:tcPr>
            <w:tcW w:w="2465" w:type="pct"/>
            <w:vAlign w:val="center"/>
          </w:tcPr>
          <w:p w14:paraId="2C212AC4" w14:textId="3074A69F" w:rsidR="008C6AFA" w:rsidRPr="00553ECC" w:rsidRDefault="00E718C5" w:rsidP="002D0BA1">
            <w:pPr>
              <w:jc w:val="center"/>
              <w:rPr>
                <w:rFonts w:ascii="Arial" w:hAnsi="Arial" w:cs="Arial"/>
                <w:sz w:val="20"/>
                <w:szCs w:val="20"/>
                <w:lang w:val="en-US"/>
              </w:rPr>
            </w:pPr>
            <w:r w:rsidRPr="00553ECC">
              <w:rPr>
                <w:rFonts w:ascii="Arial" w:hAnsi="Arial" w:cs="Arial"/>
                <w:b/>
                <w:sz w:val="20"/>
                <w:szCs w:val="20"/>
                <w:lang w:val="en-US"/>
              </w:rPr>
              <w:t xml:space="preserve">   </w:t>
            </w:r>
            <w:r w:rsidR="00F47A64" w:rsidRPr="00553ECC">
              <w:rPr>
                <w:rFonts w:ascii="Arial" w:hAnsi="Arial" w:cs="Arial"/>
                <w:b/>
                <w:sz w:val="20"/>
                <w:szCs w:val="20"/>
                <w:lang w:val="en-US"/>
              </w:rPr>
              <w:t>Information about purchasable goods:</w:t>
            </w:r>
          </w:p>
        </w:tc>
      </w:tr>
      <w:tr w:rsidR="008C6AFA" w:rsidRPr="00553ECC" w14:paraId="4731A4CB" w14:textId="77777777" w:rsidTr="002D0BA1">
        <w:trPr>
          <w:trHeight w:val="359"/>
        </w:trPr>
        <w:tc>
          <w:tcPr>
            <w:tcW w:w="267" w:type="pct"/>
            <w:vAlign w:val="center"/>
          </w:tcPr>
          <w:p w14:paraId="2F74C59E" w14:textId="51D5D9AD" w:rsidR="008C6AFA" w:rsidRPr="00182B3C" w:rsidRDefault="008C6AFA" w:rsidP="002D0BA1">
            <w:pPr>
              <w:pStyle w:val="ListParagraph"/>
              <w:numPr>
                <w:ilvl w:val="1"/>
                <w:numId w:val="15"/>
              </w:numPr>
              <w:ind w:right="37" w:hanging="743"/>
              <w:jc w:val="center"/>
              <w:rPr>
                <w:rFonts w:ascii="Arial" w:hAnsi="Arial" w:cs="Arial"/>
                <w:sz w:val="20"/>
                <w:szCs w:val="20"/>
              </w:rPr>
            </w:pPr>
          </w:p>
        </w:tc>
        <w:tc>
          <w:tcPr>
            <w:tcW w:w="2268" w:type="pct"/>
          </w:tcPr>
          <w:p w14:paraId="2DCE0B34" w14:textId="26DE699D" w:rsidR="008C6AFA" w:rsidRPr="00BF795F" w:rsidRDefault="00182B3C" w:rsidP="006E5A86">
            <w:pPr>
              <w:tabs>
                <w:tab w:val="left" w:pos="142"/>
                <w:tab w:val="left" w:pos="426"/>
              </w:tabs>
              <w:jc w:val="both"/>
              <w:rPr>
                <w:rFonts w:ascii="Arial" w:hAnsi="Arial" w:cs="Arial"/>
                <w:sz w:val="20"/>
                <w:szCs w:val="20"/>
                <w:lang w:val="en-US"/>
              </w:rPr>
            </w:pPr>
            <w:r w:rsidRPr="00182B3C">
              <w:rPr>
                <w:rFonts w:ascii="Arial" w:hAnsi="Arial" w:cs="Arial"/>
                <w:sz w:val="20"/>
                <w:szCs w:val="20"/>
              </w:rPr>
              <w:t>Perkam</w:t>
            </w:r>
            <w:r w:rsidR="009141FC">
              <w:rPr>
                <w:rFonts w:ascii="Arial" w:hAnsi="Arial" w:cs="Arial"/>
                <w:sz w:val="20"/>
                <w:szCs w:val="20"/>
              </w:rPr>
              <w:t>a</w:t>
            </w:r>
            <w:r w:rsidRPr="00182B3C">
              <w:rPr>
                <w:rFonts w:ascii="Arial" w:hAnsi="Arial" w:cs="Arial"/>
                <w:sz w:val="20"/>
                <w:szCs w:val="20"/>
              </w:rPr>
              <w:t xml:space="preserve"> prekė: </w:t>
            </w:r>
            <w:r w:rsidR="009141FC">
              <w:rPr>
                <w:rFonts w:ascii="Arial" w:hAnsi="Arial" w:cs="Arial"/>
                <w:sz w:val="20"/>
                <w:szCs w:val="20"/>
              </w:rPr>
              <w:t xml:space="preserve">Akumuliatorių baterijų talpos matavimo prietaisas su priedais </w:t>
            </w:r>
            <w:r w:rsidRPr="00182B3C">
              <w:rPr>
                <w:rFonts w:ascii="Arial" w:hAnsi="Arial" w:cs="Arial"/>
                <w:sz w:val="20"/>
                <w:szCs w:val="20"/>
              </w:rPr>
              <w:t>(toliau – Prekė).</w:t>
            </w:r>
          </w:p>
        </w:tc>
        <w:tc>
          <w:tcPr>
            <w:tcW w:w="2465" w:type="pct"/>
          </w:tcPr>
          <w:p w14:paraId="54908455" w14:textId="6B18BE93" w:rsidR="008C6AFA" w:rsidRPr="00BF795F" w:rsidRDefault="00182B3C" w:rsidP="006E5A86">
            <w:pPr>
              <w:jc w:val="both"/>
              <w:rPr>
                <w:rFonts w:ascii="Arial" w:hAnsi="Arial" w:cs="Arial"/>
                <w:bCs/>
                <w:sz w:val="20"/>
                <w:szCs w:val="20"/>
                <w:lang w:val="en-US"/>
              </w:rPr>
            </w:pPr>
            <w:r w:rsidRPr="00182B3C">
              <w:rPr>
                <w:rFonts w:ascii="Arial" w:hAnsi="Arial" w:cs="Arial"/>
                <w:bCs/>
                <w:sz w:val="20"/>
                <w:szCs w:val="20"/>
                <w:lang w:val="en-US"/>
              </w:rPr>
              <w:t xml:space="preserve">Purchasable goods: </w:t>
            </w:r>
            <w:r w:rsidR="009141FC">
              <w:rPr>
                <w:rFonts w:ascii="Arial" w:hAnsi="Arial" w:cs="Arial"/>
                <w:bCs/>
                <w:sz w:val="20"/>
                <w:szCs w:val="20"/>
                <w:lang w:val="en-US"/>
              </w:rPr>
              <w:t xml:space="preserve">Battery capacity measurement device with </w:t>
            </w:r>
            <w:r w:rsidR="009141FC" w:rsidRPr="009141FC">
              <w:rPr>
                <w:rFonts w:ascii="Arial" w:hAnsi="Arial" w:cs="Arial"/>
                <w:bCs/>
                <w:sz w:val="20"/>
                <w:szCs w:val="20"/>
                <w:lang w:val="en-US"/>
              </w:rPr>
              <w:t xml:space="preserve">accessories </w:t>
            </w:r>
            <w:r w:rsidRPr="00182B3C">
              <w:rPr>
                <w:rFonts w:ascii="Arial" w:hAnsi="Arial" w:cs="Arial"/>
                <w:sz w:val="20"/>
                <w:szCs w:val="20"/>
                <w:lang w:val="en-US"/>
              </w:rPr>
              <w:t>(hereinafter – Good).</w:t>
            </w:r>
          </w:p>
        </w:tc>
      </w:tr>
      <w:tr w:rsidR="00182B3C" w:rsidRPr="00553ECC" w14:paraId="51C1C34E" w14:textId="77777777" w:rsidTr="002D0BA1">
        <w:trPr>
          <w:trHeight w:val="334"/>
        </w:trPr>
        <w:tc>
          <w:tcPr>
            <w:tcW w:w="267" w:type="pct"/>
            <w:vAlign w:val="center"/>
          </w:tcPr>
          <w:p w14:paraId="7F6B9558"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5D4D42DC" w14:textId="2F540C8F" w:rsidR="00182B3C" w:rsidRPr="00A32B4E" w:rsidRDefault="00182B3C" w:rsidP="002D0BA1">
            <w:pPr>
              <w:jc w:val="both"/>
              <w:rPr>
                <w:rFonts w:ascii="Arial" w:hAnsi="Arial" w:cs="Arial"/>
                <w:sz w:val="20"/>
                <w:szCs w:val="20"/>
              </w:rPr>
            </w:pPr>
            <w:r w:rsidRPr="00182B3C">
              <w:rPr>
                <w:rFonts w:ascii="Arial" w:hAnsi="Arial" w:cs="Arial"/>
                <w:sz w:val="20"/>
                <w:szCs w:val="20"/>
              </w:rPr>
              <w:t xml:space="preserve">Prekių </w:t>
            </w:r>
            <w:proofErr w:type="spellStart"/>
            <w:r w:rsidRPr="009141FC">
              <w:rPr>
                <w:rFonts w:ascii="Arial" w:hAnsi="Arial" w:cs="Arial"/>
                <w:sz w:val="20"/>
                <w:szCs w:val="20"/>
                <w:lang w:val="en-US"/>
              </w:rPr>
              <w:t>pristatymo</w:t>
            </w:r>
            <w:proofErr w:type="spellEnd"/>
            <w:r w:rsidRPr="009141FC">
              <w:rPr>
                <w:rFonts w:ascii="Arial" w:hAnsi="Arial" w:cs="Arial"/>
                <w:sz w:val="20"/>
                <w:szCs w:val="20"/>
                <w:lang w:val="en-US"/>
              </w:rPr>
              <w:t xml:space="preserve"> </w:t>
            </w:r>
            <w:proofErr w:type="spellStart"/>
            <w:r w:rsidR="002D0BA1" w:rsidRPr="009141FC">
              <w:rPr>
                <w:rFonts w:ascii="Arial" w:hAnsi="Arial" w:cs="Arial"/>
                <w:sz w:val="20"/>
                <w:szCs w:val="20"/>
                <w:lang w:val="en-US"/>
              </w:rPr>
              <w:t>adresas</w:t>
            </w:r>
            <w:proofErr w:type="spellEnd"/>
            <w:r w:rsidRPr="009141FC">
              <w:rPr>
                <w:rFonts w:ascii="Arial" w:hAnsi="Arial" w:cs="Arial"/>
                <w:sz w:val="20"/>
                <w:szCs w:val="20"/>
                <w:lang w:val="en-US"/>
              </w:rPr>
              <w:t>:</w:t>
            </w:r>
            <w:r w:rsidR="009141FC" w:rsidRPr="009141FC">
              <w:rPr>
                <w:rFonts w:ascii="Arial" w:hAnsi="Arial" w:cs="Arial"/>
                <w:sz w:val="20"/>
                <w:szCs w:val="20"/>
                <w:lang w:val="en-US"/>
              </w:rPr>
              <w:t xml:space="preserve"> </w:t>
            </w:r>
            <w:proofErr w:type="spellStart"/>
            <w:r w:rsidR="009141FC" w:rsidRPr="009141FC">
              <w:rPr>
                <w:rFonts w:ascii="Arial" w:hAnsi="Arial" w:cs="Arial"/>
                <w:sz w:val="20"/>
                <w:szCs w:val="20"/>
                <w:lang w:val="en-US"/>
              </w:rPr>
              <w:t>Pastotės</w:t>
            </w:r>
            <w:proofErr w:type="spellEnd"/>
            <w:r w:rsidR="009141FC" w:rsidRPr="009141FC">
              <w:rPr>
                <w:rFonts w:ascii="Arial" w:hAnsi="Arial" w:cs="Arial"/>
                <w:sz w:val="20"/>
                <w:szCs w:val="20"/>
                <w:lang w:val="en-US"/>
              </w:rPr>
              <w:t xml:space="preserve"> g. 9</w:t>
            </w:r>
            <w:r w:rsidR="00BF795F">
              <w:rPr>
                <w:rFonts w:ascii="Arial" w:hAnsi="Arial" w:cs="Arial"/>
                <w:sz w:val="20"/>
                <w:szCs w:val="20"/>
                <w:lang w:val="en-US"/>
              </w:rPr>
              <w:t>,</w:t>
            </w:r>
            <w:r w:rsidR="00BF795F" w:rsidRPr="009141FC">
              <w:rPr>
                <w:rFonts w:ascii="Arial" w:hAnsi="Arial" w:cs="Arial"/>
                <w:sz w:val="20"/>
                <w:szCs w:val="20"/>
                <w:lang w:val="en-US"/>
              </w:rPr>
              <w:t xml:space="preserve"> </w:t>
            </w:r>
            <w:proofErr w:type="spellStart"/>
            <w:r w:rsidR="00BF795F" w:rsidRPr="009141FC">
              <w:rPr>
                <w:rFonts w:ascii="Arial" w:hAnsi="Arial" w:cs="Arial"/>
                <w:sz w:val="20"/>
                <w:szCs w:val="20"/>
                <w:lang w:val="en-US"/>
              </w:rPr>
              <w:t>Biruliškių</w:t>
            </w:r>
            <w:proofErr w:type="spellEnd"/>
            <w:r w:rsidR="00BF795F" w:rsidRPr="009141FC">
              <w:rPr>
                <w:rFonts w:ascii="Arial" w:hAnsi="Arial" w:cs="Arial"/>
                <w:sz w:val="20"/>
                <w:szCs w:val="20"/>
                <w:lang w:val="en-US"/>
              </w:rPr>
              <w:t xml:space="preserve"> km</w:t>
            </w:r>
            <w:r w:rsidR="00BF795F">
              <w:rPr>
                <w:rFonts w:ascii="Arial" w:hAnsi="Arial" w:cs="Arial"/>
                <w:sz w:val="20"/>
                <w:szCs w:val="20"/>
                <w:lang w:val="en-US"/>
              </w:rPr>
              <w:t>,</w:t>
            </w:r>
            <w:r w:rsidR="00BF795F" w:rsidRPr="009141FC">
              <w:rPr>
                <w:rFonts w:ascii="Arial" w:hAnsi="Arial" w:cs="Arial"/>
                <w:sz w:val="20"/>
                <w:szCs w:val="20"/>
                <w:lang w:val="en-US"/>
              </w:rPr>
              <w:t xml:space="preserve"> </w:t>
            </w:r>
            <w:proofErr w:type="spellStart"/>
            <w:r w:rsidR="00BF795F" w:rsidRPr="009141FC">
              <w:rPr>
                <w:rFonts w:ascii="Arial" w:hAnsi="Arial" w:cs="Arial"/>
                <w:sz w:val="20"/>
                <w:szCs w:val="20"/>
                <w:lang w:val="en-US"/>
              </w:rPr>
              <w:t>Kauno</w:t>
            </w:r>
            <w:proofErr w:type="spellEnd"/>
            <w:r w:rsidR="00BF795F" w:rsidRPr="009141FC">
              <w:rPr>
                <w:rFonts w:ascii="Arial" w:hAnsi="Arial" w:cs="Arial"/>
                <w:sz w:val="20"/>
                <w:szCs w:val="20"/>
                <w:lang w:val="en-US"/>
              </w:rPr>
              <w:t xml:space="preserve"> raj.</w:t>
            </w:r>
          </w:p>
        </w:tc>
        <w:tc>
          <w:tcPr>
            <w:tcW w:w="2465" w:type="pct"/>
          </w:tcPr>
          <w:p w14:paraId="780ACF5B" w14:textId="44CD5047"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Delivery address</w:t>
            </w:r>
            <w:r w:rsidRPr="00182B3C">
              <w:rPr>
                <w:rFonts w:ascii="Arial" w:hAnsi="Arial" w:cs="Arial"/>
                <w:bCs/>
                <w:sz w:val="20"/>
                <w:szCs w:val="20"/>
                <w:lang w:val="en-US"/>
              </w:rPr>
              <w:t>:</w:t>
            </w:r>
            <w:r w:rsidR="009141FC" w:rsidRPr="009141FC">
              <w:rPr>
                <w:rFonts w:ascii="Arial" w:hAnsi="Arial" w:cs="Arial"/>
                <w:sz w:val="20"/>
                <w:szCs w:val="20"/>
                <w:lang w:val="en-US"/>
              </w:rPr>
              <w:t xml:space="preserve"> </w:t>
            </w:r>
            <w:proofErr w:type="spellStart"/>
            <w:r w:rsidR="009141FC" w:rsidRPr="009141FC">
              <w:rPr>
                <w:rFonts w:ascii="Arial" w:hAnsi="Arial" w:cs="Arial"/>
                <w:sz w:val="20"/>
                <w:szCs w:val="20"/>
                <w:lang w:val="en-US"/>
              </w:rPr>
              <w:t>Pastotės</w:t>
            </w:r>
            <w:proofErr w:type="spellEnd"/>
            <w:r w:rsidR="009141FC" w:rsidRPr="009141FC">
              <w:rPr>
                <w:rFonts w:ascii="Arial" w:hAnsi="Arial" w:cs="Arial"/>
                <w:sz w:val="20"/>
                <w:szCs w:val="20"/>
                <w:lang w:val="en-US"/>
              </w:rPr>
              <w:t xml:space="preserve"> g. 9</w:t>
            </w:r>
            <w:r w:rsidR="00BF795F">
              <w:rPr>
                <w:rFonts w:ascii="Arial" w:hAnsi="Arial" w:cs="Arial"/>
                <w:sz w:val="20"/>
                <w:szCs w:val="20"/>
                <w:lang w:val="en-US"/>
              </w:rPr>
              <w:t>,</w:t>
            </w:r>
            <w:r w:rsidR="00BF795F" w:rsidRPr="009141FC">
              <w:rPr>
                <w:rFonts w:ascii="Arial" w:hAnsi="Arial" w:cs="Arial"/>
                <w:sz w:val="20"/>
                <w:szCs w:val="20"/>
                <w:lang w:val="en-US"/>
              </w:rPr>
              <w:t xml:space="preserve"> </w:t>
            </w:r>
            <w:proofErr w:type="spellStart"/>
            <w:r w:rsidR="00BF795F" w:rsidRPr="009141FC">
              <w:rPr>
                <w:rFonts w:ascii="Arial" w:hAnsi="Arial" w:cs="Arial"/>
                <w:sz w:val="20"/>
                <w:szCs w:val="20"/>
                <w:lang w:val="en-US"/>
              </w:rPr>
              <w:t>Biruliškių</w:t>
            </w:r>
            <w:proofErr w:type="spellEnd"/>
            <w:r w:rsidR="00BF795F" w:rsidRPr="009141FC">
              <w:rPr>
                <w:rFonts w:ascii="Arial" w:hAnsi="Arial" w:cs="Arial"/>
                <w:sz w:val="20"/>
                <w:szCs w:val="20"/>
                <w:lang w:val="en-US"/>
              </w:rPr>
              <w:t xml:space="preserve"> km, </w:t>
            </w:r>
            <w:proofErr w:type="spellStart"/>
            <w:r w:rsidR="00BF795F" w:rsidRPr="009141FC">
              <w:rPr>
                <w:rFonts w:ascii="Arial" w:hAnsi="Arial" w:cs="Arial"/>
                <w:sz w:val="20"/>
                <w:szCs w:val="20"/>
                <w:lang w:val="en-US"/>
              </w:rPr>
              <w:t>Kauno</w:t>
            </w:r>
            <w:proofErr w:type="spellEnd"/>
            <w:r w:rsidR="00BF795F" w:rsidRPr="009141FC">
              <w:rPr>
                <w:rFonts w:ascii="Arial" w:hAnsi="Arial" w:cs="Arial"/>
                <w:sz w:val="20"/>
                <w:szCs w:val="20"/>
                <w:lang w:val="en-US"/>
              </w:rPr>
              <w:t xml:space="preserve"> raj.</w:t>
            </w:r>
          </w:p>
        </w:tc>
      </w:tr>
      <w:tr w:rsidR="00182B3C" w:rsidRPr="00553ECC" w14:paraId="46BFDCC5" w14:textId="77777777" w:rsidTr="002D0BA1">
        <w:trPr>
          <w:trHeight w:val="359"/>
        </w:trPr>
        <w:tc>
          <w:tcPr>
            <w:tcW w:w="267" w:type="pct"/>
            <w:vAlign w:val="center"/>
          </w:tcPr>
          <w:p w14:paraId="65CED727"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4B20E8E1" w14:textId="04EB5A95" w:rsidR="00182B3C" w:rsidRPr="00182B3C" w:rsidRDefault="00182B3C" w:rsidP="002D0BA1">
            <w:pPr>
              <w:jc w:val="both"/>
              <w:rPr>
                <w:rFonts w:ascii="Arial" w:hAnsi="Arial" w:cs="Arial"/>
                <w:sz w:val="20"/>
                <w:szCs w:val="20"/>
              </w:rPr>
            </w:pPr>
            <w:r w:rsidRPr="00182B3C">
              <w:rPr>
                <w:rFonts w:ascii="Arial" w:hAnsi="Arial" w:cs="Arial"/>
                <w:sz w:val="20"/>
                <w:szCs w:val="20"/>
              </w:rPr>
              <w:t>Techniniai reikalavimai Prekei nurodyti šios Techninės specifikacijos priede.</w:t>
            </w:r>
          </w:p>
        </w:tc>
        <w:tc>
          <w:tcPr>
            <w:tcW w:w="2465" w:type="pct"/>
          </w:tcPr>
          <w:p w14:paraId="4892E74A" w14:textId="0630DECE"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 xml:space="preserve">Technical requirements for Goods are specified in Annex </w:t>
            </w:r>
            <w:r w:rsidR="002D0BA1">
              <w:rPr>
                <w:rFonts w:ascii="Arial" w:hAnsi="Arial" w:cs="Arial"/>
                <w:sz w:val="20"/>
                <w:szCs w:val="20"/>
                <w:lang w:val="en-US"/>
              </w:rPr>
              <w:t>of this</w:t>
            </w:r>
            <w:r w:rsidRPr="00182B3C">
              <w:rPr>
                <w:rFonts w:ascii="Arial" w:hAnsi="Arial" w:cs="Arial"/>
                <w:sz w:val="20"/>
                <w:szCs w:val="20"/>
                <w:lang w:val="en-US"/>
              </w:rPr>
              <w:t xml:space="preserve"> Technical Specification.</w:t>
            </w:r>
          </w:p>
        </w:tc>
      </w:tr>
      <w:tr w:rsidR="00182B3C" w:rsidRPr="00553ECC" w14:paraId="37B7887A" w14:textId="77777777" w:rsidTr="002D0BA1">
        <w:trPr>
          <w:trHeight w:val="359"/>
        </w:trPr>
        <w:tc>
          <w:tcPr>
            <w:tcW w:w="267" w:type="pct"/>
            <w:vAlign w:val="center"/>
          </w:tcPr>
          <w:p w14:paraId="4A486294"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55FA9D8F" w14:textId="4374DBF1" w:rsidR="00182B3C" w:rsidRPr="00182B3C" w:rsidRDefault="00182B3C" w:rsidP="002D0BA1">
            <w:pPr>
              <w:jc w:val="both"/>
              <w:rPr>
                <w:rFonts w:ascii="Arial" w:hAnsi="Arial" w:cs="Arial"/>
                <w:sz w:val="20"/>
                <w:szCs w:val="20"/>
              </w:rPr>
            </w:pPr>
            <w:r w:rsidRPr="00182B3C">
              <w:rPr>
                <w:rFonts w:ascii="Arial" w:hAnsi="Arial" w:cs="Arial"/>
                <w:sz w:val="20"/>
                <w:szCs w:val="20"/>
              </w:rPr>
              <w:t>Prekei suteikiama ne mažesnė kaip 24 mėnesių garantija, skaičiuojama nuo jų pristatymo Perkančiajam subjektui dienos.</w:t>
            </w:r>
          </w:p>
        </w:tc>
        <w:tc>
          <w:tcPr>
            <w:tcW w:w="2465" w:type="pct"/>
          </w:tcPr>
          <w:p w14:paraId="0A7B4FF8" w14:textId="61B40CDE"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Goods must be covered by not less than 24 months warranty starting from the date of their delivery to the Contracting Entity.</w:t>
            </w:r>
          </w:p>
        </w:tc>
      </w:tr>
      <w:tr w:rsidR="00182B3C" w:rsidRPr="00553ECC" w14:paraId="360AE57A" w14:textId="77777777" w:rsidTr="002D0BA1">
        <w:trPr>
          <w:trHeight w:val="359"/>
        </w:trPr>
        <w:tc>
          <w:tcPr>
            <w:tcW w:w="267" w:type="pct"/>
            <w:vAlign w:val="center"/>
          </w:tcPr>
          <w:p w14:paraId="4431C8D8"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44F2DC7D" w14:textId="138D902F" w:rsidR="00182B3C" w:rsidRPr="00182B3C" w:rsidRDefault="00182B3C" w:rsidP="002D0BA1">
            <w:pPr>
              <w:jc w:val="both"/>
              <w:rPr>
                <w:rFonts w:ascii="Arial" w:hAnsi="Arial" w:cs="Arial"/>
                <w:sz w:val="20"/>
                <w:szCs w:val="20"/>
              </w:rPr>
            </w:pPr>
            <w:r w:rsidRPr="00182B3C">
              <w:rPr>
                <w:rFonts w:ascii="Arial" w:hAnsi="Arial" w:cs="Arial"/>
                <w:sz w:val="20"/>
                <w:szCs w:val="20"/>
              </w:rPr>
              <w:t>Prekės turi būti naujos, anksčiau niekur nenaudotos, tinkamos naudoti pagal paskirtį</w:t>
            </w:r>
            <w:r w:rsidR="00BF795F">
              <w:rPr>
                <w:rFonts w:ascii="Arial" w:hAnsi="Arial" w:cs="Arial"/>
                <w:sz w:val="20"/>
                <w:szCs w:val="20"/>
              </w:rPr>
              <w:t>.</w:t>
            </w:r>
          </w:p>
        </w:tc>
        <w:tc>
          <w:tcPr>
            <w:tcW w:w="2465" w:type="pct"/>
          </w:tcPr>
          <w:p w14:paraId="34016EF8" w14:textId="0DAE0060"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Goods must be new, not previously used, suitable for their intended use.</w:t>
            </w:r>
          </w:p>
        </w:tc>
      </w:tr>
      <w:tr w:rsidR="00182B3C" w:rsidRPr="00553ECC" w14:paraId="4CCDC3E3" w14:textId="77777777" w:rsidTr="002D0BA1">
        <w:trPr>
          <w:trHeight w:val="1817"/>
        </w:trPr>
        <w:tc>
          <w:tcPr>
            <w:tcW w:w="267" w:type="pct"/>
            <w:vAlign w:val="center"/>
          </w:tcPr>
          <w:p w14:paraId="297D09BE" w14:textId="77777777" w:rsidR="00182B3C" w:rsidRPr="00182B3C" w:rsidRDefault="00182B3C" w:rsidP="002D0BA1">
            <w:pPr>
              <w:pStyle w:val="ListParagraph"/>
              <w:numPr>
                <w:ilvl w:val="1"/>
                <w:numId w:val="15"/>
              </w:numPr>
              <w:ind w:right="37" w:hanging="743"/>
              <w:jc w:val="center"/>
              <w:rPr>
                <w:rFonts w:ascii="Arial" w:hAnsi="Arial" w:cs="Arial"/>
                <w:sz w:val="20"/>
                <w:szCs w:val="20"/>
              </w:rPr>
            </w:pPr>
          </w:p>
        </w:tc>
        <w:tc>
          <w:tcPr>
            <w:tcW w:w="2268" w:type="pct"/>
          </w:tcPr>
          <w:p w14:paraId="3CEB8BE0" w14:textId="2CC16B5A" w:rsidR="00182B3C" w:rsidRPr="002D0BA1" w:rsidRDefault="00182B3C" w:rsidP="002D0BA1">
            <w:pPr>
              <w:jc w:val="both"/>
              <w:rPr>
                <w:rFonts w:ascii="Arial" w:hAnsi="Arial" w:cs="Arial"/>
                <w:sz w:val="20"/>
                <w:szCs w:val="20"/>
              </w:rPr>
            </w:pPr>
            <w:r w:rsidRPr="00182B3C">
              <w:rPr>
                <w:rFonts w:ascii="Arial" w:hAnsi="Arial" w:cs="Arial"/>
                <w:sz w:val="20"/>
                <w:szCs w:val="20"/>
              </w:rPr>
              <w:t>Prekės turi būti supakuotos gamyklinėse pakuotėse. Prekės pristatomos Perkančiajam subjektui šios Techninės specifikacijos 1.2 punkte nurodytu adresu nepažeistose gamyklinėse pakuotėse (pakuotės turi būti be mechaninių pažeidimų, nepaveiktos drėgmės ir kitų veiksnių).</w:t>
            </w:r>
          </w:p>
        </w:tc>
        <w:tc>
          <w:tcPr>
            <w:tcW w:w="2465" w:type="pct"/>
          </w:tcPr>
          <w:p w14:paraId="3361DFA6" w14:textId="134036A9" w:rsidR="00182B3C" w:rsidRPr="00182B3C" w:rsidRDefault="00182B3C" w:rsidP="002D0BA1">
            <w:pPr>
              <w:jc w:val="both"/>
              <w:rPr>
                <w:rFonts w:ascii="Arial" w:hAnsi="Arial" w:cs="Arial"/>
                <w:sz w:val="20"/>
                <w:szCs w:val="20"/>
                <w:lang w:val="en-US"/>
              </w:rPr>
            </w:pPr>
            <w:r w:rsidRPr="00182B3C">
              <w:rPr>
                <w:rFonts w:ascii="Arial" w:hAnsi="Arial" w:cs="Arial"/>
                <w:sz w:val="20"/>
                <w:szCs w:val="20"/>
                <w:lang w:val="en-US"/>
              </w:rPr>
              <w:t xml:space="preserve">Goods must be packed in the factory packaging. Goods shall be delivered to the Contracting Entity at the address specified in point 1.2 of the Technical Specifications, in undamaged factory packaging (packaging shall be free from mechanical damage, damage from moisture and other factors). </w:t>
            </w:r>
          </w:p>
        </w:tc>
      </w:tr>
      <w:tr w:rsidR="00182B3C" w:rsidRPr="00553ECC" w14:paraId="6F4E98CA" w14:textId="77777777" w:rsidTr="002D0BA1">
        <w:trPr>
          <w:trHeight w:val="85"/>
        </w:trPr>
        <w:tc>
          <w:tcPr>
            <w:tcW w:w="267" w:type="pct"/>
            <w:vAlign w:val="center"/>
          </w:tcPr>
          <w:p w14:paraId="35E5AAAA" w14:textId="77777777" w:rsidR="00182B3C" w:rsidRPr="00182B3C" w:rsidRDefault="00182B3C" w:rsidP="002D0BA1">
            <w:pPr>
              <w:pStyle w:val="ListParagraph"/>
              <w:numPr>
                <w:ilvl w:val="0"/>
                <w:numId w:val="15"/>
              </w:numPr>
              <w:ind w:right="37"/>
              <w:jc w:val="center"/>
              <w:rPr>
                <w:rFonts w:ascii="Arial" w:hAnsi="Arial" w:cs="Arial"/>
                <w:sz w:val="20"/>
                <w:szCs w:val="20"/>
              </w:rPr>
            </w:pPr>
          </w:p>
        </w:tc>
        <w:tc>
          <w:tcPr>
            <w:tcW w:w="2268" w:type="pct"/>
          </w:tcPr>
          <w:p w14:paraId="46D10809" w14:textId="60412F0A" w:rsidR="00182B3C" w:rsidRPr="002D0BA1" w:rsidRDefault="00182B3C" w:rsidP="002D0BA1">
            <w:pPr>
              <w:jc w:val="both"/>
              <w:rPr>
                <w:rFonts w:ascii="Arial" w:hAnsi="Arial" w:cs="Arial"/>
                <w:b/>
                <w:sz w:val="20"/>
                <w:szCs w:val="20"/>
              </w:rPr>
            </w:pPr>
            <w:r w:rsidRPr="002D0BA1">
              <w:rPr>
                <w:rFonts w:ascii="Arial" w:hAnsi="Arial" w:cs="Arial"/>
                <w:b/>
                <w:sz w:val="20"/>
                <w:szCs w:val="20"/>
              </w:rPr>
              <w:t>Prieda</w:t>
            </w:r>
            <w:r w:rsidR="000B4CDA">
              <w:rPr>
                <w:rFonts w:ascii="Arial" w:hAnsi="Arial" w:cs="Arial"/>
                <w:b/>
                <w:sz w:val="20"/>
                <w:szCs w:val="20"/>
              </w:rPr>
              <w:t>s</w:t>
            </w:r>
            <w:r w:rsidRPr="002D0BA1">
              <w:rPr>
                <w:rFonts w:ascii="Arial" w:hAnsi="Arial" w:cs="Arial"/>
                <w:b/>
                <w:sz w:val="20"/>
                <w:szCs w:val="20"/>
              </w:rPr>
              <w:t>:</w:t>
            </w:r>
          </w:p>
        </w:tc>
        <w:tc>
          <w:tcPr>
            <w:tcW w:w="2465" w:type="pct"/>
          </w:tcPr>
          <w:p w14:paraId="5C2E17A9" w14:textId="572F4FD0" w:rsidR="00182B3C" w:rsidRPr="002D0BA1" w:rsidRDefault="00182B3C" w:rsidP="002D0BA1">
            <w:pPr>
              <w:jc w:val="both"/>
              <w:rPr>
                <w:rFonts w:ascii="Arial" w:hAnsi="Arial" w:cs="Arial"/>
                <w:b/>
                <w:sz w:val="20"/>
                <w:szCs w:val="20"/>
                <w:lang w:val="en-US"/>
              </w:rPr>
            </w:pPr>
            <w:r w:rsidRPr="002D0BA1">
              <w:rPr>
                <w:rFonts w:ascii="Arial" w:hAnsi="Arial" w:cs="Arial"/>
                <w:b/>
                <w:sz w:val="20"/>
                <w:szCs w:val="20"/>
                <w:lang w:val="en-US"/>
              </w:rPr>
              <w:t>Annex:</w:t>
            </w:r>
          </w:p>
        </w:tc>
      </w:tr>
      <w:tr w:rsidR="002D0BA1" w:rsidRPr="00553ECC" w14:paraId="7B256D0A" w14:textId="77777777" w:rsidTr="002D0BA1">
        <w:trPr>
          <w:trHeight w:val="266"/>
        </w:trPr>
        <w:tc>
          <w:tcPr>
            <w:tcW w:w="2535" w:type="pct"/>
            <w:gridSpan w:val="2"/>
            <w:vAlign w:val="center"/>
          </w:tcPr>
          <w:p w14:paraId="5678B425" w14:textId="381FF53C" w:rsidR="002D0BA1" w:rsidRPr="002D0BA1" w:rsidRDefault="002D0BA1" w:rsidP="002D0BA1">
            <w:pPr>
              <w:jc w:val="both"/>
              <w:rPr>
                <w:rFonts w:ascii="Arial" w:hAnsi="Arial" w:cs="Arial"/>
                <w:sz w:val="20"/>
                <w:szCs w:val="20"/>
              </w:rPr>
            </w:pPr>
            <w:r w:rsidRPr="002D0BA1">
              <w:rPr>
                <w:rFonts w:ascii="Arial" w:hAnsi="Arial" w:cs="Arial"/>
                <w:sz w:val="20"/>
                <w:szCs w:val="20"/>
              </w:rPr>
              <w:t xml:space="preserve">Techniniai reikalavimai </w:t>
            </w:r>
            <w:r w:rsidR="009141FC">
              <w:rPr>
                <w:rFonts w:ascii="Arial" w:hAnsi="Arial" w:cs="Arial"/>
                <w:sz w:val="20"/>
                <w:szCs w:val="20"/>
              </w:rPr>
              <w:t>akumuliatorių baterijos matavimo prietaisui</w:t>
            </w:r>
            <w:r>
              <w:rPr>
                <w:rFonts w:ascii="Arial" w:hAnsi="Arial" w:cs="Arial"/>
                <w:sz w:val="20"/>
                <w:szCs w:val="20"/>
              </w:rPr>
              <w:t>.</w:t>
            </w:r>
          </w:p>
        </w:tc>
        <w:tc>
          <w:tcPr>
            <w:tcW w:w="2465" w:type="pct"/>
          </w:tcPr>
          <w:p w14:paraId="6FA3D4BE" w14:textId="3D0FCD06" w:rsidR="002D0BA1" w:rsidRPr="002D0BA1" w:rsidRDefault="002D0BA1" w:rsidP="002D0BA1">
            <w:pPr>
              <w:jc w:val="both"/>
              <w:rPr>
                <w:rFonts w:ascii="Arial" w:hAnsi="Arial" w:cs="Arial"/>
                <w:sz w:val="20"/>
                <w:szCs w:val="20"/>
                <w:lang w:val="en-US"/>
              </w:rPr>
            </w:pPr>
            <w:r w:rsidRPr="002D0BA1">
              <w:rPr>
                <w:rFonts w:ascii="Arial" w:hAnsi="Arial" w:cs="Arial"/>
                <w:sz w:val="20"/>
                <w:szCs w:val="20"/>
                <w:lang w:val="en-US"/>
              </w:rPr>
              <w:t xml:space="preserve">Technical requirements for </w:t>
            </w:r>
            <w:r w:rsidR="009141FC">
              <w:rPr>
                <w:rFonts w:ascii="Arial" w:hAnsi="Arial" w:cs="Arial"/>
                <w:sz w:val="20"/>
                <w:szCs w:val="20"/>
                <w:lang w:val="en-US"/>
              </w:rPr>
              <w:t>battery capacity measurement device</w:t>
            </w:r>
            <w:r w:rsidR="00BF795F">
              <w:rPr>
                <w:rFonts w:ascii="Arial" w:hAnsi="Arial" w:cs="Arial"/>
                <w:sz w:val="20"/>
                <w:szCs w:val="20"/>
                <w:lang w:val="en-US"/>
              </w:rPr>
              <w:t>.</w:t>
            </w:r>
          </w:p>
        </w:tc>
      </w:tr>
    </w:tbl>
    <w:p w14:paraId="625161F4" w14:textId="23AD393F" w:rsidR="007D76C7" w:rsidRPr="002D0BA1" w:rsidRDefault="007D76C7" w:rsidP="002D0BA1">
      <w:pPr>
        <w:ind w:right="-720"/>
        <w:rPr>
          <w:rFonts w:ascii="Arial" w:hAnsi="Arial" w:cs="Arial"/>
          <w:sz w:val="20"/>
          <w:szCs w:val="20"/>
        </w:rPr>
      </w:pPr>
    </w:p>
    <w:sectPr w:rsidR="007D76C7" w:rsidRPr="002D0BA1" w:rsidSect="00A32B4E">
      <w:headerReference w:type="firs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44B2" w14:textId="77777777" w:rsidR="003B5CB5" w:rsidRDefault="003B5CB5" w:rsidP="00792C08">
      <w:pPr>
        <w:spacing w:after="0" w:line="240" w:lineRule="auto"/>
      </w:pPr>
      <w:r>
        <w:separator/>
      </w:r>
    </w:p>
  </w:endnote>
  <w:endnote w:type="continuationSeparator" w:id="0">
    <w:p w14:paraId="6E637084" w14:textId="77777777" w:rsidR="003B5CB5" w:rsidRDefault="003B5CB5" w:rsidP="00792C08">
      <w:pPr>
        <w:spacing w:after="0" w:line="240" w:lineRule="auto"/>
      </w:pPr>
      <w:r>
        <w:continuationSeparator/>
      </w:r>
    </w:p>
  </w:endnote>
  <w:endnote w:type="continuationNotice" w:id="1">
    <w:p w14:paraId="759194C3" w14:textId="77777777" w:rsidR="003B5CB5" w:rsidRDefault="003B5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EBD" w14:textId="413CEC4E" w:rsidR="009F5290" w:rsidRPr="009F5290" w:rsidRDefault="009F5290">
    <w:pPr>
      <w:pStyle w:val="Footer"/>
      <w:jc w:val="center"/>
      <w:rPr>
        <w:rFonts w:ascii="Arial" w:hAnsi="Arial" w:cs="Arial"/>
      </w:rPr>
    </w:pPr>
  </w:p>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8E48" w14:textId="77777777" w:rsidR="003B5CB5" w:rsidRDefault="003B5CB5" w:rsidP="00792C08">
      <w:pPr>
        <w:spacing w:after="0" w:line="240" w:lineRule="auto"/>
      </w:pPr>
      <w:r>
        <w:separator/>
      </w:r>
    </w:p>
  </w:footnote>
  <w:footnote w:type="continuationSeparator" w:id="0">
    <w:p w14:paraId="7B546014" w14:textId="77777777" w:rsidR="003B5CB5" w:rsidRDefault="003B5CB5" w:rsidP="00792C08">
      <w:pPr>
        <w:spacing w:after="0" w:line="240" w:lineRule="auto"/>
      </w:pPr>
      <w:r>
        <w:continuationSeparator/>
      </w:r>
    </w:p>
  </w:footnote>
  <w:footnote w:type="continuationNotice" w:id="1">
    <w:p w14:paraId="0E3E637C" w14:textId="77777777" w:rsidR="003B5CB5" w:rsidRDefault="003B5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83FA" w14:textId="08B7459D" w:rsidR="00CB2145" w:rsidRDefault="00CB2145" w:rsidP="00CB2145">
    <w:pPr>
      <w:pStyle w:val="Header"/>
      <w:jc w:val="right"/>
      <w:rPr>
        <w:rFonts w:ascii="Arial" w:hAnsi="Arial" w:cs="Arial"/>
        <w:sz w:val="20"/>
        <w:szCs w:val="20"/>
      </w:rPr>
    </w:pPr>
    <w:r w:rsidRPr="00CB2145">
      <w:rPr>
        <w:rFonts w:ascii="Arial" w:hAnsi="Arial" w:cs="Arial"/>
        <w:sz w:val="20"/>
        <w:szCs w:val="20"/>
      </w:rPr>
      <w:t>S</w:t>
    </w:r>
    <w:r w:rsidR="00E31AAB">
      <w:rPr>
        <w:rFonts w:ascii="Arial" w:hAnsi="Arial" w:cs="Arial"/>
        <w:sz w:val="20"/>
        <w:szCs w:val="20"/>
      </w:rPr>
      <w:t xml:space="preserve">utarties </w:t>
    </w:r>
    <w:r w:rsidR="00E31AAB">
      <w:rPr>
        <w:rFonts w:ascii="Arial" w:hAnsi="Arial" w:cs="Arial"/>
        <w:sz w:val="20"/>
        <w:szCs w:val="20"/>
        <w:lang w:val="en-US"/>
      </w:rPr>
      <w:t>7.1</w:t>
    </w:r>
    <w:r w:rsidRPr="00CB2145">
      <w:rPr>
        <w:rFonts w:ascii="Arial" w:hAnsi="Arial" w:cs="Arial"/>
        <w:sz w:val="20"/>
        <w:szCs w:val="20"/>
      </w:rPr>
      <w:t xml:space="preserve"> priedas</w:t>
    </w:r>
  </w:p>
  <w:p w14:paraId="7A1CA048" w14:textId="77777777" w:rsidR="00A32B4E" w:rsidRPr="00CB2145" w:rsidRDefault="00A32B4E" w:rsidP="00CB2145">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F5D9A"/>
    <w:multiLevelType w:val="multilevel"/>
    <w:tmpl w:val="A732AC7A"/>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 w15:restartNumberingAfterBreak="0">
    <w:nsid w:val="0E383EF3"/>
    <w:multiLevelType w:val="hybridMultilevel"/>
    <w:tmpl w:val="43FC90D8"/>
    <w:lvl w:ilvl="0" w:tplc="FFFFFFFF">
      <w:start w:val="1"/>
      <w:numFmt w:val="bullet"/>
      <w:lvlText w:val="-"/>
      <w:lvlJc w:val="left"/>
      <w:pPr>
        <w:ind w:left="1152" w:hanging="360"/>
      </w:pPr>
      <w:rPr>
        <w:rFonts w:ascii="Arial" w:eastAsiaTheme="minorEastAsia" w:hAnsi="Arial" w:cs="Arial" w:hint="default"/>
      </w:rPr>
    </w:lvl>
    <w:lvl w:ilvl="1" w:tplc="D9148FA2">
      <w:start w:val="1"/>
      <w:numFmt w:val="bullet"/>
      <w:lvlText w:val="-"/>
      <w:lvlJc w:val="left"/>
      <w:pPr>
        <w:ind w:left="1872" w:hanging="360"/>
      </w:pPr>
      <w:rPr>
        <w:rFonts w:ascii="Trebuchet MS" w:eastAsia="Times New Roman" w:hAnsi="Trebuchet MS" w:cs="Arial" w:hint="default"/>
        <w:sz w:val="19"/>
        <w:u w:val="single"/>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 w15:restartNumberingAfterBreak="0">
    <w:nsid w:val="14327C87"/>
    <w:multiLevelType w:val="multilevel"/>
    <w:tmpl w:val="8F66D58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A61BF"/>
    <w:multiLevelType w:val="multilevel"/>
    <w:tmpl w:val="721E6016"/>
    <w:lvl w:ilvl="0">
      <w:start w:val="1"/>
      <w:numFmt w:val="decimal"/>
      <w:lvlText w:val="%1."/>
      <w:lvlJc w:val="left"/>
      <w:pPr>
        <w:ind w:left="360" w:hanging="360"/>
      </w:pPr>
      <w:rPr>
        <w:rFonts w:hint="default"/>
      </w:rPr>
    </w:lvl>
    <w:lvl w:ilvl="1">
      <w:start w:val="1"/>
      <w:numFmt w:val="decimal"/>
      <w:lvlText w:val="%1.%2."/>
      <w:lvlJc w:val="left"/>
      <w:pPr>
        <w:ind w:left="-383" w:hanging="36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509" w:hanging="72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018" w:hanging="1440"/>
      </w:pPr>
      <w:rPr>
        <w:rFonts w:hint="default"/>
      </w:rPr>
    </w:lvl>
    <w:lvl w:ilvl="7">
      <w:start w:val="1"/>
      <w:numFmt w:val="decimal"/>
      <w:lvlText w:val="%1.%2.%3.%4.%5.%6.%7.%8."/>
      <w:lvlJc w:val="left"/>
      <w:pPr>
        <w:ind w:left="-3761" w:hanging="1440"/>
      </w:pPr>
      <w:rPr>
        <w:rFonts w:hint="default"/>
      </w:rPr>
    </w:lvl>
    <w:lvl w:ilvl="8">
      <w:start w:val="1"/>
      <w:numFmt w:val="decimal"/>
      <w:lvlText w:val="%1.%2.%3.%4.%5.%6.%7.%8.%9."/>
      <w:lvlJc w:val="left"/>
      <w:pPr>
        <w:ind w:left="-4144" w:hanging="1800"/>
      </w:pPr>
      <w:rPr>
        <w:rFonts w:hint="default"/>
      </w:rPr>
    </w:lvl>
  </w:abstractNum>
  <w:abstractNum w:abstractNumId="5" w15:restartNumberingAfterBreak="0">
    <w:nsid w:val="17D56AB9"/>
    <w:multiLevelType w:val="hybridMultilevel"/>
    <w:tmpl w:val="AA24B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E0838"/>
    <w:multiLevelType w:val="hybridMultilevel"/>
    <w:tmpl w:val="86B44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965C04"/>
    <w:multiLevelType w:val="hybridMultilevel"/>
    <w:tmpl w:val="7E5624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8809BD"/>
    <w:multiLevelType w:val="hybridMultilevel"/>
    <w:tmpl w:val="F3DE3A94"/>
    <w:lvl w:ilvl="0" w:tplc="E72C18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B063B"/>
    <w:multiLevelType w:val="hybridMultilevel"/>
    <w:tmpl w:val="AA24B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40B13C2"/>
    <w:multiLevelType w:val="multilevel"/>
    <w:tmpl w:val="30826B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6B11453"/>
    <w:multiLevelType w:val="hybridMultilevel"/>
    <w:tmpl w:val="E1BA58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6F15CB"/>
    <w:multiLevelType w:val="multilevel"/>
    <w:tmpl w:val="8F8EA8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33A38"/>
    <w:multiLevelType w:val="hybridMultilevel"/>
    <w:tmpl w:val="8140E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C333A3"/>
    <w:multiLevelType w:val="hybridMultilevel"/>
    <w:tmpl w:val="952417D8"/>
    <w:lvl w:ilvl="0" w:tplc="FFFFFFFF">
      <w:start w:val="1"/>
      <w:numFmt w:val="bullet"/>
      <w:lvlText w:val="-"/>
      <w:lvlJc w:val="left"/>
      <w:pPr>
        <w:ind w:left="1152" w:hanging="360"/>
      </w:pPr>
      <w:rPr>
        <w:rFonts w:ascii="Arial" w:eastAsiaTheme="minorEastAsia" w:hAnsi="Arial" w:cs="Arial" w:hint="default"/>
      </w:rPr>
    </w:lvl>
    <w:lvl w:ilvl="1" w:tplc="9052FF24">
      <w:start w:val="1"/>
      <w:numFmt w:val="bullet"/>
      <w:lvlText w:val="-"/>
      <w:lvlJc w:val="left"/>
      <w:pPr>
        <w:ind w:left="1872" w:hanging="360"/>
      </w:pPr>
      <w:rPr>
        <w:rFonts w:ascii="Arial" w:eastAsiaTheme="minorEastAsia" w:hAnsi="Arial" w:cs="Aria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93335D"/>
    <w:multiLevelType w:val="hybridMultilevel"/>
    <w:tmpl w:val="AEB85FB8"/>
    <w:lvl w:ilvl="0" w:tplc="9052FF24">
      <w:start w:val="1"/>
      <w:numFmt w:val="bullet"/>
      <w:lvlText w:val="-"/>
      <w:lvlJc w:val="left"/>
      <w:pPr>
        <w:ind w:left="1152" w:hanging="360"/>
      </w:pPr>
      <w:rPr>
        <w:rFonts w:ascii="Arial" w:eastAsiaTheme="minorEastAsia" w:hAnsi="Arial" w:cs="Aria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0" w15:restartNumberingAfterBreak="0">
    <w:nsid w:val="6AAF0E8B"/>
    <w:multiLevelType w:val="multilevel"/>
    <w:tmpl w:val="2AA426D0"/>
    <w:lvl w:ilvl="0">
      <w:start w:val="1"/>
      <w:numFmt w:val="decimal"/>
      <w:lvlText w:val="%1."/>
      <w:lvlJc w:val="left"/>
      <w:pPr>
        <w:ind w:left="36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28" w:hanging="720"/>
      </w:pPr>
      <w:rPr>
        <w:rFonts w:hint="default"/>
      </w:rPr>
    </w:lvl>
    <w:lvl w:ilvl="3">
      <w:start w:val="1"/>
      <w:numFmt w:val="decimal"/>
      <w:isLgl/>
      <w:lvlText w:val="%1.%2.%3.%4."/>
      <w:lvlJc w:val="left"/>
      <w:pPr>
        <w:ind w:left="2588" w:hanging="1080"/>
      </w:pPr>
      <w:rPr>
        <w:rFonts w:hint="default"/>
      </w:rPr>
    </w:lvl>
    <w:lvl w:ilvl="4">
      <w:start w:val="1"/>
      <w:numFmt w:val="decimal"/>
      <w:isLgl/>
      <w:lvlText w:val="%1.%2.%3.%4.%5."/>
      <w:lvlJc w:val="left"/>
      <w:pPr>
        <w:ind w:left="2588" w:hanging="1080"/>
      </w:pPr>
      <w:rPr>
        <w:rFonts w:hint="default"/>
      </w:rPr>
    </w:lvl>
    <w:lvl w:ilvl="5">
      <w:start w:val="1"/>
      <w:numFmt w:val="decimal"/>
      <w:isLgl/>
      <w:lvlText w:val="%1.%2.%3.%4.%5.%6."/>
      <w:lvlJc w:val="left"/>
      <w:pPr>
        <w:ind w:left="2948" w:hanging="1440"/>
      </w:pPr>
      <w:rPr>
        <w:rFonts w:hint="default"/>
      </w:rPr>
    </w:lvl>
    <w:lvl w:ilvl="6">
      <w:start w:val="1"/>
      <w:numFmt w:val="decimal"/>
      <w:isLgl/>
      <w:lvlText w:val="%1.%2.%3.%4.%5.%6.%7."/>
      <w:lvlJc w:val="left"/>
      <w:pPr>
        <w:ind w:left="2948" w:hanging="1440"/>
      </w:pPr>
      <w:rPr>
        <w:rFonts w:hint="default"/>
      </w:rPr>
    </w:lvl>
    <w:lvl w:ilvl="7">
      <w:start w:val="1"/>
      <w:numFmt w:val="decimal"/>
      <w:isLgl/>
      <w:lvlText w:val="%1.%2.%3.%4.%5.%6.%7.%8."/>
      <w:lvlJc w:val="left"/>
      <w:pPr>
        <w:ind w:left="3308" w:hanging="1800"/>
      </w:pPr>
      <w:rPr>
        <w:rFonts w:hint="default"/>
      </w:rPr>
    </w:lvl>
    <w:lvl w:ilvl="8">
      <w:start w:val="1"/>
      <w:numFmt w:val="decimal"/>
      <w:isLgl/>
      <w:lvlText w:val="%1.%2.%3.%4.%5.%6.%7.%8.%9."/>
      <w:lvlJc w:val="left"/>
      <w:pPr>
        <w:ind w:left="3668" w:hanging="2160"/>
      </w:pPr>
      <w:rPr>
        <w:rFonts w:hint="default"/>
      </w:rPr>
    </w:lvl>
  </w:abstractNum>
  <w:abstractNum w:abstractNumId="21" w15:restartNumberingAfterBreak="0">
    <w:nsid w:val="717D2A50"/>
    <w:multiLevelType w:val="hybridMultilevel"/>
    <w:tmpl w:val="44FC0398"/>
    <w:lvl w:ilvl="0" w:tplc="5A04D25A">
      <w:start w:val="1"/>
      <w:numFmt w:val="bullet"/>
      <w:lvlText w:val="-"/>
      <w:lvlJc w:val="left"/>
      <w:pPr>
        <w:ind w:left="1152" w:hanging="360"/>
      </w:pPr>
      <w:rPr>
        <w:rFonts w:ascii="Arial" w:eastAsiaTheme="minorEastAsia" w:hAnsi="Arial" w:cs="Arial" w:hint="default"/>
      </w:rPr>
    </w:lvl>
    <w:lvl w:ilvl="1" w:tplc="04270003">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2" w15:restartNumberingAfterBreak="0">
    <w:nsid w:val="72520303"/>
    <w:multiLevelType w:val="hybridMultilevel"/>
    <w:tmpl w:val="22DA819A"/>
    <w:lvl w:ilvl="0" w:tplc="FFFFFFFF">
      <w:start w:val="1"/>
      <w:numFmt w:val="bullet"/>
      <w:lvlText w:val="-"/>
      <w:lvlJc w:val="left"/>
      <w:pPr>
        <w:ind w:left="1152" w:hanging="360"/>
      </w:pPr>
      <w:rPr>
        <w:rFonts w:ascii="Arial" w:eastAsiaTheme="minorEastAsia" w:hAnsi="Arial" w:cs="Arial" w:hint="default"/>
      </w:rPr>
    </w:lvl>
    <w:lvl w:ilvl="1" w:tplc="9052FF24">
      <w:start w:val="1"/>
      <w:numFmt w:val="bullet"/>
      <w:lvlText w:val="-"/>
      <w:lvlJc w:val="left"/>
      <w:pPr>
        <w:ind w:left="1872" w:hanging="360"/>
      </w:pPr>
      <w:rPr>
        <w:rFonts w:ascii="Arial" w:eastAsiaTheme="minorEastAsia" w:hAnsi="Arial" w:cs="Aria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num w:numId="1" w16cid:durableId="159585710">
    <w:abstractNumId w:val="18"/>
  </w:num>
  <w:num w:numId="2" w16cid:durableId="1766219311">
    <w:abstractNumId w:val="7"/>
  </w:num>
  <w:num w:numId="3" w16cid:durableId="548998743">
    <w:abstractNumId w:val="0"/>
  </w:num>
  <w:num w:numId="4" w16cid:durableId="1418870242">
    <w:abstractNumId w:val="13"/>
  </w:num>
  <w:num w:numId="5" w16cid:durableId="589462305">
    <w:abstractNumId w:val="11"/>
  </w:num>
  <w:num w:numId="6" w16cid:durableId="1085881010">
    <w:abstractNumId w:val="1"/>
  </w:num>
  <w:num w:numId="7" w16cid:durableId="1047725837">
    <w:abstractNumId w:val="15"/>
  </w:num>
  <w:num w:numId="8" w16cid:durableId="76942344">
    <w:abstractNumId w:val="20"/>
  </w:num>
  <w:num w:numId="9" w16cid:durableId="1653824699">
    <w:abstractNumId w:val="12"/>
  </w:num>
  <w:num w:numId="10" w16cid:durableId="1044600424">
    <w:abstractNumId w:val="19"/>
  </w:num>
  <w:num w:numId="11" w16cid:durableId="2976879">
    <w:abstractNumId w:val="8"/>
  </w:num>
  <w:num w:numId="12" w16cid:durableId="1665861599">
    <w:abstractNumId w:val="21"/>
  </w:num>
  <w:num w:numId="13" w16cid:durableId="1136528570">
    <w:abstractNumId w:val="16"/>
  </w:num>
  <w:num w:numId="14" w16cid:durableId="596064651">
    <w:abstractNumId w:val="14"/>
  </w:num>
  <w:num w:numId="15" w16cid:durableId="86848785">
    <w:abstractNumId w:val="3"/>
  </w:num>
  <w:num w:numId="16" w16cid:durableId="947734793">
    <w:abstractNumId w:val="2"/>
  </w:num>
  <w:num w:numId="17" w16cid:durableId="1066227198">
    <w:abstractNumId w:val="17"/>
  </w:num>
  <w:num w:numId="18" w16cid:durableId="676272506">
    <w:abstractNumId w:val="22"/>
  </w:num>
  <w:num w:numId="19" w16cid:durableId="360015470">
    <w:abstractNumId w:val="10"/>
  </w:num>
  <w:num w:numId="20" w16cid:durableId="1867404802">
    <w:abstractNumId w:val="6"/>
  </w:num>
  <w:num w:numId="21" w16cid:durableId="1162890481">
    <w:abstractNumId w:val="4"/>
  </w:num>
  <w:num w:numId="22" w16cid:durableId="438334014">
    <w:abstractNumId w:val="5"/>
  </w:num>
  <w:num w:numId="23" w16cid:durableId="1246456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B4CDA"/>
    <w:rsid w:val="000D68A7"/>
    <w:rsid w:val="000E3EA9"/>
    <w:rsid w:val="000E46E7"/>
    <w:rsid w:val="000F1911"/>
    <w:rsid w:val="00110D63"/>
    <w:rsid w:val="0011656F"/>
    <w:rsid w:val="001243F2"/>
    <w:rsid w:val="0014246B"/>
    <w:rsid w:val="0014490C"/>
    <w:rsid w:val="0014566B"/>
    <w:rsid w:val="00180B03"/>
    <w:rsid w:val="00182B3C"/>
    <w:rsid w:val="001A1EA1"/>
    <w:rsid w:val="001A3BE8"/>
    <w:rsid w:val="001C2CA2"/>
    <w:rsid w:val="001F0E07"/>
    <w:rsid w:val="001F21EE"/>
    <w:rsid w:val="0021026F"/>
    <w:rsid w:val="0023303F"/>
    <w:rsid w:val="0024251C"/>
    <w:rsid w:val="002B7F20"/>
    <w:rsid w:val="002C2F10"/>
    <w:rsid w:val="002C45E2"/>
    <w:rsid w:val="002D0BA1"/>
    <w:rsid w:val="002F2D1A"/>
    <w:rsid w:val="0030144C"/>
    <w:rsid w:val="00313F86"/>
    <w:rsid w:val="00333D92"/>
    <w:rsid w:val="00337996"/>
    <w:rsid w:val="00380651"/>
    <w:rsid w:val="00391CC1"/>
    <w:rsid w:val="00392250"/>
    <w:rsid w:val="003A42A3"/>
    <w:rsid w:val="003B5042"/>
    <w:rsid w:val="003B5CB5"/>
    <w:rsid w:val="003C085F"/>
    <w:rsid w:val="003C6AB4"/>
    <w:rsid w:val="003D4324"/>
    <w:rsid w:val="003F4C10"/>
    <w:rsid w:val="0040218D"/>
    <w:rsid w:val="00407FF5"/>
    <w:rsid w:val="00430435"/>
    <w:rsid w:val="004428F5"/>
    <w:rsid w:val="004456A6"/>
    <w:rsid w:val="00445EF8"/>
    <w:rsid w:val="00485F81"/>
    <w:rsid w:val="004A1E4A"/>
    <w:rsid w:val="004B2CD8"/>
    <w:rsid w:val="004C06F2"/>
    <w:rsid w:val="004C6540"/>
    <w:rsid w:val="004D4F93"/>
    <w:rsid w:val="005038FE"/>
    <w:rsid w:val="0051059C"/>
    <w:rsid w:val="00511965"/>
    <w:rsid w:val="00514CA5"/>
    <w:rsid w:val="00537562"/>
    <w:rsid w:val="005424C1"/>
    <w:rsid w:val="005444E3"/>
    <w:rsid w:val="00544F33"/>
    <w:rsid w:val="00550A6F"/>
    <w:rsid w:val="00553ECC"/>
    <w:rsid w:val="0056226C"/>
    <w:rsid w:val="00562ED2"/>
    <w:rsid w:val="0056333D"/>
    <w:rsid w:val="00567B7D"/>
    <w:rsid w:val="005A3DCA"/>
    <w:rsid w:val="005B5873"/>
    <w:rsid w:val="005D7598"/>
    <w:rsid w:val="0060306B"/>
    <w:rsid w:val="0061583D"/>
    <w:rsid w:val="0062624F"/>
    <w:rsid w:val="00630D7F"/>
    <w:rsid w:val="0065350D"/>
    <w:rsid w:val="00673C3B"/>
    <w:rsid w:val="006749C0"/>
    <w:rsid w:val="00682CE5"/>
    <w:rsid w:val="006A6685"/>
    <w:rsid w:val="006B0895"/>
    <w:rsid w:val="006D589C"/>
    <w:rsid w:val="006D7D93"/>
    <w:rsid w:val="006E5A86"/>
    <w:rsid w:val="007050FB"/>
    <w:rsid w:val="00705166"/>
    <w:rsid w:val="007174C9"/>
    <w:rsid w:val="00727FB8"/>
    <w:rsid w:val="00734539"/>
    <w:rsid w:val="00736FF5"/>
    <w:rsid w:val="00741FED"/>
    <w:rsid w:val="00771412"/>
    <w:rsid w:val="007869B1"/>
    <w:rsid w:val="00786AEB"/>
    <w:rsid w:val="00792C08"/>
    <w:rsid w:val="007B404A"/>
    <w:rsid w:val="007B6BFE"/>
    <w:rsid w:val="007D4853"/>
    <w:rsid w:val="007D76C7"/>
    <w:rsid w:val="007E20AA"/>
    <w:rsid w:val="007F56AD"/>
    <w:rsid w:val="008045E0"/>
    <w:rsid w:val="00814EF1"/>
    <w:rsid w:val="00820D1E"/>
    <w:rsid w:val="00824525"/>
    <w:rsid w:val="00833556"/>
    <w:rsid w:val="008528D0"/>
    <w:rsid w:val="0086486F"/>
    <w:rsid w:val="008A33EE"/>
    <w:rsid w:val="008A5363"/>
    <w:rsid w:val="008B4D6D"/>
    <w:rsid w:val="008C693C"/>
    <w:rsid w:val="008C6AFA"/>
    <w:rsid w:val="008D1271"/>
    <w:rsid w:val="008D29B6"/>
    <w:rsid w:val="008E41F0"/>
    <w:rsid w:val="009141FC"/>
    <w:rsid w:val="00917EAA"/>
    <w:rsid w:val="00922378"/>
    <w:rsid w:val="009411EF"/>
    <w:rsid w:val="009458A8"/>
    <w:rsid w:val="009518FE"/>
    <w:rsid w:val="0095357A"/>
    <w:rsid w:val="00956CBB"/>
    <w:rsid w:val="009619BF"/>
    <w:rsid w:val="00971189"/>
    <w:rsid w:val="009B25ED"/>
    <w:rsid w:val="009B5EA0"/>
    <w:rsid w:val="009D415D"/>
    <w:rsid w:val="009D5BF7"/>
    <w:rsid w:val="009D6098"/>
    <w:rsid w:val="009E0829"/>
    <w:rsid w:val="009F5290"/>
    <w:rsid w:val="00A1642F"/>
    <w:rsid w:val="00A217E8"/>
    <w:rsid w:val="00A27A2A"/>
    <w:rsid w:val="00A32B4E"/>
    <w:rsid w:val="00A3735D"/>
    <w:rsid w:val="00A570D2"/>
    <w:rsid w:val="00A62FE8"/>
    <w:rsid w:val="00A6358F"/>
    <w:rsid w:val="00A6595B"/>
    <w:rsid w:val="00A740DE"/>
    <w:rsid w:val="00A952DE"/>
    <w:rsid w:val="00AA374F"/>
    <w:rsid w:val="00AB6DBE"/>
    <w:rsid w:val="00AD4B11"/>
    <w:rsid w:val="00B02AA8"/>
    <w:rsid w:val="00B103C8"/>
    <w:rsid w:val="00B13D9A"/>
    <w:rsid w:val="00B156CD"/>
    <w:rsid w:val="00B15FFA"/>
    <w:rsid w:val="00B216B4"/>
    <w:rsid w:val="00B40CD5"/>
    <w:rsid w:val="00B43ADB"/>
    <w:rsid w:val="00B43E95"/>
    <w:rsid w:val="00B460E7"/>
    <w:rsid w:val="00B546A5"/>
    <w:rsid w:val="00B62CAD"/>
    <w:rsid w:val="00B8124C"/>
    <w:rsid w:val="00B812C8"/>
    <w:rsid w:val="00B95544"/>
    <w:rsid w:val="00BC635D"/>
    <w:rsid w:val="00BC7C86"/>
    <w:rsid w:val="00BC7D7F"/>
    <w:rsid w:val="00BD0571"/>
    <w:rsid w:val="00BD0F41"/>
    <w:rsid w:val="00BD2DA2"/>
    <w:rsid w:val="00BE702D"/>
    <w:rsid w:val="00BF795F"/>
    <w:rsid w:val="00C1077D"/>
    <w:rsid w:val="00C51263"/>
    <w:rsid w:val="00C518E3"/>
    <w:rsid w:val="00C57E81"/>
    <w:rsid w:val="00C92625"/>
    <w:rsid w:val="00CA6E83"/>
    <w:rsid w:val="00CB2145"/>
    <w:rsid w:val="00CB39F5"/>
    <w:rsid w:val="00CB3A48"/>
    <w:rsid w:val="00CE584E"/>
    <w:rsid w:val="00CE668E"/>
    <w:rsid w:val="00CF1541"/>
    <w:rsid w:val="00CF4B24"/>
    <w:rsid w:val="00CF4B97"/>
    <w:rsid w:val="00D07A94"/>
    <w:rsid w:val="00D132F6"/>
    <w:rsid w:val="00D20922"/>
    <w:rsid w:val="00D21D77"/>
    <w:rsid w:val="00D54736"/>
    <w:rsid w:val="00D572B3"/>
    <w:rsid w:val="00D72340"/>
    <w:rsid w:val="00D76405"/>
    <w:rsid w:val="00D81606"/>
    <w:rsid w:val="00D9170D"/>
    <w:rsid w:val="00DA4347"/>
    <w:rsid w:val="00DB02F6"/>
    <w:rsid w:val="00DB5AD3"/>
    <w:rsid w:val="00DB6DF6"/>
    <w:rsid w:val="00DC2CBA"/>
    <w:rsid w:val="00DC4CDE"/>
    <w:rsid w:val="00DD1AE4"/>
    <w:rsid w:val="00DE2AD1"/>
    <w:rsid w:val="00E31AAB"/>
    <w:rsid w:val="00E47AA7"/>
    <w:rsid w:val="00E55870"/>
    <w:rsid w:val="00E64561"/>
    <w:rsid w:val="00E718C5"/>
    <w:rsid w:val="00E74032"/>
    <w:rsid w:val="00E90A29"/>
    <w:rsid w:val="00E97EC4"/>
    <w:rsid w:val="00EA43E7"/>
    <w:rsid w:val="00EC6503"/>
    <w:rsid w:val="00EF0E23"/>
    <w:rsid w:val="00EF3B9B"/>
    <w:rsid w:val="00EF78E1"/>
    <w:rsid w:val="00F05FE8"/>
    <w:rsid w:val="00F06580"/>
    <w:rsid w:val="00F10934"/>
    <w:rsid w:val="00F15A06"/>
    <w:rsid w:val="00F16523"/>
    <w:rsid w:val="00F245BC"/>
    <w:rsid w:val="00F47A64"/>
    <w:rsid w:val="00F50DAA"/>
    <w:rsid w:val="00F5530D"/>
    <w:rsid w:val="00F63E7E"/>
    <w:rsid w:val="00F65B51"/>
    <w:rsid w:val="00FB5431"/>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5</cp:revision>
  <dcterms:created xsi:type="dcterms:W3CDTF">2023-04-24T13:46:00Z</dcterms:created>
  <dcterms:modified xsi:type="dcterms:W3CDTF">2023-06-08T06:10:00Z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