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5665"/>
        <w:gridCol w:w="4678"/>
        <w:gridCol w:w="3260"/>
      </w:tblGrid>
      <w:tr w:rsidR="00AC055E" w:rsidRPr="00AB458A" w14:paraId="3D3D59A1" w14:textId="77777777" w:rsidTr="0017621A">
        <w:tc>
          <w:tcPr>
            <w:tcW w:w="5665" w:type="dxa"/>
          </w:tcPr>
          <w:p w14:paraId="6D765CE6" w14:textId="1842DCCB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Prekės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</w:rPr>
              <w:t>pavadinimas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</w:rPr>
              <w:t>kataloge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938" w:type="dxa"/>
            <w:gridSpan w:val="2"/>
          </w:tcPr>
          <w:p w14:paraId="7BB08077" w14:textId="5887773B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C055E">
              <w:rPr>
                <w:rFonts w:eastAsia="Calibri"/>
                <w:szCs w:val="24"/>
              </w:rPr>
              <w:t>Prekės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pavadinimas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, </w:t>
            </w:r>
            <w:proofErr w:type="spellStart"/>
            <w:r w:rsidRPr="00AC055E">
              <w:rPr>
                <w:rFonts w:eastAsia="Calibri"/>
                <w:szCs w:val="24"/>
              </w:rPr>
              <w:t>gamintojas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, </w:t>
            </w:r>
            <w:proofErr w:type="spellStart"/>
            <w:r w:rsidRPr="00AC055E">
              <w:rPr>
                <w:rFonts w:eastAsia="Calibri"/>
                <w:szCs w:val="24"/>
              </w:rPr>
              <w:t>prekės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kodas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ar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modelis</w:t>
            </w:r>
            <w:proofErr w:type="spellEnd"/>
          </w:p>
        </w:tc>
      </w:tr>
      <w:tr w:rsidR="00AC055E" w:rsidRPr="00AB458A" w14:paraId="10A7E3EE" w14:textId="77777777" w:rsidTr="00B4443B">
        <w:tc>
          <w:tcPr>
            <w:tcW w:w="5665" w:type="dxa"/>
          </w:tcPr>
          <w:p w14:paraId="75A44DD3" w14:textId="18CBE593" w:rsidR="00AC055E" w:rsidRPr="00312F9D" w:rsidRDefault="0059266A" w:rsidP="00AF234C">
            <w:pPr>
              <w:spacing w:line="276" w:lineRule="auto"/>
              <w:jc w:val="center"/>
              <w:rPr>
                <w:rFonts w:eastAsia="Calibri"/>
                <w:i/>
                <w:iCs/>
                <w:color w:val="FF0000"/>
                <w:szCs w:val="24"/>
                <w:lang w:val="lt-LT"/>
              </w:rPr>
            </w:pPr>
            <w:proofErr w:type="spellStart"/>
            <w:r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Biliary</w:t>
            </w:r>
            <w:r w:rsidR="001E505E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l</w:t>
            </w:r>
            <w:proofErr w:type="spellEnd"/>
            <w:r w:rsidR="001E505E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 </w:t>
            </w:r>
            <w:proofErr w:type="spellStart"/>
            <w:r w:rsidR="001E505E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stent</w:t>
            </w:r>
            <w:proofErr w:type="spellEnd"/>
            <w:r w:rsidR="00D37591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 </w:t>
            </w:r>
            <w:proofErr w:type="spellStart"/>
            <w:r w:rsidR="008C67F3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covered</w:t>
            </w:r>
            <w:proofErr w:type="spellEnd"/>
            <w:r w:rsidR="004F2703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, </w:t>
            </w:r>
            <w:proofErr w:type="spellStart"/>
            <w:r w:rsidR="004F2703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partially</w:t>
            </w:r>
            <w:proofErr w:type="spellEnd"/>
            <w:r w:rsidR="004F2703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 </w:t>
            </w:r>
            <w:proofErr w:type="spellStart"/>
            <w:r w:rsidR="004F2703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covered</w:t>
            </w:r>
            <w:proofErr w:type="spellEnd"/>
          </w:p>
        </w:tc>
        <w:tc>
          <w:tcPr>
            <w:tcW w:w="7938" w:type="dxa"/>
            <w:gridSpan w:val="2"/>
          </w:tcPr>
          <w:p w14:paraId="3893942A" w14:textId="15D482ED" w:rsidR="00AC055E" w:rsidRPr="00032EDF" w:rsidRDefault="00DB2E51" w:rsidP="00AF234C">
            <w:pPr>
              <w:spacing w:line="276" w:lineRule="auto"/>
              <w:jc w:val="center"/>
              <w:rPr>
                <w:rFonts w:eastAsia="Calibri"/>
                <w:i/>
                <w:iCs/>
                <w:color w:val="FF0000"/>
                <w:szCs w:val="24"/>
              </w:rPr>
            </w:pPr>
            <w:proofErr w:type="spellStart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>Niti</w:t>
            </w:r>
            <w:proofErr w:type="spellEnd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>-S</w:t>
            </w:r>
            <w:r>
              <w:rPr>
                <w:rFonts w:eastAsia="Calibri"/>
                <w:i/>
                <w:iCs/>
                <w:color w:val="FF0000"/>
                <w:szCs w:val="24"/>
              </w:rPr>
              <w:t xml:space="preserve"> </w:t>
            </w:r>
            <w:proofErr w:type="spellStart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>stentai,Taewoong</w:t>
            </w:r>
            <w:proofErr w:type="spellEnd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 xml:space="preserve">, </w:t>
            </w:r>
            <w:proofErr w:type="spellStart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>kodų</w:t>
            </w:r>
            <w:proofErr w:type="spellEnd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 xml:space="preserve"> </w:t>
            </w:r>
            <w:proofErr w:type="spellStart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>serija</w:t>
            </w:r>
            <w:proofErr w:type="spellEnd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 xml:space="preserve"> </w:t>
            </w:r>
            <w:proofErr w:type="spellStart"/>
            <w:r w:rsidR="004579F2" w:rsidRPr="004579F2">
              <w:rPr>
                <w:rFonts w:eastAsia="Calibri"/>
                <w:i/>
                <w:iCs/>
                <w:color w:val="FF0000"/>
                <w:szCs w:val="24"/>
              </w:rPr>
              <w:t>BSxxxxF;BSxxxxB</w:t>
            </w:r>
            <w:proofErr w:type="spellEnd"/>
          </w:p>
        </w:tc>
      </w:tr>
      <w:tr w:rsidR="00AC055E" w:rsidRPr="00AB458A" w14:paraId="01D84B4C" w14:textId="77777777" w:rsidTr="00AF234C">
        <w:tc>
          <w:tcPr>
            <w:tcW w:w="5665" w:type="dxa"/>
          </w:tcPr>
          <w:p w14:paraId="0FE38809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B458A">
              <w:rPr>
                <w:rFonts w:eastAsia="Calibri"/>
                <w:szCs w:val="24"/>
              </w:rPr>
              <w:t>Mokslinės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publikacijos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duomenys</w:t>
            </w:r>
            <w:proofErr w:type="spellEnd"/>
          </w:p>
        </w:tc>
        <w:tc>
          <w:tcPr>
            <w:tcW w:w="4678" w:type="dxa"/>
          </w:tcPr>
          <w:p w14:paraId="26E6751F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B458A">
              <w:rPr>
                <w:rFonts w:eastAsia="Calibri"/>
                <w:szCs w:val="24"/>
              </w:rPr>
              <w:t>Mokslinė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publikacija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Nr. 1</w:t>
            </w:r>
          </w:p>
        </w:tc>
        <w:tc>
          <w:tcPr>
            <w:tcW w:w="3260" w:type="dxa"/>
          </w:tcPr>
          <w:p w14:paraId="7227F469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B458A">
              <w:rPr>
                <w:rFonts w:eastAsia="Calibri"/>
                <w:szCs w:val="24"/>
              </w:rPr>
              <w:t>Mokslinė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publikacija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Nr. 2</w:t>
            </w:r>
          </w:p>
        </w:tc>
      </w:tr>
      <w:tr w:rsidR="00AC055E" w:rsidRPr="00AB458A" w14:paraId="0E03899A" w14:textId="77777777" w:rsidTr="00AF234C">
        <w:tc>
          <w:tcPr>
            <w:tcW w:w="5665" w:type="dxa"/>
          </w:tcPr>
          <w:p w14:paraId="61CD4C7E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B458A">
              <w:rPr>
                <w:rFonts w:eastAsia="Calibri"/>
                <w:szCs w:val="24"/>
                <w:lang w:val="fi-FI"/>
              </w:rPr>
              <w:t>Medžiaga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ir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šaltiniai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(ISI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indeksą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turintis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mokslinis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leidinys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>.</w:t>
            </w:r>
          </w:p>
          <w:p w14:paraId="1BFC6C39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B458A">
              <w:rPr>
                <w:rFonts w:eastAsia="Calibri"/>
                <w:szCs w:val="24"/>
                <w:lang w:val="fi-FI"/>
              </w:rPr>
              <w:t>Nurodyti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ISI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indeksą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tų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metų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kuriais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buvo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išleista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teikiama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publikacija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. </w:t>
            </w:r>
          </w:p>
          <w:p w14:paraId="3DD08725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 xml:space="preserve">ISI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indeksą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sudaro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Thomson Reuters (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pasitikrinti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pvz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>.: http://jcr.incites.thomsonreuters.com)</w:t>
            </w:r>
          </w:p>
        </w:tc>
        <w:tc>
          <w:tcPr>
            <w:tcW w:w="4678" w:type="dxa"/>
          </w:tcPr>
          <w:p w14:paraId="03DD7860" w14:textId="2AFFE594" w:rsidR="00AC055E" w:rsidRPr="00AB458A" w:rsidRDefault="00DB6F78" w:rsidP="007449B3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DB6F78">
              <w:rPr>
                <w:rFonts w:eastAsia="Calibri"/>
                <w:szCs w:val="24"/>
                <w:lang w:val="fi-FI"/>
              </w:rPr>
              <w:t>DIGESTIVE AND LIVER DISEASE 2013 /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Dig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Liver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 xml:space="preserve"> Dis. 2013 Apr;45(4):305-9. 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doi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 xml:space="preserve">: 10.1016/j.dld.2012.11.001. 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Prospective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evaluation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partially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covered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nitinol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 xml:space="preserve"> "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ComVi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 xml:space="preserve">" 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 xml:space="preserve"> for 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malignant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non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hilar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biliary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DB6F78">
              <w:rPr>
                <w:rFonts w:eastAsia="Calibri"/>
                <w:szCs w:val="24"/>
                <w:lang w:val="fi-FI"/>
              </w:rPr>
              <w:t>obstruction</w:t>
            </w:r>
            <w:proofErr w:type="spellEnd"/>
            <w:r w:rsidRPr="00DB6F78">
              <w:rPr>
                <w:rFonts w:eastAsia="Calibri"/>
                <w:szCs w:val="24"/>
                <w:lang w:val="fi-FI"/>
              </w:rPr>
              <w:t>.</w:t>
            </w:r>
          </w:p>
        </w:tc>
        <w:tc>
          <w:tcPr>
            <w:tcW w:w="3260" w:type="dxa"/>
          </w:tcPr>
          <w:p w14:paraId="625FBDDC" w14:textId="757021FD" w:rsidR="00AC055E" w:rsidRPr="00AB458A" w:rsidRDefault="005D5001" w:rsidP="008E45F9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5D5001">
              <w:rPr>
                <w:rFonts w:eastAsia="Calibri"/>
                <w:szCs w:val="24"/>
                <w:lang w:val="fi-FI"/>
              </w:rPr>
              <w:t>GASTROINTESTINAL ENDOSCOPY 2009 ISI 6.713/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Gastrointest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Endosc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. 2009 Jul;70(1):37-44.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doi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: 10.1016/j.gie.2008.09.032.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Measurement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radial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and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axial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forces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biliary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self-expandable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metallic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stents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>.</w:t>
            </w:r>
          </w:p>
        </w:tc>
      </w:tr>
      <w:tr w:rsidR="00AC055E" w:rsidRPr="00AB458A" w14:paraId="19D68FF6" w14:textId="77777777" w:rsidTr="00AF234C">
        <w:tc>
          <w:tcPr>
            <w:tcW w:w="5665" w:type="dxa"/>
          </w:tcPr>
          <w:p w14:paraId="38C282E8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B458A">
              <w:rPr>
                <w:rFonts w:eastAsia="Calibri"/>
                <w:szCs w:val="24"/>
                <w:lang w:val="fi-FI"/>
              </w:rPr>
              <w:t>Mokslinės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publikacijos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autorius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>/-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iai</w:t>
            </w:r>
            <w:proofErr w:type="spellEnd"/>
          </w:p>
        </w:tc>
        <w:tc>
          <w:tcPr>
            <w:tcW w:w="4678" w:type="dxa"/>
          </w:tcPr>
          <w:p w14:paraId="1924CD55" w14:textId="039F70ED" w:rsidR="00AC055E" w:rsidRPr="00AB458A" w:rsidRDefault="008E45F9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8E45F9">
              <w:rPr>
                <w:rFonts w:eastAsia="Calibri"/>
                <w:szCs w:val="24"/>
                <w:lang w:val="fi-FI"/>
              </w:rPr>
              <w:t>Perri</w:t>
            </w:r>
            <w:proofErr w:type="spellEnd"/>
            <w:r w:rsidRPr="008E45F9">
              <w:rPr>
                <w:rFonts w:eastAsia="Calibri"/>
                <w:szCs w:val="24"/>
                <w:lang w:val="fi-FI"/>
              </w:rPr>
              <w:t xml:space="preserve"> V1, </w:t>
            </w:r>
            <w:proofErr w:type="spellStart"/>
            <w:r w:rsidRPr="008E45F9">
              <w:rPr>
                <w:rFonts w:eastAsia="Calibri"/>
                <w:szCs w:val="24"/>
                <w:lang w:val="fi-FI"/>
              </w:rPr>
              <w:t>Boškoski</w:t>
            </w:r>
            <w:proofErr w:type="spellEnd"/>
            <w:r w:rsidRPr="008E45F9">
              <w:rPr>
                <w:rFonts w:eastAsia="Calibri"/>
                <w:szCs w:val="24"/>
                <w:lang w:val="fi-FI"/>
              </w:rPr>
              <w:t xml:space="preserve"> I, </w:t>
            </w:r>
            <w:proofErr w:type="spellStart"/>
            <w:r w:rsidRPr="008E45F9">
              <w:rPr>
                <w:rFonts w:eastAsia="Calibri"/>
                <w:szCs w:val="24"/>
                <w:lang w:val="fi-FI"/>
              </w:rPr>
              <w:t>Tringali</w:t>
            </w:r>
            <w:proofErr w:type="spellEnd"/>
            <w:r w:rsidRPr="008E45F9">
              <w:rPr>
                <w:rFonts w:eastAsia="Calibri"/>
                <w:szCs w:val="24"/>
                <w:lang w:val="fi-FI"/>
              </w:rPr>
              <w:t xml:space="preserve"> A, </w:t>
            </w:r>
            <w:proofErr w:type="spellStart"/>
            <w:r w:rsidRPr="008E45F9">
              <w:rPr>
                <w:rFonts w:eastAsia="Calibri"/>
                <w:szCs w:val="24"/>
                <w:lang w:val="fi-FI"/>
              </w:rPr>
              <w:t>Familiari</w:t>
            </w:r>
            <w:proofErr w:type="spellEnd"/>
            <w:r w:rsidRPr="008E45F9">
              <w:rPr>
                <w:rFonts w:eastAsia="Calibri"/>
                <w:szCs w:val="24"/>
                <w:lang w:val="fi-FI"/>
              </w:rPr>
              <w:t xml:space="preserve"> P, </w:t>
            </w:r>
            <w:proofErr w:type="spellStart"/>
            <w:r w:rsidRPr="008E45F9">
              <w:rPr>
                <w:rFonts w:eastAsia="Calibri"/>
                <w:szCs w:val="24"/>
                <w:lang w:val="fi-FI"/>
              </w:rPr>
              <w:t>Marchese</w:t>
            </w:r>
            <w:proofErr w:type="spellEnd"/>
            <w:r w:rsidRPr="008E45F9">
              <w:rPr>
                <w:rFonts w:eastAsia="Calibri"/>
                <w:szCs w:val="24"/>
                <w:lang w:val="fi-FI"/>
              </w:rPr>
              <w:t xml:space="preserve"> M, Lee DK, </w:t>
            </w:r>
            <w:proofErr w:type="spellStart"/>
            <w:r w:rsidRPr="008E45F9">
              <w:rPr>
                <w:rFonts w:eastAsia="Calibri"/>
                <w:szCs w:val="24"/>
                <w:lang w:val="fi-FI"/>
              </w:rPr>
              <w:t>Jang</w:t>
            </w:r>
            <w:proofErr w:type="spellEnd"/>
            <w:r w:rsidRPr="008E45F9">
              <w:rPr>
                <w:rFonts w:eastAsia="Calibri"/>
                <w:szCs w:val="24"/>
                <w:lang w:val="fi-FI"/>
              </w:rPr>
              <w:t xml:space="preserve"> SI, </w:t>
            </w:r>
            <w:proofErr w:type="spellStart"/>
            <w:r w:rsidRPr="008E45F9">
              <w:rPr>
                <w:rFonts w:eastAsia="Calibri"/>
                <w:szCs w:val="24"/>
                <w:lang w:val="fi-FI"/>
              </w:rPr>
              <w:t>Han</w:t>
            </w:r>
            <w:proofErr w:type="spellEnd"/>
            <w:r w:rsidRPr="008E45F9">
              <w:rPr>
                <w:rFonts w:eastAsia="Calibri"/>
                <w:szCs w:val="24"/>
                <w:lang w:val="fi-FI"/>
              </w:rPr>
              <w:t xml:space="preserve"> J, Kim HG, </w:t>
            </w:r>
            <w:proofErr w:type="spellStart"/>
            <w:r w:rsidRPr="008E45F9">
              <w:rPr>
                <w:rFonts w:eastAsia="Calibri"/>
                <w:szCs w:val="24"/>
                <w:lang w:val="fi-FI"/>
              </w:rPr>
              <w:t>Mutignani</w:t>
            </w:r>
            <w:proofErr w:type="spellEnd"/>
            <w:r w:rsidRPr="008E45F9">
              <w:rPr>
                <w:rFonts w:eastAsia="Calibri"/>
                <w:szCs w:val="24"/>
                <w:lang w:val="fi-FI"/>
              </w:rPr>
              <w:t xml:space="preserve"> M, </w:t>
            </w:r>
            <w:proofErr w:type="spellStart"/>
            <w:r w:rsidRPr="008E45F9">
              <w:rPr>
                <w:rFonts w:eastAsia="Calibri"/>
                <w:szCs w:val="24"/>
                <w:lang w:val="fi-FI"/>
              </w:rPr>
              <w:t>Onder</w:t>
            </w:r>
            <w:proofErr w:type="spellEnd"/>
            <w:r w:rsidRPr="008E45F9">
              <w:rPr>
                <w:rFonts w:eastAsia="Calibri"/>
                <w:szCs w:val="24"/>
                <w:lang w:val="fi-FI"/>
              </w:rPr>
              <w:t xml:space="preserve"> G, </w:t>
            </w:r>
            <w:proofErr w:type="spellStart"/>
            <w:r w:rsidRPr="008E45F9">
              <w:rPr>
                <w:rFonts w:eastAsia="Calibri"/>
                <w:szCs w:val="24"/>
                <w:lang w:val="fi-FI"/>
              </w:rPr>
              <w:t>Costamagna</w:t>
            </w:r>
            <w:proofErr w:type="spellEnd"/>
            <w:r w:rsidRPr="008E45F9">
              <w:rPr>
                <w:rFonts w:eastAsia="Calibri"/>
                <w:szCs w:val="24"/>
                <w:lang w:val="fi-FI"/>
              </w:rPr>
              <w:t xml:space="preserve"> G.</w:t>
            </w:r>
          </w:p>
        </w:tc>
        <w:tc>
          <w:tcPr>
            <w:tcW w:w="3260" w:type="dxa"/>
          </w:tcPr>
          <w:p w14:paraId="33E6018F" w14:textId="072991D6" w:rsidR="00AC055E" w:rsidRPr="00AB458A" w:rsidRDefault="005D5001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5D5001">
              <w:rPr>
                <w:rFonts w:eastAsia="Calibri"/>
                <w:szCs w:val="24"/>
                <w:lang w:val="fi-FI"/>
              </w:rPr>
              <w:t>Isayama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H1,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Nakai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Y,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Toyokawa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Y,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Togawa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O, Gon C,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Ito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Y,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Yashima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Y,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Yagioka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H,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Kogure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H,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Sasaki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T,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Arizumi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T,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Matsubara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S,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Yamamoto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N,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Sasahira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N,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Hirano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K,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Tsujino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T,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Toda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N,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Tada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M, </w:t>
            </w:r>
            <w:proofErr w:type="spellStart"/>
            <w:r w:rsidRPr="005D5001">
              <w:rPr>
                <w:rFonts w:eastAsia="Calibri"/>
                <w:szCs w:val="24"/>
                <w:lang w:val="fi-FI"/>
              </w:rPr>
              <w:t>Kawabe</w:t>
            </w:r>
            <w:proofErr w:type="spellEnd"/>
            <w:r w:rsidRPr="005D5001">
              <w:rPr>
                <w:rFonts w:eastAsia="Calibri"/>
                <w:szCs w:val="24"/>
                <w:lang w:val="fi-FI"/>
              </w:rPr>
              <w:t xml:space="preserve"> T, Omata M.</w:t>
            </w:r>
          </w:p>
        </w:tc>
      </w:tr>
      <w:tr w:rsidR="00AC055E" w:rsidRPr="00AB458A" w14:paraId="50743D08" w14:textId="77777777" w:rsidTr="00AF234C">
        <w:tc>
          <w:tcPr>
            <w:tcW w:w="5665" w:type="dxa"/>
          </w:tcPr>
          <w:p w14:paraId="575D8F02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B458A">
              <w:rPr>
                <w:rFonts w:eastAsia="Calibri"/>
                <w:szCs w:val="24"/>
                <w:lang w:val="fi-FI"/>
              </w:rPr>
              <w:t>Mokslinio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leidinio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ISI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indeksas</w:t>
            </w:r>
            <w:proofErr w:type="spellEnd"/>
          </w:p>
        </w:tc>
        <w:tc>
          <w:tcPr>
            <w:tcW w:w="4678" w:type="dxa"/>
          </w:tcPr>
          <w:p w14:paraId="3B4413DF" w14:textId="4801522E" w:rsidR="00AC055E" w:rsidRPr="00AB458A" w:rsidRDefault="008E45F9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8E45F9">
              <w:rPr>
                <w:rFonts w:eastAsia="Calibri"/>
                <w:szCs w:val="24"/>
                <w:lang w:val="fi-FI"/>
              </w:rPr>
              <w:t>ISI 2.889</w:t>
            </w:r>
          </w:p>
        </w:tc>
        <w:tc>
          <w:tcPr>
            <w:tcW w:w="3260" w:type="dxa"/>
          </w:tcPr>
          <w:p w14:paraId="3DBB2B2D" w14:textId="42DFCFC8" w:rsidR="00AC055E" w:rsidRPr="00AB458A" w:rsidRDefault="005D5001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5D5001">
              <w:rPr>
                <w:rFonts w:eastAsia="Calibri"/>
                <w:szCs w:val="24"/>
                <w:lang w:val="fi-FI"/>
              </w:rPr>
              <w:t>ISI 6.713</w:t>
            </w:r>
          </w:p>
        </w:tc>
      </w:tr>
      <w:tr w:rsidR="00AC055E" w:rsidRPr="00AB458A" w14:paraId="146B4BAC" w14:textId="77777777" w:rsidTr="00AF234C">
        <w:tc>
          <w:tcPr>
            <w:tcW w:w="5665" w:type="dxa"/>
          </w:tcPr>
          <w:p w14:paraId="16563406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B458A">
              <w:rPr>
                <w:rFonts w:eastAsia="Calibri"/>
                <w:szCs w:val="24"/>
                <w:lang w:val="fi-FI"/>
              </w:rPr>
              <w:t>Tyrimo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populiacija</w:t>
            </w:r>
            <w:proofErr w:type="spellEnd"/>
          </w:p>
        </w:tc>
        <w:tc>
          <w:tcPr>
            <w:tcW w:w="4678" w:type="dxa"/>
          </w:tcPr>
          <w:p w14:paraId="04169509" w14:textId="5361CDA7" w:rsidR="00AC055E" w:rsidRPr="00AB458A" w:rsidRDefault="00A2691F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>
              <w:rPr>
                <w:rFonts w:eastAsia="Calibri"/>
                <w:szCs w:val="24"/>
                <w:lang w:val="fi-FI"/>
              </w:rPr>
              <w:t>70</w:t>
            </w:r>
          </w:p>
        </w:tc>
        <w:tc>
          <w:tcPr>
            <w:tcW w:w="3260" w:type="dxa"/>
          </w:tcPr>
          <w:p w14:paraId="71603F5A" w14:textId="1F80D898" w:rsidR="00AC055E" w:rsidRPr="00AB458A" w:rsidRDefault="00865408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865408">
              <w:rPr>
                <w:rFonts w:eastAsia="Calibri"/>
                <w:szCs w:val="24"/>
                <w:lang w:val="fi-FI"/>
              </w:rPr>
              <w:t>Subjektai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nevertinti</w:t>
            </w:r>
            <w:proofErr w:type="spellEnd"/>
          </w:p>
        </w:tc>
      </w:tr>
      <w:tr w:rsidR="00AC055E" w:rsidRPr="00AB458A" w14:paraId="04FC4E0D" w14:textId="77777777" w:rsidTr="00AF234C">
        <w:tc>
          <w:tcPr>
            <w:tcW w:w="5665" w:type="dxa"/>
          </w:tcPr>
          <w:p w14:paraId="7342AF37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B458A">
              <w:rPr>
                <w:rFonts w:eastAsia="Calibri"/>
                <w:szCs w:val="24"/>
                <w:lang w:val="fi-FI"/>
              </w:rPr>
              <w:t>Tyrimo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rezultatai</w:t>
            </w:r>
            <w:proofErr w:type="spellEnd"/>
          </w:p>
        </w:tc>
        <w:tc>
          <w:tcPr>
            <w:tcW w:w="4678" w:type="dxa"/>
          </w:tcPr>
          <w:p w14:paraId="6048D7DA" w14:textId="426C8A84" w:rsidR="00AC055E" w:rsidRPr="00AB458A" w:rsidRDefault="00A2691F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2691F">
              <w:rPr>
                <w:rFonts w:eastAsia="Calibri"/>
                <w:szCs w:val="24"/>
                <w:lang w:val="fi-FI"/>
              </w:rPr>
              <w:t>Overall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median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survival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time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190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days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(30-856).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Forty-four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(62.8%)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died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after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median 175.5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days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(30-614)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without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signs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dysfunction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; 37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(52.8%)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were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alive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after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6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months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without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signs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self-expandable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metal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stents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occlusion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Survival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rapidly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dropped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between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8 and 12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months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after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treatment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Survival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not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influenced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by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sex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(P = 0.1)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or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type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neoplasia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(P = 0.178). Median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survival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lastRenderedPageBreak/>
              <w:t>was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longer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(254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days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[44-836]) in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who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underwent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chemotherapy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(P &lt; 0.0001).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Partially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covered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self-expandable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metal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stents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occlusion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had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24 (35.7%)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154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days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(35-485)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after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treatment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. Median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survival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after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re-treatment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66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days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(13-597).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Cholecystitis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occurred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one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patient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(1.7%).</w:t>
            </w:r>
          </w:p>
        </w:tc>
        <w:tc>
          <w:tcPr>
            <w:tcW w:w="3260" w:type="dxa"/>
          </w:tcPr>
          <w:p w14:paraId="658D9E3C" w14:textId="15184A95" w:rsidR="00AC055E" w:rsidRPr="00AB458A" w:rsidRDefault="00865408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865408">
              <w:rPr>
                <w:rFonts w:eastAsia="Calibri"/>
                <w:szCs w:val="24"/>
                <w:lang w:val="fi-FI"/>
              </w:rPr>
              <w:lastRenderedPageBreak/>
              <w:t>Measurements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of RF in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process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expansion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showed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characteristic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patterns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closely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related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to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structures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and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materials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SEMSs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Results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of AF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measurement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can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be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classified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into 3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groups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: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high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, medium, and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low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AF,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depending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on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type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of SEMS. AF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decreased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with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an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lastRenderedPageBreak/>
              <w:t>increase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length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stents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. A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plot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of RF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against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AF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revealed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3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distinguished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RF/AF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combinations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and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indicated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importance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understanding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properties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by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not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only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RF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or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AF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individually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but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also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by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RF/AF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combination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>.</w:t>
            </w:r>
          </w:p>
        </w:tc>
      </w:tr>
      <w:tr w:rsidR="00AC055E" w:rsidRPr="00AB458A" w14:paraId="288773A9" w14:textId="77777777" w:rsidTr="00AF234C">
        <w:tc>
          <w:tcPr>
            <w:tcW w:w="5665" w:type="dxa"/>
          </w:tcPr>
          <w:p w14:paraId="5E4AEB90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B458A">
              <w:rPr>
                <w:rFonts w:eastAsia="Calibri"/>
                <w:szCs w:val="24"/>
                <w:lang w:val="fi-FI"/>
              </w:rPr>
              <w:lastRenderedPageBreak/>
              <w:t>Tyrimo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išvados</w:t>
            </w:r>
            <w:proofErr w:type="spellEnd"/>
          </w:p>
        </w:tc>
        <w:tc>
          <w:tcPr>
            <w:tcW w:w="4678" w:type="dxa"/>
          </w:tcPr>
          <w:p w14:paraId="7B3BDEE8" w14:textId="07118D24" w:rsidR="00AC055E" w:rsidRPr="00AB458A" w:rsidRDefault="00A2691F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2691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ComVi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partially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covered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self-expandable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metal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stents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is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effective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for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palliation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biliary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obstruction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secondary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to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distal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malignant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biliary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strictures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Self-expandable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metal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stents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patency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during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follow-up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is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satisfactory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without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significant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2691F">
              <w:rPr>
                <w:rFonts w:eastAsia="Calibri"/>
                <w:szCs w:val="24"/>
                <w:lang w:val="fi-FI"/>
              </w:rPr>
              <w:t>complications</w:t>
            </w:r>
            <w:proofErr w:type="spellEnd"/>
            <w:r w:rsidRPr="00A2691F">
              <w:rPr>
                <w:rFonts w:eastAsia="Calibri"/>
                <w:szCs w:val="24"/>
                <w:lang w:val="fi-FI"/>
              </w:rPr>
              <w:t>.</w:t>
            </w:r>
            <w:r w:rsidR="00CD157F" w:rsidRPr="00CD157F">
              <w:rPr>
                <w:rFonts w:eastAsia="Calibri"/>
                <w:szCs w:val="24"/>
                <w:lang w:val="fi-FI"/>
              </w:rPr>
              <w:t>.</w:t>
            </w:r>
          </w:p>
        </w:tc>
        <w:tc>
          <w:tcPr>
            <w:tcW w:w="3260" w:type="dxa"/>
          </w:tcPr>
          <w:p w14:paraId="42E36431" w14:textId="17F33F6D" w:rsidR="00AC055E" w:rsidRPr="00AB458A" w:rsidRDefault="00865408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865408">
              <w:rPr>
                <w:rFonts w:eastAsia="Calibri"/>
                <w:szCs w:val="24"/>
                <w:lang w:val="fi-FI"/>
              </w:rPr>
              <w:t xml:space="preserve">It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demonstrated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that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a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combination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of RF and AF is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more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effective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than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RF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or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AF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individually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understanding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clinical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implications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SEMSs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. More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work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is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needed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to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correlate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mechanical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properties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with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clinical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results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by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designing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model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865408">
              <w:rPr>
                <w:rFonts w:eastAsia="Calibri"/>
                <w:szCs w:val="24"/>
                <w:lang w:val="fi-FI"/>
              </w:rPr>
              <w:t>experiments</w:t>
            </w:r>
            <w:proofErr w:type="spellEnd"/>
            <w:r w:rsidRPr="00865408">
              <w:rPr>
                <w:rFonts w:eastAsia="Calibri"/>
                <w:szCs w:val="24"/>
                <w:lang w:val="fi-FI"/>
              </w:rPr>
              <w:t>.</w:t>
            </w:r>
          </w:p>
        </w:tc>
      </w:tr>
    </w:tbl>
    <w:p w14:paraId="2CAA6723" w14:textId="77777777" w:rsidR="009B7D28" w:rsidRDefault="009B7D28"/>
    <w:p w14:paraId="59830780" w14:textId="77777777" w:rsidR="00312F9D" w:rsidRDefault="00312F9D"/>
    <w:p w14:paraId="7303ED44" w14:textId="77777777" w:rsidR="00312F9D" w:rsidRDefault="00312F9D"/>
    <w:p w14:paraId="6B797310" w14:textId="77777777" w:rsidR="00312F9D" w:rsidRPr="00312F9D" w:rsidRDefault="00312F9D">
      <w:pPr>
        <w:rPr>
          <w:lang w:val="en-LT"/>
        </w:rPr>
      </w:pPr>
    </w:p>
    <w:sectPr w:rsidR="00312F9D" w:rsidRPr="00312F9D" w:rsidSect="00AC055E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5E"/>
    <w:rsid w:val="00032EDF"/>
    <w:rsid w:val="001E505E"/>
    <w:rsid w:val="00312F9D"/>
    <w:rsid w:val="004579F2"/>
    <w:rsid w:val="004F2703"/>
    <w:rsid w:val="0059266A"/>
    <w:rsid w:val="005D5001"/>
    <w:rsid w:val="006F0C1D"/>
    <w:rsid w:val="00712D4E"/>
    <w:rsid w:val="007449B3"/>
    <w:rsid w:val="00865408"/>
    <w:rsid w:val="008C67F3"/>
    <w:rsid w:val="008E45F9"/>
    <w:rsid w:val="009B7D28"/>
    <w:rsid w:val="00A2691F"/>
    <w:rsid w:val="00AC055E"/>
    <w:rsid w:val="00AE330F"/>
    <w:rsid w:val="00CD157F"/>
    <w:rsid w:val="00D37591"/>
    <w:rsid w:val="00DB2E51"/>
    <w:rsid w:val="00DB6F78"/>
    <w:rsid w:val="00E3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BBD486"/>
  <w15:chartTrackingRefBased/>
  <w15:docId w15:val="{819CF5FD-E725-47B6-A09F-F8C62AD9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5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FA8735753D34DA9EE10F8DFB36D64" ma:contentTypeVersion="17" ma:contentTypeDescription="Create a new document." ma:contentTypeScope="" ma:versionID="6232e8910703771a469585e097d79d2e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9000a5c04c8ded1537420f90852ecb9c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61658-14B9-4E28-8864-72D7A94D55AD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2.xml><?xml version="1.0" encoding="utf-8"?>
<ds:datastoreItem xmlns:ds="http://schemas.openxmlformats.org/officeDocument/2006/customXml" ds:itemID="{FED99BE1-C55E-554C-A9F5-9050B6036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9E6D8B-2632-4880-9415-A2A30B98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63A0C7-DD85-4F44-BA09-98A99C7CC5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Vilemaitė</dc:creator>
  <cp:keywords/>
  <dc:description/>
  <cp:lastModifiedBy>Vaidas Večkys</cp:lastModifiedBy>
  <cp:revision>2</cp:revision>
  <dcterms:created xsi:type="dcterms:W3CDTF">2023-03-28T07:22:00Z</dcterms:created>
  <dcterms:modified xsi:type="dcterms:W3CDTF">2023-03-28T07:22:00Z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