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5665"/>
        <w:gridCol w:w="4678"/>
        <w:gridCol w:w="3260"/>
      </w:tblGrid>
      <w:tr w:rsidR="00AC055E" w:rsidRPr="00AB458A" w14:paraId="3D3D59A1" w14:textId="77777777" w:rsidTr="0017621A">
        <w:tc>
          <w:tcPr>
            <w:tcW w:w="5665" w:type="dxa"/>
          </w:tcPr>
          <w:p w14:paraId="6D765CE6" w14:textId="1842DCCB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Prekės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pavadinimas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kataloge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938" w:type="dxa"/>
            <w:gridSpan w:val="2"/>
          </w:tcPr>
          <w:p w14:paraId="7BB08077" w14:textId="5887773B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C055E">
              <w:rPr>
                <w:rFonts w:eastAsia="Calibri"/>
                <w:szCs w:val="24"/>
              </w:rPr>
              <w:t>Prekės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pavadinimas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, </w:t>
            </w:r>
            <w:proofErr w:type="spellStart"/>
            <w:r w:rsidRPr="00AC055E">
              <w:rPr>
                <w:rFonts w:eastAsia="Calibri"/>
                <w:szCs w:val="24"/>
              </w:rPr>
              <w:t>gamintojas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, </w:t>
            </w:r>
            <w:proofErr w:type="spellStart"/>
            <w:r w:rsidRPr="00AC055E">
              <w:rPr>
                <w:rFonts w:eastAsia="Calibri"/>
                <w:szCs w:val="24"/>
              </w:rPr>
              <w:t>prekės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kodas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ar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modelis</w:t>
            </w:r>
            <w:proofErr w:type="spellEnd"/>
          </w:p>
        </w:tc>
      </w:tr>
      <w:tr w:rsidR="00AC055E" w:rsidRPr="00AB458A" w14:paraId="10A7E3EE" w14:textId="77777777" w:rsidTr="00B4443B">
        <w:tc>
          <w:tcPr>
            <w:tcW w:w="5665" w:type="dxa"/>
          </w:tcPr>
          <w:p w14:paraId="75A44DD3" w14:textId="0241ED48" w:rsidR="00AC055E" w:rsidRPr="00312F9D" w:rsidRDefault="0059266A" w:rsidP="00AF234C">
            <w:pPr>
              <w:spacing w:line="276" w:lineRule="auto"/>
              <w:jc w:val="center"/>
              <w:rPr>
                <w:rFonts w:eastAsia="Calibri"/>
                <w:i/>
                <w:iCs/>
                <w:color w:val="FF0000"/>
                <w:szCs w:val="24"/>
                <w:lang w:val="lt-LT"/>
              </w:rPr>
            </w:pPr>
            <w:proofErr w:type="spellStart"/>
            <w:r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Biliary</w:t>
            </w:r>
            <w:r w:rsidR="001E505E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l</w:t>
            </w:r>
            <w:proofErr w:type="spellEnd"/>
            <w:r w:rsidR="001E505E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 </w:t>
            </w:r>
            <w:proofErr w:type="spellStart"/>
            <w:r w:rsidR="001E505E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>stent</w:t>
            </w:r>
            <w:proofErr w:type="spellEnd"/>
            <w:r w:rsidR="00355DEA">
              <w:rPr>
                <w:rFonts w:eastAsia="Calibri"/>
                <w:i/>
                <w:iCs/>
                <w:color w:val="FF0000"/>
                <w:szCs w:val="24"/>
                <w:lang w:val="lt-LT"/>
              </w:rPr>
              <w:t xml:space="preserve"> uncovered</w:t>
            </w:r>
          </w:p>
        </w:tc>
        <w:tc>
          <w:tcPr>
            <w:tcW w:w="7938" w:type="dxa"/>
            <w:gridSpan w:val="2"/>
          </w:tcPr>
          <w:p w14:paraId="3893942A" w14:textId="53F3A41F" w:rsidR="00AC055E" w:rsidRPr="00032EDF" w:rsidRDefault="00DB2E51" w:rsidP="00AF234C">
            <w:pPr>
              <w:spacing w:line="276" w:lineRule="auto"/>
              <w:jc w:val="center"/>
              <w:rPr>
                <w:rFonts w:eastAsia="Calibri"/>
                <w:i/>
                <w:iCs/>
                <w:color w:val="FF0000"/>
                <w:szCs w:val="24"/>
              </w:rPr>
            </w:pPr>
            <w:proofErr w:type="spellStart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>Niti</w:t>
            </w:r>
            <w:proofErr w:type="spellEnd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>-S</w:t>
            </w:r>
            <w:r>
              <w:rPr>
                <w:rFonts w:eastAsia="Calibri"/>
                <w:i/>
                <w:iCs/>
                <w:color w:val="FF0000"/>
                <w:szCs w:val="24"/>
              </w:rPr>
              <w:t xml:space="preserve"> </w:t>
            </w:r>
            <w:proofErr w:type="spellStart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>stentai,Taewoong</w:t>
            </w:r>
            <w:proofErr w:type="spellEnd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 xml:space="preserve">, </w:t>
            </w:r>
            <w:proofErr w:type="spellStart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>kodų</w:t>
            </w:r>
            <w:proofErr w:type="spellEnd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 xml:space="preserve"> </w:t>
            </w:r>
            <w:proofErr w:type="spellStart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>serija</w:t>
            </w:r>
            <w:proofErr w:type="spellEnd"/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 xml:space="preserve"> </w:t>
            </w:r>
            <w:proofErr w:type="spellStart"/>
            <w:r w:rsidR="006F0C1D">
              <w:rPr>
                <w:rFonts w:eastAsia="Calibri"/>
                <w:i/>
                <w:iCs/>
                <w:color w:val="FF0000"/>
                <w:szCs w:val="24"/>
              </w:rPr>
              <w:t>B</w:t>
            </w:r>
            <w:r>
              <w:rPr>
                <w:rFonts w:eastAsia="Calibri"/>
                <w:i/>
                <w:iCs/>
                <w:color w:val="FF0000"/>
                <w:szCs w:val="24"/>
              </w:rPr>
              <w:t>x</w:t>
            </w:r>
            <w:r w:rsidRPr="00FF655B">
              <w:rPr>
                <w:rFonts w:eastAsia="Calibri"/>
                <w:i/>
                <w:iCs/>
                <w:color w:val="FF0000"/>
                <w:szCs w:val="24"/>
              </w:rPr>
              <w:t>xxxx</w:t>
            </w:r>
            <w:r>
              <w:rPr>
                <w:rFonts w:eastAsia="Calibri"/>
                <w:i/>
                <w:iCs/>
                <w:color w:val="FF0000"/>
                <w:szCs w:val="24"/>
              </w:rPr>
              <w:t>xx</w:t>
            </w:r>
            <w:proofErr w:type="spellEnd"/>
            <w:r>
              <w:rPr>
                <w:rFonts w:eastAsia="Calibri"/>
                <w:i/>
                <w:iCs/>
                <w:color w:val="FF0000"/>
                <w:szCs w:val="24"/>
              </w:rPr>
              <w:t>;</w:t>
            </w:r>
          </w:p>
        </w:tc>
      </w:tr>
      <w:tr w:rsidR="00AC055E" w:rsidRPr="00AB458A" w14:paraId="01D84B4C" w14:textId="77777777" w:rsidTr="00AF234C">
        <w:tc>
          <w:tcPr>
            <w:tcW w:w="5665" w:type="dxa"/>
          </w:tcPr>
          <w:p w14:paraId="0FE38809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Mokslinės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publikacijos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duomenys</w:t>
            </w:r>
            <w:proofErr w:type="spellEnd"/>
          </w:p>
        </w:tc>
        <w:tc>
          <w:tcPr>
            <w:tcW w:w="4678" w:type="dxa"/>
          </w:tcPr>
          <w:p w14:paraId="26E6751F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publikacija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Nr. 1</w:t>
            </w:r>
          </w:p>
        </w:tc>
        <w:tc>
          <w:tcPr>
            <w:tcW w:w="3260" w:type="dxa"/>
          </w:tcPr>
          <w:p w14:paraId="7227F469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publikacija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Nr. 2</w:t>
            </w:r>
          </w:p>
        </w:tc>
      </w:tr>
      <w:tr w:rsidR="00AC055E" w:rsidRPr="00AB458A" w14:paraId="0E03899A" w14:textId="77777777" w:rsidTr="00AF234C">
        <w:tc>
          <w:tcPr>
            <w:tcW w:w="5665" w:type="dxa"/>
          </w:tcPr>
          <w:p w14:paraId="61CD4C7E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Medžiaga ir šaltiniai (ISI indeksą turintis mokslinis leidinys.</w:t>
            </w:r>
          </w:p>
          <w:p w14:paraId="1BFC6C39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 xml:space="preserve">Nurodyti ISI indeksą tų metų, kuriais buvo išleista teikiama publikacija. </w:t>
            </w:r>
          </w:p>
          <w:p w14:paraId="3DD08725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ISI indeksą sudaro Thomson Reuters (pasitikrinti pvz.: http://jcr.incites.thomsonreuters.com)</w:t>
            </w:r>
          </w:p>
        </w:tc>
        <w:tc>
          <w:tcPr>
            <w:tcW w:w="4678" w:type="dxa"/>
          </w:tcPr>
          <w:p w14:paraId="50AFE03A" w14:textId="77777777" w:rsidR="007449B3" w:rsidRPr="007449B3" w:rsidRDefault="007449B3" w:rsidP="007449B3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7449B3">
              <w:rPr>
                <w:rFonts w:eastAsia="Calibri"/>
                <w:szCs w:val="24"/>
                <w:lang w:val="fi-FI"/>
              </w:rPr>
              <w:t>Digestive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Endoscopy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2015 </w:t>
            </w:r>
          </w:p>
          <w:p w14:paraId="03DD7860" w14:textId="0639F1E2" w:rsidR="00AC055E" w:rsidRPr="00AB458A" w:rsidRDefault="007449B3" w:rsidP="007449B3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7449B3">
              <w:rPr>
                <w:rFonts w:eastAsia="Calibri"/>
                <w:szCs w:val="24"/>
                <w:lang w:val="fi-FI"/>
              </w:rPr>
              <w:t>Dig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Endosc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. 2015 Sep;27(6):692-9.Small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cell-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versus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large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cell-sized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metal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endoscopic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bilateral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>-in-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placement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malignant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hilar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biliary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obstruction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>.</w:t>
            </w:r>
          </w:p>
        </w:tc>
        <w:tc>
          <w:tcPr>
            <w:tcW w:w="3260" w:type="dxa"/>
          </w:tcPr>
          <w:p w14:paraId="625FBDDC" w14:textId="268EACF2" w:rsidR="00AC055E" w:rsidRPr="00AB458A" w:rsidRDefault="007449B3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7449B3">
              <w:rPr>
                <w:rFonts w:eastAsia="Calibri"/>
                <w:szCs w:val="24"/>
                <w:lang w:val="fi-FI"/>
              </w:rPr>
              <w:t xml:space="preserve">GASTROINTESTINAL ENDOSCOPY 2009 /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Gastrointest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Endosc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. 2009 Jul;70(1):45-51. A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comparison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Niti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-D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biliary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uncovered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and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uncovered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Wallstent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malignant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biliary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obstruction</w:t>
            </w:r>
            <w:proofErr w:type="spellEnd"/>
          </w:p>
        </w:tc>
      </w:tr>
      <w:tr w:rsidR="00AC055E" w:rsidRPr="00AB458A" w14:paraId="19D68FF6" w14:textId="77777777" w:rsidTr="00AF234C">
        <w:tc>
          <w:tcPr>
            <w:tcW w:w="5665" w:type="dxa"/>
          </w:tcPr>
          <w:p w14:paraId="38C282E8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Mokslinės publikacijos autorius/-iai</w:t>
            </w:r>
          </w:p>
        </w:tc>
        <w:tc>
          <w:tcPr>
            <w:tcW w:w="4678" w:type="dxa"/>
          </w:tcPr>
          <w:p w14:paraId="1924CD55" w14:textId="09D1BA61" w:rsidR="00AC055E" w:rsidRPr="00AB458A" w:rsidRDefault="007449B3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7449B3">
              <w:rPr>
                <w:rFonts w:eastAsia="Calibri"/>
                <w:szCs w:val="24"/>
                <w:lang w:val="fi-FI"/>
              </w:rPr>
              <w:t xml:space="preserve">Lee JM1,2, Lee SH1,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Chung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KH1, Park JM3,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Paik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WH4,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Woo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SM5, Lee WJ5,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Ryu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JK1, Kim YT1.</w:t>
            </w:r>
          </w:p>
        </w:tc>
        <w:tc>
          <w:tcPr>
            <w:tcW w:w="3260" w:type="dxa"/>
          </w:tcPr>
          <w:p w14:paraId="33E6018F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</w:p>
        </w:tc>
      </w:tr>
      <w:tr w:rsidR="00AC055E" w:rsidRPr="00AB458A" w14:paraId="50743D08" w14:textId="77777777" w:rsidTr="00AF234C">
        <w:tc>
          <w:tcPr>
            <w:tcW w:w="5665" w:type="dxa"/>
          </w:tcPr>
          <w:p w14:paraId="575D8F02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Mokslinio leidinio ISI indeksas</w:t>
            </w:r>
          </w:p>
        </w:tc>
        <w:tc>
          <w:tcPr>
            <w:tcW w:w="4678" w:type="dxa"/>
          </w:tcPr>
          <w:p w14:paraId="3B4413DF" w14:textId="22FD9870" w:rsidR="00AC055E" w:rsidRPr="00AB458A" w:rsidRDefault="007449B3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7449B3">
              <w:rPr>
                <w:rFonts w:eastAsia="Calibri"/>
                <w:szCs w:val="24"/>
                <w:lang w:val="fi-FI"/>
              </w:rPr>
              <w:t>ISI 2.715</w:t>
            </w:r>
          </w:p>
        </w:tc>
        <w:tc>
          <w:tcPr>
            <w:tcW w:w="3260" w:type="dxa"/>
          </w:tcPr>
          <w:p w14:paraId="3DBB2B2D" w14:textId="20161546" w:rsidR="00AC055E" w:rsidRPr="00AB458A" w:rsidRDefault="007449B3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7449B3">
              <w:rPr>
                <w:rFonts w:eastAsia="Calibri"/>
                <w:szCs w:val="24"/>
                <w:lang w:val="fi-FI"/>
              </w:rPr>
              <w:t>ISI 6.713</w:t>
            </w:r>
          </w:p>
        </w:tc>
      </w:tr>
      <w:tr w:rsidR="00AC055E" w:rsidRPr="00AB458A" w14:paraId="146B4BAC" w14:textId="77777777" w:rsidTr="00AF234C">
        <w:tc>
          <w:tcPr>
            <w:tcW w:w="5665" w:type="dxa"/>
          </w:tcPr>
          <w:p w14:paraId="16563406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Tyrimo populiacija</w:t>
            </w:r>
          </w:p>
        </w:tc>
        <w:tc>
          <w:tcPr>
            <w:tcW w:w="4678" w:type="dxa"/>
          </w:tcPr>
          <w:p w14:paraId="04169509" w14:textId="66FB9F58" w:rsidR="00AC055E" w:rsidRPr="00AB458A" w:rsidRDefault="007449B3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7449B3">
              <w:rPr>
                <w:rFonts w:eastAsia="Calibri"/>
                <w:szCs w:val="24"/>
                <w:lang w:val="fi-FI"/>
              </w:rPr>
              <w:t>58</w:t>
            </w:r>
          </w:p>
        </w:tc>
        <w:tc>
          <w:tcPr>
            <w:tcW w:w="3260" w:type="dxa"/>
          </w:tcPr>
          <w:p w14:paraId="71603F5A" w14:textId="69FCF9EE" w:rsidR="00AC055E" w:rsidRPr="00AB458A" w:rsidRDefault="007449B3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7449B3">
              <w:rPr>
                <w:rFonts w:eastAsia="Calibri"/>
                <w:szCs w:val="24"/>
                <w:lang w:val="fi-FI"/>
              </w:rPr>
              <w:t>101</w:t>
            </w:r>
          </w:p>
        </w:tc>
      </w:tr>
      <w:tr w:rsidR="00AC055E" w:rsidRPr="00AB458A" w14:paraId="04FC4E0D" w14:textId="77777777" w:rsidTr="00AF234C">
        <w:tc>
          <w:tcPr>
            <w:tcW w:w="5665" w:type="dxa"/>
          </w:tcPr>
          <w:p w14:paraId="7342AF37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Tyrimo rezultatai</w:t>
            </w:r>
          </w:p>
        </w:tc>
        <w:tc>
          <w:tcPr>
            <w:tcW w:w="4678" w:type="dxa"/>
          </w:tcPr>
          <w:p w14:paraId="6048D7DA" w14:textId="74093A2D" w:rsidR="00AC055E" w:rsidRPr="00AB458A" w:rsidRDefault="007449B3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7449B3">
              <w:rPr>
                <w:rFonts w:eastAsia="Calibri"/>
                <w:szCs w:val="24"/>
                <w:lang w:val="fi-FI"/>
              </w:rPr>
              <w:t>There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were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no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significant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differences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between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two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groups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successful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drainage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(SCS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vs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LCS, 100%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vs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100%,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respectively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),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early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complications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(38.1%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vs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18.2%),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late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complications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(14.3%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vs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22.7%),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occlusion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(42.9%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vs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45.5%),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tumor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ingrowth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(33.3%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vs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45.5%)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or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overgrowth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(9.5%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vs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0%).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Duration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patency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and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overall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survival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were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not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significantly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different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between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two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groups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 xml:space="preserve"> (P = 0.086 and P = 0.320, </w:t>
            </w:r>
            <w:proofErr w:type="spellStart"/>
            <w:r w:rsidRPr="007449B3">
              <w:rPr>
                <w:rFonts w:eastAsia="Calibri"/>
                <w:szCs w:val="24"/>
                <w:lang w:val="fi-FI"/>
              </w:rPr>
              <w:t>respectively</w:t>
            </w:r>
            <w:proofErr w:type="spellEnd"/>
            <w:r w:rsidRPr="007449B3">
              <w:rPr>
                <w:rFonts w:eastAsia="Calibri"/>
                <w:szCs w:val="24"/>
                <w:lang w:val="fi-FI"/>
              </w:rPr>
              <w:t>).</w:t>
            </w:r>
          </w:p>
        </w:tc>
        <w:tc>
          <w:tcPr>
            <w:tcW w:w="3260" w:type="dxa"/>
          </w:tcPr>
          <w:p w14:paraId="658D9E3C" w14:textId="2373BF8B" w:rsidR="00AC055E" w:rsidRPr="00AB458A" w:rsidRDefault="00CD157F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CD157F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occlusion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occurred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in 11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(26.8%)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NDS and 17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(28.3%)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with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Wallstent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median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duration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patency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tended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to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be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longer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NDS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group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(153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)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than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Wallstent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group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(124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);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however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difference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not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statistically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significant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(P = .204).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median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duration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overall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survival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160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NDS and 148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Wallstent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subgroup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analysis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showed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that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27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patients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had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hilar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lastRenderedPageBreak/>
              <w:t>obstruction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(NDS 13,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Wallstent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14).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median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duration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patency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249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NDS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group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and 76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days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Wallstent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group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;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this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difference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was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statistically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significant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(P = .006).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complications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included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pancreatitis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in 3 NDS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cases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and 5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Wallstent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cases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>.</w:t>
            </w:r>
          </w:p>
        </w:tc>
      </w:tr>
      <w:tr w:rsidR="00AC055E" w:rsidRPr="00AB458A" w14:paraId="288773A9" w14:textId="77777777" w:rsidTr="00AF234C">
        <w:tc>
          <w:tcPr>
            <w:tcW w:w="5665" w:type="dxa"/>
          </w:tcPr>
          <w:p w14:paraId="5E4AEB90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lastRenderedPageBreak/>
              <w:t>Tyrimo išvados</w:t>
            </w:r>
          </w:p>
        </w:tc>
        <w:tc>
          <w:tcPr>
            <w:tcW w:w="4678" w:type="dxa"/>
          </w:tcPr>
          <w:p w14:paraId="7B3BDEE8" w14:textId="04C74D8B" w:rsidR="00AC055E" w:rsidRPr="00AB458A" w:rsidRDefault="00CD157F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CD157F">
              <w:rPr>
                <w:rFonts w:eastAsia="Calibri"/>
                <w:szCs w:val="24"/>
                <w:lang w:val="fi-FI"/>
              </w:rPr>
              <w:t>Endoscopic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bilateral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SIS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placement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malignant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hilar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biliary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obstruction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shows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no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differences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stent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patency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survival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complications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and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clinical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course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according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to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cell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size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of SEMS.</w:t>
            </w:r>
          </w:p>
        </w:tc>
        <w:tc>
          <w:tcPr>
            <w:tcW w:w="3260" w:type="dxa"/>
          </w:tcPr>
          <w:p w14:paraId="42E36431" w14:textId="311EAAC9" w:rsidR="00AC055E" w:rsidRPr="00AB458A" w:rsidRDefault="00CD157F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results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of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this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study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showed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no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significant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differences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between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NDS and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Wallstent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palliative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endoscopic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management of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malignant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biliary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obstruction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There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were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no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significant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differences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in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patency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complication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rates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, and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patient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survival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between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more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conformable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NDS and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conventional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Wallstent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.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However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the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NDS,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which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has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good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conformability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,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may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be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preferred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for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hilar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 xml:space="preserve"> </w:t>
            </w:r>
            <w:proofErr w:type="spellStart"/>
            <w:r w:rsidRPr="00CD157F">
              <w:rPr>
                <w:rFonts w:eastAsia="Calibri"/>
                <w:szCs w:val="24"/>
                <w:lang w:val="fi-FI"/>
              </w:rPr>
              <w:t>obstruction</w:t>
            </w:r>
            <w:proofErr w:type="spellEnd"/>
            <w:r w:rsidRPr="00CD157F">
              <w:rPr>
                <w:rFonts w:eastAsia="Calibri"/>
                <w:szCs w:val="24"/>
                <w:lang w:val="fi-FI"/>
              </w:rPr>
              <w:t>.</w:t>
            </w:r>
          </w:p>
        </w:tc>
      </w:tr>
    </w:tbl>
    <w:p w14:paraId="2CAA6723" w14:textId="77777777" w:rsidR="009B7D28" w:rsidRDefault="009B7D28"/>
    <w:p w14:paraId="59830780" w14:textId="77777777" w:rsidR="00312F9D" w:rsidRDefault="00312F9D"/>
    <w:p w14:paraId="7303ED44" w14:textId="77777777" w:rsidR="00312F9D" w:rsidRDefault="00312F9D"/>
    <w:p w14:paraId="6B797310" w14:textId="77777777" w:rsidR="00312F9D" w:rsidRPr="00312F9D" w:rsidRDefault="00312F9D">
      <w:pPr>
        <w:rPr>
          <w:lang w:val="en-LT"/>
        </w:rPr>
      </w:pPr>
    </w:p>
    <w:sectPr w:rsidR="00312F9D" w:rsidRPr="00312F9D" w:rsidSect="00AC055E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5E"/>
    <w:rsid w:val="00032EDF"/>
    <w:rsid w:val="001E505E"/>
    <w:rsid w:val="00312F9D"/>
    <w:rsid w:val="00355DEA"/>
    <w:rsid w:val="0059266A"/>
    <w:rsid w:val="006F0C1D"/>
    <w:rsid w:val="00712D4E"/>
    <w:rsid w:val="007449B3"/>
    <w:rsid w:val="009B7D28"/>
    <w:rsid w:val="00AC055E"/>
    <w:rsid w:val="00AE330F"/>
    <w:rsid w:val="00CD157F"/>
    <w:rsid w:val="00DB2E51"/>
    <w:rsid w:val="00E3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BBD486"/>
  <w15:chartTrackingRefBased/>
  <w15:docId w15:val="{819CF5FD-E725-47B6-A09F-F8C62AD9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5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FA8735753D34DA9EE10F8DFB36D64" ma:contentTypeVersion="17" ma:contentTypeDescription="Create a new document." ma:contentTypeScope="" ma:versionID="6232e8910703771a469585e097d79d2e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9000a5c04c8ded1537420f90852ecb9c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761658-14B9-4E28-8864-72D7A94D55AD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1C63A0C7-DD85-4F44-BA09-98A99C7CC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E6D8B-2632-4880-9415-A2A30B98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D99BE1-C55E-554C-A9F5-9050B603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Vilemaitė</dc:creator>
  <cp:keywords/>
  <dc:description/>
  <cp:lastModifiedBy>Vaidas Večkys</cp:lastModifiedBy>
  <cp:revision>3</cp:revision>
  <dcterms:created xsi:type="dcterms:W3CDTF">2023-03-28T07:15:00Z</dcterms:created>
  <dcterms:modified xsi:type="dcterms:W3CDTF">2023-03-28T07:17:00Z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