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5665"/>
        <w:gridCol w:w="4678"/>
        <w:gridCol w:w="3260"/>
      </w:tblGrid>
      <w:tr w:rsidR="00AC055E" w:rsidRPr="00AB458A" w14:paraId="3D3D59A1" w14:textId="77777777" w:rsidTr="0017621A">
        <w:tc>
          <w:tcPr>
            <w:tcW w:w="5665" w:type="dxa"/>
          </w:tcPr>
          <w:p w14:paraId="6D765CE6" w14:textId="1842DCC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Prekės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pavadinimas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kataloge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7BB08077" w14:textId="5887773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pavadinimas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gamintojas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kodas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ar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modelis</w:t>
            </w:r>
            <w:proofErr w:type="spellEnd"/>
          </w:p>
        </w:tc>
      </w:tr>
      <w:tr w:rsidR="00AC055E" w:rsidRPr="00AB458A" w14:paraId="10A7E3EE" w14:textId="77777777" w:rsidTr="00B4443B">
        <w:tc>
          <w:tcPr>
            <w:tcW w:w="5665" w:type="dxa"/>
          </w:tcPr>
          <w:p w14:paraId="75A44DD3" w14:textId="13C3FFDA" w:rsidR="00AC055E" w:rsidRPr="00312F9D" w:rsidRDefault="00FF655B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  <w:lang w:val="lt-LT"/>
              </w:rPr>
            </w:pPr>
            <w:proofErr w:type="spellStart"/>
            <w:r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Esophageal</w:t>
            </w:r>
            <w:proofErr w:type="spellEnd"/>
            <w:r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stents</w:t>
            </w:r>
            <w:proofErr w:type="spellEnd"/>
          </w:p>
        </w:tc>
        <w:tc>
          <w:tcPr>
            <w:tcW w:w="7938" w:type="dxa"/>
            <w:gridSpan w:val="2"/>
          </w:tcPr>
          <w:p w14:paraId="3893942A" w14:textId="7C26435A" w:rsidR="00AC055E" w:rsidRPr="00D7033A" w:rsidRDefault="00FF655B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  <w:lang w:val="lt-LT"/>
              </w:rPr>
            </w:pPr>
            <w:proofErr w:type="spellStart"/>
            <w:r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Niti</w:t>
            </w:r>
            <w:proofErr w:type="spellEnd"/>
            <w:r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-S</w:t>
            </w:r>
            <w:r w:rsidR="00607990"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proofErr w:type="spellStart"/>
            <w:r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stentai,Taewoong</w:t>
            </w:r>
            <w:proofErr w:type="spellEnd"/>
            <w:r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, kodų serija </w:t>
            </w:r>
            <w:r w:rsidR="00E575B5"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EsxxxxFR2</w:t>
            </w:r>
            <w:r w:rsidR="00E575B5"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;</w:t>
            </w:r>
            <w:r w:rsidR="00E575B5" w:rsidRPr="00D7033A">
              <w:rPr>
                <w:lang w:val="lt-LT"/>
              </w:rPr>
              <w:t xml:space="preserve"> </w:t>
            </w:r>
            <w:r w:rsidR="00E575B5"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Es</w:t>
            </w:r>
            <w:r w:rsidR="00E575B5"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p</w:t>
            </w:r>
            <w:r w:rsidR="00E575B5"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xxxxFR2</w:t>
            </w:r>
            <w:r w:rsidR="00D7033A"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;</w:t>
            </w:r>
            <w:r w:rsidR="00D7033A" w:rsidRPr="00D7033A">
              <w:rPr>
                <w:lang w:val="lt-LT"/>
              </w:rPr>
              <w:t xml:space="preserve"> </w:t>
            </w:r>
            <w:proofErr w:type="spellStart"/>
            <w:r w:rsidR="00D7033A"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EsxxxxB</w:t>
            </w:r>
            <w:proofErr w:type="spellEnd"/>
            <w:r w:rsid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;</w:t>
            </w:r>
            <w:r w:rsidR="00D7033A" w:rsidRPr="00D7033A">
              <w:rPr>
                <w:lang w:val="lt-LT"/>
              </w:rPr>
              <w:t xml:space="preserve"> </w:t>
            </w:r>
            <w:r w:rsidR="00D7033A" w:rsidRPr="00D7033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EspxxxxB</w:t>
            </w:r>
          </w:p>
        </w:tc>
      </w:tr>
      <w:tr w:rsidR="00AC055E" w:rsidRPr="00AB458A" w14:paraId="01D84B4C" w14:textId="77777777" w:rsidTr="00AF234C">
        <w:tc>
          <w:tcPr>
            <w:tcW w:w="5665" w:type="dxa"/>
          </w:tcPr>
          <w:p w14:paraId="0FE3880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publikacijos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duomenys</w:t>
            </w:r>
            <w:proofErr w:type="spellEnd"/>
          </w:p>
        </w:tc>
        <w:tc>
          <w:tcPr>
            <w:tcW w:w="4678" w:type="dxa"/>
          </w:tcPr>
          <w:p w14:paraId="26E6751F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1</w:t>
            </w:r>
          </w:p>
        </w:tc>
        <w:tc>
          <w:tcPr>
            <w:tcW w:w="3260" w:type="dxa"/>
          </w:tcPr>
          <w:p w14:paraId="7227F46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2</w:t>
            </w:r>
          </w:p>
        </w:tc>
      </w:tr>
      <w:tr w:rsidR="00AC055E" w:rsidRPr="00AB458A" w14:paraId="0E03899A" w14:textId="77777777" w:rsidTr="00AF234C">
        <w:tc>
          <w:tcPr>
            <w:tcW w:w="5665" w:type="dxa"/>
          </w:tcPr>
          <w:p w14:paraId="61CD4C7E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Medžiaga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ir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šaltiniai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(ISI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indeksą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turintis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mokslinis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leidinys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>.</w:t>
            </w:r>
          </w:p>
          <w:p w14:paraId="1BFC6C39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Nurodyti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ISI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indeksą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tų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metų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kuriais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buvo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išleista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teikiama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. </w:t>
            </w:r>
          </w:p>
          <w:p w14:paraId="3DD08725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 xml:space="preserve">ISI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indeksą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sudaro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Thomson Reuters (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pasitikrinti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pvz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>.: http://jcr.incites.thomsonreuters.com)</w:t>
            </w:r>
          </w:p>
        </w:tc>
        <w:tc>
          <w:tcPr>
            <w:tcW w:w="4678" w:type="dxa"/>
          </w:tcPr>
          <w:p w14:paraId="03DD7860" w14:textId="1CBE4F9E" w:rsidR="00AC055E" w:rsidRPr="00AB458A" w:rsidRDefault="00FF655B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FF655B">
              <w:rPr>
                <w:rFonts w:eastAsia="Calibri"/>
                <w:szCs w:val="24"/>
                <w:lang w:val="fi-FI"/>
              </w:rPr>
              <w:t xml:space="preserve">SCANDINAVIAN JOURNAL OF GASTROENTEROLOGY 2011 46(7-8):875-80.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Doi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: 10.3109/00365521.2011.571706.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Fully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covered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retrievable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self-expanding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metal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(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Niti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-S) in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palliation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dysphagia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>: long-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term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results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of a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prospective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study</w:t>
            </w:r>
            <w:proofErr w:type="spellEnd"/>
          </w:p>
        </w:tc>
        <w:tc>
          <w:tcPr>
            <w:tcW w:w="3260" w:type="dxa"/>
          </w:tcPr>
          <w:p w14:paraId="625FBDDC" w14:textId="62B5068D" w:rsidR="00AC055E" w:rsidRPr="00AB458A" w:rsidRDefault="00FF655B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FF655B">
              <w:rPr>
                <w:rFonts w:eastAsia="Calibri"/>
                <w:szCs w:val="24"/>
                <w:lang w:val="fi-FI"/>
              </w:rPr>
              <w:t>Rev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Esp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Enferm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Dig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.  2018 Aug;110(8):500-504.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Self-expandable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 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metal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 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 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are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a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valid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option in long-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term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survivors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advanced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 xml:space="preserve">  </w:t>
            </w:r>
            <w:proofErr w:type="spellStart"/>
            <w:r w:rsidRPr="00FF655B">
              <w:rPr>
                <w:rFonts w:eastAsia="Calibri"/>
                <w:szCs w:val="24"/>
                <w:lang w:val="fi-FI"/>
              </w:rPr>
              <w:t>esophagealcancer</w:t>
            </w:r>
            <w:proofErr w:type="spellEnd"/>
            <w:r w:rsidRPr="00FF655B">
              <w:rPr>
                <w:rFonts w:eastAsia="Calibri"/>
                <w:szCs w:val="24"/>
                <w:lang w:val="fi-FI"/>
              </w:rPr>
              <w:t>.</w:t>
            </w:r>
          </w:p>
        </w:tc>
      </w:tr>
      <w:tr w:rsidR="00AC055E" w:rsidRPr="00AB458A" w14:paraId="19D68FF6" w14:textId="77777777" w:rsidTr="00AF234C">
        <w:tc>
          <w:tcPr>
            <w:tcW w:w="5665" w:type="dxa"/>
          </w:tcPr>
          <w:p w14:paraId="38C282E8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Mokslinės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publikacijos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autorius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>/-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iai</w:t>
            </w:r>
            <w:proofErr w:type="spellEnd"/>
          </w:p>
        </w:tc>
        <w:tc>
          <w:tcPr>
            <w:tcW w:w="4678" w:type="dxa"/>
          </w:tcPr>
          <w:p w14:paraId="1924CD55" w14:textId="096A0F49" w:rsidR="00AC055E" w:rsidRPr="00AB458A" w:rsidRDefault="00B91FB8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B91FB8">
              <w:rPr>
                <w:rFonts w:eastAsia="Calibri"/>
                <w:szCs w:val="24"/>
                <w:lang w:val="fi-FI"/>
              </w:rPr>
              <w:t>Choi</w:t>
            </w:r>
            <w:proofErr w:type="spellEnd"/>
            <w:r w:rsidRPr="00B91FB8">
              <w:rPr>
                <w:rFonts w:eastAsia="Calibri"/>
                <w:szCs w:val="24"/>
                <w:lang w:val="fi-FI"/>
              </w:rPr>
              <w:t xml:space="preserve"> SJ1, Kim JH, </w:t>
            </w:r>
            <w:proofErr w:type="spellStart"/>
            <w:r w:rsidRPr="00B91FB8">
              <w:rPr>
                <w:rFonts w:eastAsia="Calibri"/>
                <w:szCs w:val="24"/>
                <w:lang w:val="fi-FI"/>
              </w:rPr>
              <w:t>Choi</w:t>
            </w:r>
            <w:proofErr w:type="spellEnd"/>
            <w:r w:rsidRPr="00B91FB8">
              <w:rPr>
                <w:rFonts w:eastAsia="Calibri"/>
                <w:szCs w:val="24"/>
                <w:lang w:val="fi-FI"/>
              </w:rPr>
              <w:t xml:space="preserve"> JW, </w:t>
            </w:r>
            <w:proofErr w:type="spellStart"/>
            <w:r w:rsidRPr="00B91FB8">
              <w:rPr>
                <w:rFonts w:eastAsia="Calibri"/>
                <w:szCs w:val="24"/>
                <w:lang w:val="fi-FI"/>
              </w:rPr>
              <w:t>Lim</w:t>
            </w:r>
            <w:proofErr w:type="spellEnd"/>
            <w:r w:rsidRPr="00B91FB8">
              <w:rPr>
                <w:rFonts w:eastAsia="Calibri"/>
                <w:szCs w:val="24"/>
                <w:lang w:val="fi-FI"/>
              </w:rPr>
              <w:t xml:space="preserve"> SG, </w:t>
            </w:r>
            <w:proofErr w:type="spellStart"/>
            <w:r w:rsidRPr="00B91FB8">
              <w:rPr>
                <w:rFonts w:eastAsia="Calibri"/>
                <w:szCs w:val="24"/>
                <w:lang w:val="fi-FI"/>
              </w:rPr>
              <w:t>Shin</w:t>
            </w:r>
            <w:proofErr w:type="spellEnd"/>
            <w:r w:rsidRPr="00B91FB8">
              <w:rPr>
                <w:rFonts w:eastAsia="Calibri"/>
                <w:szCs w:val="24"/>
                <w:lang w:val="fi-FI"/>
              </w:rPr>
              <w:t xml:space="preserve"> SJ, Lee KM, Lee K</w:t>
            </w:r>
          </w:p>
        </w:tc>
        <w:tc>
          <w:tcPr>
            <w:tcW w:w="3260" w:type="dxa"/>
          </w:tcPr>
          <w:p w14:paraId="33E6018F" w14:textId="42ABD4A6" w:rsidR="00AC055E" w:rsidRPr="00AB458A" w:rsidRDefault="000B267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0B267E">
              <w:rPr>
                <w:rFonts w:eastAsia="Calibri"/>
                <w:szCs w:val="24"/>
                <w:lang w:val="fi-FI"/>
              </w:rPr>
              <w:t>Rodrigues-Pinto</w:t>
            </w:r>
            <w:proofErr w:type="spellEnd"/>
            <w:r w:rsidRPr="000B267E">
              <w:rPr>
                <w:rFonts w:eastAsia="Calibri"/>
                <w:szCs w:val="24"/>
                <w:lang w:val="fi-FI"/>
              </w:rPr>
              <w:t xml:space="preserve"> E1, </w:t>
            </w:r>
            <w:proofErr w:type="spellStart"/>
            <w:r w:rsidRPr="000B267E">
              <w:rPr>
                <w:rFonts w:eastAsia="Calibri"/>
                <w:szCs w:val="24"/>
                <w:lang w:val="fi-FI"/>
              </w:rPr>
              <w:t>Pereira</w:t>
            </w:r>
            <w:proofErr w:type="spellEnd"/>
            <w:r w:rsidRPr="000B267E">
              <w:rPr>
                <w:rFonts w:eastAsia="Calibri"/>
                <w:szCs w:val="24"/>
                <w:lang w:val="fi-FI"/>
              </w:rPr>
              <w:t xml:space="preserve"> P1, Baron TH2, </w:t>
            </w:r>
            <w:proofErr w:type="spellStart"/>
            <w:r w:rsidRPr="000B267E">
              <w:rPr>
                <w:rFonts w:eastAsia="Calibri"/>
                <w:szCs w:val="24"/>
                <w:lang w:val="fi-FI"/>
              </w:rPr>
              <w:t>Macedo</w:t>
            </w:r>
            <w:proofErr w:type="spellEnd"/>
            <w:r w:rsidRPr="000B267E">
              <w:rPr>
                <w:rFonts w:eastAsia="Calibri"/>
                <w:szCs w:val="24"/>
                <w:lang w:val="fi-FI"/>
              </w:rPr>
              <w:t xml:space="preserve"> G1.</w:t>
            </w:r>
          </w:p>
        </w:tc>
      </w:tr>
      <w:tr w:rsidR="00AC055E" w:rsidRPr="00AB458A" w14:paraId="50743D08" w14:textId="77777777" w:rsidTr="00AF234C">
        <w:tc>
          <w:tcPr>
            <w:tcW w:w="5665" w:type="dxa"/>
          </w:tcPr>
          <w:p w14:paraId="575D8F02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Mokslinio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leidinio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ISI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indeksas</w:t>
            </w:r>
            <w:proofErr w:type="spellEnd"/>
          </w:p>
        </w:tc>
        <w:tc>
          <w:tcPr>
            <w:tcW w:w="4678" w:type="dxa"/>
          </w:tcPr>
          <w:p w14:paraId="3B4413DF" w14:textId="75F885FD" w:rsidR="00AC055E" w:rsidRPr="00AB458A" w:rsidRDefault="000B267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0B267E">
              <w:rPr>
                <w:rFonts w:eastAsia="Calibri"/>
                <w:szCs w:val="24"/>
                <w:lang w:val="fi-FI"/>
              </w:rPr>
              <w:t>ISI 2.019</w:t>
            </w:r>
          </w:p>
        </w:tc>
        <w:tc>
          <w:tcPr>
            <w:tcW w:w="3260" w:type="dxa"/>
          </w:tcPr>
          <w:p w14:paraId="3DBB2B2D" w14:textId="176595AB" w:rsidR="00AC055E" w:rsidRPr="00AB458A" w:rsidRDefault="000B267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0B267E">
              <w:rPr>
                <w:rFonts w:eastAsia="Calibri"/>
                <w:szCs w:val="24"/>
                <w:lang w:val="fi-FI"/>
              </w:rPr>
              <w:t>ISI 1.632</w:t>
            </w:r>
          </w:p>
        </w:tc>
      </w:tr>
      <w:tr w:rsidR="00AC055E" w:rsidRPr="00AB458A" w14:paraId="146B4BAC" w14:textId="77777777" w:rsidTr="00AF234C">
        <w:tc>
          <w:tcPr>
            <w:tcW w:w="5665" w:type="dxa"/>
          </w:tcPr>
          <w:p w14:paraId="16563406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Tyrimo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populiacija</w:t>
            </w:r>
            <w:proofErr w:type="spellEnd"/>
          </w:p>
        </w:tc>
        <w:tc>
          <w:tcPr>
            <w:tcW w:w="4678" w:type="dxa"/>
          </w:tcPr>
          <w:p w14:paraId="04169509" w14:textId="0AC86FC1" w:rsidR="00AC055E" w:rsidRPr="00AB458A" w:rsidRDefault="000B267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>
              <w:rPr>
                <w:rFonts w:eastAsia="Calibri"/>
                <w:szCs w:val="24"/>
                <w:lang w:val="fi-FI"/>
              </w:rPr>
              <w:t>100</w:t>
            </w:r>
          </w:p>
        </w:tc>
        <w:tc>
          <w:tcPr>
            <w:tcW w:w="3260" w:type="dxa"/>
          </w:tcPr>
          <w:p w14:paraId="71603F5A" w14:textId="6C4A98B4" w:rsidR="00AC055E" w:rsidRPr="00AB458A" w:rsidRDefault="000B267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>
              <w:rPr>
                <w:rFonts w:eastAsia="Calibri"/>
                <w:szCs w:val="24"/>
                <w:lang w:val="fi-FI"/>
              </w:rPr>
              <w:t>42</w:t>
            </w:r>
          </w:p>
        </w:tc>
      </w:tr>
      <w:tr w:rsidR="00AC055E" w:rsidRPr="00AB458A" w14:paraId="04FC4E0D" w14:textId="77777777" w:rsidTr="00AF234C">
        <w:tc>
          <w:tcPr>
            <w:tcW w:w="5665" w:type="dxa"/>
          </w:tcPr>
          <w:p w14:paraId="7342AF37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t>Tyrimo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rezultatai</w:t>
            </w:r>
            <w:proofErr w:type="spellEnd"/>
          </w:p>
        </w:tc>
        <w:tc>
          <w:tcPr>
            <w:tcW w:w="4678" w:type="dxa"/>
          </w:tcPr>
          <w:p w14:paraId="6048D7DA" w14:textId="0D8AB0A8" w:rsidR="00AC055E" w:rsidRPr="00AB458A" w:rsidRDefault="000629AF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0629AF">
              <w:rPr>
                <w:rFonts w:eastAsia="Calibri"/>
                <w:szCs w:val="24"/>
                <w:lang w:val="fi-FI"/>
              </w:rPr>
              <w:t xml:space="preserve">At 4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weeks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after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placement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dysphagia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significantly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improved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all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(p = 0.000).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Recurrent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dysphagia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occurred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in 19 of 100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treated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Niti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-S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(19%)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mainly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due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to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tumor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overgrowth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(7/100, 7%),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migration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(6/100, 6%), and food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impaction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(6/100, 6%).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Endoscopic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retrieval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successful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all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attempted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17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(17/100, 17%)--7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overgrowth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6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migration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2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degradation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and 2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severe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pain. Major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complications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2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hemorrhage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2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severe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pain, and 1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tracheal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compression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(5/100, 5%), and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minor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complications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10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retrosternal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pain and 7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symptomatic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gastroesophageal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reflux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(17/100, 17%).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After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 median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follow-up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of 142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lastRenderedPageBreak/>
              <w:t>days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97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had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expired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There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no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stent-related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mortality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or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30-day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mortality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>.</w:t>
            </w:r>
          </w:p>
        </w:tc>
        <w:tc>
          <w:tcPr>
            <w:tcW w:w="3260" w:type="dxa"/>
          </w:tcPr>
          <w:p w14:paraId="658D9E3C" w14:textId="157A8576" w:rsidR="00AC055E" w:rsidRPr="00AB458A" w:rsidRDefault="000629AF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0629AF">
              <w:rPr>
                <w:rFonts w:eastAsia="Calibri"/>
                <w:szCs w:val="24"/>
                <w:lang w:val="fi-FI"/>
              </w:rPr>
              <w:lastRenderedPageBreak/>
              <w:t>forty-two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followed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up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for 298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There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clinical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improvement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all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However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59% of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experienced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an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adverse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event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median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patency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236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Endoscopic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management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attempted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all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 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self-expandablemetal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related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adverse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events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clinical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success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rate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of 100%.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However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previously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treated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adverse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event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recurred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seven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Multivariate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analysis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showed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that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strictures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that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traversable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lastRenderedPageBreak/>
              <w:t>with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an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ultrathin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gastroscope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associated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higher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risk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adverse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events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(p = 0.035).</w:t>
            </w:r>
          </w:p>
        </w:tc>
      </w:tr>
      <w:tr w:rsidR="00AC055E" w:rsidRPr="00AB458A" w14:paraId="288773A9" w14:textId="77777777" w:rsidTr="00AF234C">
        <w:tc>
          <w:tcPr>
            <w:tcW w:w="5665" w:type="dxa"/>
          </w:tcPr>
          <w:p w14:paraId="5E4AEB90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AB458A">
              <w:rPr>
                <w:rFonts w:eastAsia="Calibri"/>
                <w:szCs w:val="24"/>
                <w:lang w:val="fi-FI"/>
              </w:rPr>
              <w:lastRenderedPageBreak/>
              <w:t>Tyrimo</w:t>
            </w:r>
            <w:proofErr w:type="spellEnd"/>
            <w:r w:rsidRPr="00AB458A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  <w:lang w:val="fi-FI"/>
              </w:rPr>
              <w:t>išvados</w:t>
            </w:r>
            <w:proofErr w:type="spellEnd"/>
          </w:p>
        </w:tc>
        <w:tc>
          <w:tcPr>
            <w:tcW w:w="4678" w:type="dxa"/>
          </w:tcPr>
          <w:p w14:paraId="7B3BDEE8" w14:textId="22BF93C4" w:rsidR="00AC055E" w:rsidRPr="00AB458A" w:rsidRDefault="000629AF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0629A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fully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covered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retrievable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Niti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-S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has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proved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its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effectiveness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palliation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dysphagia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feasibility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endoscopic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retrieval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We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estimate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its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dog-bone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shaped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flanges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at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both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ends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and it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being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completely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covered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provide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good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resistance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to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migration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0629AF">
              <w:rPr>
                <w:rFonts w:eastAsia="Calibri"/>
                <w:szCs w:val="24"/>
                <w:lang w:val="fi-FI"/>
              </w:rPr>
              <w:t>overgrowth</w:t>
            </w:r>
            <w:proofErr w:type="spellEnd"/>
            <w:r w:rsidRPr="000629AF">
              <w:rPr>
                <w:rFonts w:eastAsia="Calibri"/>
                <w:szCs w:val="24"/>
                <w:lang w:val="fi-FI"/>
              </w:rPr>
              <w:t>.</w:t>
            </w:r>
          </w:p>
        </w:tc>
        <w:tc>
          <w:tcPr>
            <w:tcW w:w="3260" w:type="dxa"/>
          </w:tcPr>
          <w:p w14:paraId="42E36431" w14:textId="71BD2929" w:rsidR="00AC055E" w:rsidRPr="00AB458A" w:rsidRDefault="00607990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607990">
              <w:rPr>
                <w:rFonts w:eastAsia="Calibri"/>
                <w:szCs w:val="24"/>
                <w:lang w:val="fi-FI"/>
              </w:rPr>
              <w:t>long-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term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 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esophageal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 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stenting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advanced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 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esophageal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 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cancer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is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associated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a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high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prevalence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adverse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events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without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an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impact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on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mortality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;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most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cases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can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be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managed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607990">
              <w:rPr>
                <w:rFonts w:eastAsia="Calibri"/>
                <w:szCs w:val="24"/>
                <w:lang w:val="fi-FI"/>
              </w:rPr>
              <w:t>endoscopically</w:t>
            </w:r>
            <w:proofErr w:type="spellEnd"/>
            <w:r w:rsidRPr="00607990">
              <w:rPr>
                <w:rFonts w:eastAsia="Calibri"/>
                <w:szCs w:val="24"/>
                <w:lang w:val="fi-FI"/>
              </w:rPr>
              <w:t>.</w:t>
            </w:r>
          </w:p>
        </w:tc>
      </w:tr>
    </w:tbl>
    <w:p w14:paraId="2CAA6723" w14:textId="77777777" w:rsidR="009B7D28" w:rsidRDefault="009B7D28"/>
    <w:p w14:paraId="59830780" w14:textId="77777777" w:rsidR="00312F9D" w:rsidRDefault="00312F9D"/>
    <w:p w14:paraId="7303ED44" w14:textId="77777777" w:rsidR="00312F9D" w:rsidRDefault="00312F9D"/>
    <w:p w14:paraId="6B797310" w14:textId="77777777" w:rsidR="00312F9D" w:rsidRPr="00312F9D" w:rsidRDefault="00312F9D">
      <w:pPr>
        <w:rPr>
          <w:lang w:val="en-LT"/>
        </w:rPr>
      </w:pPr>
    </w:p>
    <w:sectPr w:rsidR="00312F9D" w:rsidRPr="00312F9D" w:rsidSect="00AC055E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5E"/>
    <w:rsid w:val="00032EDF"/>
    <w:rsid w:val="000629AF"/>
    <w:rsid w:val="000B267E"/>
    <w:rsid w:val="001A6494"/>
    <w:rsid w:val="00312F9D"/>
    <w:rsid w:val="00607990"/>
    <w:rsid w:val="009B7D28"/>
    <w:rsid w:val="00AC055E"/>
    <w:rsid w:val="00AE330F"/>
    <w:rsid w:val="00B91FB8"/>
    <w:rsid w:val="00D7033A"/>
    <w:rsid w:val="00E32D10"/>
    <w:rsid w:val="00E575B5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BD486"/>
  <w15:chartTrackingRefBased/>
  <w15:docId w15:val="{819CF5FD-E725-47B6-A09F-F8C62AD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5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FA8735753D34DA9EE10F8DFB36D64" ma:contentTypeVersion="17" ma:contentTypeDescription="Create a new document." ma:contentTypeScope="" ma:versionID="6232e8910703771a469585e097d79d2e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9000a5c04c8ded1537420f90852ecb9c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761658-14B9-4E28-8864-72D7A94D55AD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1C63A0C7-DD85-4F44-BA09-98A99C7CC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E6D8B-2632-4880-9415-A2A30B98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A7331-417F-9A4D-A1D7-C0C0DE53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Vilemaitė</dc:creator>
  <cp:keywords/>
  <dc:description/>
  <cp:lastModifiedBy>Vaidas Večkys</cp:lastModifiedBy>
  <cp:revision>8</cp:revision>
  <dcterms:created xsi:type="dcterms:W3CDTF">2023-03-28T06:52:00Z</dcterms:created>
  <dcterms:modified xsi:type="dcterms:W3CDTF">2023-03-28T07:02:00Z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