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665"/>
        <w:gridCol w:w="4678"/>
        <w:gridCol w:w="3260"/>
      </w:tblGrid>
      <w:tr w:rsidR="00AC055E" w:rsidRPr="00AB458A" w14:paraId="3D3D59A1" w14:textId="77777777" w:rsidTr="0017621A">
        <w:tc>
          <w:tcPr>
            <w:tcW w:w="5665" w:type="dxa"/>
          </w:tcPr>
          <w:p w14:paraId="6D765CE6" w14:textId="1842DCC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Prekės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pavadinimas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kataloge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7BB08077" w14:textId="5887773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pavadinimas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gamintojas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kodas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ar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modelis</w:t>
            </w:r>
            <w:proofErr w:type="spellEnd"/>
          </w:p>
        </w:tc>
      </w:tr>
      <w:tr w:rsidR="00AC055E" w:rsidRPr="00AB458A" w14:paraId="10A7E3EE" w14:textId="77777777" w:rsidTr="00B4443B">
        <w:tc>
          <w:tcPr>
            <w:tcW w:w="5665" w:type="dxa"/>
          </w:tcPr>
          <w:p w14:paraId="75A44DD3" w14:textId="7EA359A8" w:rsidR="00AC055E" w:rsidRPr="00312F9D" w:rsidRDefault="001E505E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proofErr w:type="spellStart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Esophageal</w:t>
            </w:r>
            <w:proofErr w:type="spellEnd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stents</w:t>
            </w:r>
            <w:proofErr w:type="spellEnd"/>
          </w:p>
        </w:tc>
        <w:tc>
          <w:tcPr>
            <w:tcW w:w="7938" w:type="dxa"/>
            <w:gridSpan w:val="2"/>
          </w:tcPr>
          <w:p w14:paraId="3893942A" w14:textId="57CA5A08" w:rsidR="00AC055E" w:rsidRPr="00A51D86" w:rsidRDefault="00DB2E51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proofErr w:type="spellStart"/>
            <w:r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Niti</w:t>
            </w:r>
            <w:proofErr w:type="spellEnd"/>
            <w:r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-S </w:t>
            </w:r>
            <w:proofErr w:type="spellStart"/>
            <w:r w:rsidR="00712D4E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Double</w:t>
            </w:r>
            <w:proofErr w:type="spellEnd"/>
            <w:r w:rsidR="00712D4E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, </w:t>
            </w:r>
            <w:proofErr w:type="spellStart"/>
            <w:r w:rsidR="00712D4E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Double</w:t>
            </w:r>
            <w:proofErr w:type="spellEnd"/>
            <w:r w:rsidR="00712D4E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( </w:t>
            </w:r>
            <w:proofErr w:type="spellStart"/>
            <w:r w:rsidR="00712D4E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Anti-reflux</w:t>
            </w:r>
            <w:proofErr w:type="spellEnd"/>
            <w:r w:rsidR="00712D4E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)</w:t>
            </w:r>
            <w:r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stentai,Taewoong</w:t>
            </w:r>
            <w:proofErr w:type="spellEnd"/>
            <w:r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, kodų serija </w:t>
            </w:r>
            <w:proofErr w:type="spellStart"/>
            <w:r w:rsidR="003B078F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EAxxxxFD</w:t>
            </w:r>
            <w:proofErr w:type="spellEnd"/>
            <w:r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</w:t>
            </w:r>
            <w:r w:rsidR="00A51D86" w:rsidRPr="00A51D86">
              <w:rPr>
                <w:lang w:val="lt-LT"/>
              </w:rPr>
              <w:t xml:space="preserve"> </w:t>
            </w:r>
            <w:proofErr w:type="spellStart"/>
            <w:r w:rsidR="00A51D86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EspxxxxFD</w:t>
            </w:r>
            <w:proofErr w:type="spellEnd"/>
            <w:r w:rsidR="00A51D86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 EspxxxxFDR2</w:t>
            </w:r>
            <w:r w:rsidR="00A51D86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</w:t>
            </w:r>
            <w:r w:rsidR="00A51D86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="00A51D86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EsxxxxFD</w:t>
            </w:r>
            <w:proofErr w:type="spellEnd"/>
            <w:r w:rsidR="00A51D86" w:rsidRPr="00A51D8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 EsxxxxFDR2</w:t>
            </w:r>
          </w:p>
        </w:tc>
      </w:tr>
      <w:tr w:rsidR="00AC055E" w:rsidRPr="00AB458A" w14:paraId="01D84B4C" w14:textId="77777777" w:rsidTr="00AF234C">
        <w:tc>
          <w:tcPr>
            <w:tcW w:w="5665" w:type="dxa"/>
          </w:tcPr>
          <w:p w14:paraId="0FE3880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duomenys</w:t>
            </w:r>
            <w:proofErr w:type="spellEnd"/>
          </w:p>
        </w:tc>
        <w:tc>
          <w:tcPr>
            <w:tcW w:w="4678" w:type="dxa"/>
          </w:tcPr>
          <w:p w14:paraId="26E6751F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1</w:t>
            </w:r>
          </w:p>
        </w:tc>
        <w:tc>
          <w:tcPr>
            <w:tcW w:w="3260" w:type="dxa"/>
          </w:tcPr>
          <w:p w14:paraId="7227F46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2</w:t>
            </w:r>
          </w:p>
        </w:tc>
      </w:tr>
      <w:tr w:rsidR="00AC055E" w:rsidRPr="00AB458A" w14:paraId="0E03899A" w14:textId="77777777" w:rsidTr="00AF234C">
        <w:tc>
          <w:tcPr>
            <w:tcW w:w="5665" w:type="dxa"/>
          </w:tcPr>
          <w:p w14:paraId="61CD4C7E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Medžiaga ir šaltiniai (ISI indeksą turintis mokslinis leidinys.</w:t>
            </w:r>
          </w:p>
          <w:p w14:paraId="1BFC6C3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 xml:space="preserve">Nurodyti ISI indeksą tų metų, kuriais buvo išleista teikiama publikacija. </w:t>
            </w:r>
          </w:p>
          <w:p w14:paraId="3DD0872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ISI indeksą sudaro Thomson Reuters (pasitikrinti pvz.: http://jcr.incites.thomsonreuters.com)</w:t>
            </w:r>
          </w:p>
        </w:tc>
        <w:tc>
          <w:tcPr>
            <w:tcW w:w="4678" w:type="dxa"/>
          </w:tcPr>
          <w:p w14:paraId="432FB378" w14:textId="77777777" w:rsidR="00B328FF" w:rsidRPr="00B328FF" w:rsidRDefault="00B328FF" w:rsidP="00B328FF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B328FF">
              <w:rPr>
                <w:rFonts w:eastAsia="Calibri"/>
                <w:szCs w:val="24"/>
                <w:lang w:val="fi-FI"/>
              </w:rPr>
              <w:t>WORLD JOURNAL OF GASTROENTEROLOGY 2016</w:t>
            </w:r>
          </w:p>
          <w:p w14:paraId="03DD7860" w14:textId="1804ED72" w:rsidR="00AC055E" w:rsidRPr="00AB458A" w:rsidRDefault="00B328FF" w:rsidP="00B328FF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B328FF">
              <w:rPr>
                <w:rFonts w:eastAsia="Calibri"/>
                <w:szCs w:val="24"/>
                <w:lang w:val="fi-FI"/>
              </w:rPr>
              <w:t xml:space="preserve">World J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Gastroenterol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. 2016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Sep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14;22(34):7841-50 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Double-layered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treatment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oesophageal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obstructions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: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Systematic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review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 xml:space="preserve"> and meta-</w:t>
            </w:r>
            <w:proofErr w:type="spellStart"/>
            <w:r w:rsidRPr="00B328FF">
              <w:rPr>
                <w:rFonts w:eastAsia="Calibri"/>
                <w:szCs w:val="24"/>
                <w:lang w:val="fi-FI"/>
              </w:rPr>
              <w:t>analysis</w:t>
            </w:r>
            <w:proofErr w:type="spellEnd"/>
            <w:r w:rsidRPr="00B328FF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514EFDC2" w14:textId="77777777" w:rsidR="00DC1477" w:rsidRPr="00DC1477" w:rsidRDefault="00DC1477" w:rsidP="00DC1477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DC1477">
              <w:rPr>
                <w:rFonts w:eastAsia="Calibri"/>
                <w:szCs w:val="24"/>
                <w:lang w:val="fi-FI"/>
              </w:rPr>
              <w:t>SURGICAL ENDOSCOPY AND OTHER INTERVENTIONAL TECHNIQUES 2015</w:t>
            </w:r>
          </w:p>
          <w:p w14:paraId="625FBDDC" w14:textId="5E69D769" w:rsidR="00AC055E" w:rsidRPr="00AB458A" w:rsidRDefault="00DC1477" w:rsidP="00DC1477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DC1477">
              <w:rPr>
                <w:rFonts w:eastAsia="Calibri"/>
                <w:szCs w:val="24"/>
                <w:lang w:val="fi-FI"/>
              </w:rPr>
              <w:t>Surg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Endosc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. 2015 Jul;29(7):2013-8.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Double-type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metallic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efficacy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management of post-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operative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fistulas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leakages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, and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perforations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upper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gastrointestinal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tract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>.</w:t>
            </w:r>
          </w:p>
        </w:tc>
      </w:tr>
      <w:tr w:rsidR="00AC055E" w:rsidRPr="00AB458A" w14:paraId="19D68FF6" w14:textId="77777777" w:rsidTr="00AF234C">
        <w:tc>
          <w:tcPr>
            <w:tcW w:w="5665" w:type="dxa"/>
          </w:tcPr>
          <w:p w14:paraId="38C282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Mokslinės publikacijos autorius/-iai</w:t>
            </w:r>
          </w:p>
        </w:tc>
        <w:tc>
          <w:tcPr>
            <w:tcW w:w="4678" w:type="dxa"/>
          </w:tcPr>
          <w:p w14:paraId="1924CD55" w14:textId="773B3E5F" w:rsidR="00AC055E" w:rsidRPr="00AB458A" w:rsidRDefault="00DC1477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DC1477">
              <w:rPr>
                <w:rFonts w:eastAsia="Calibri"/>
                <w:szCs w:val="24"/>
                <w:lang w:val="fi-FI"/>
              </w:rPr>
              <w:t>Hussain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Z1,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Diamantopoulos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A1,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Krokidis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M1,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Katsanos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K1</w:t>
            </w:r>
          </w:p>
        </w:tc>
        <w:tc>
          <w:tcPr>
            <w:tcW w:w="3260" w:type="dxa"/>
          </w:tcPr>
          <w:p w14:paraId="33E6018F" w14:textId="19781A5C" w:rsidR="00AC055E" w:rsidRPr="00AB458A" w:rsidRDefault="00DC1477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DC1477">
              <w:rPr>
                <w:rFonts w:eastAsia="Calibri"/>
                <w:szCs w:val="24"/>
                <w:lang w:val="fi-FI"/>
              </w:rPr>
              <w:t>Gonzalez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JM1,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Garces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Duran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R,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Vanbiervliet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G,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Lestelle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V,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Gomercic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C,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Gasmi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M,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Desjeux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A,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Grimaud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JC, </w:t>
            </w:r>
            <w:proofErr w:type="spellStart"/>
            <w:r w:rsidRPr="00DC1477">
              <w:rPr>
                <w:rFonts w:eastAsia="Calibri"/>
                <w:szCs w:val="24"/>
                <w:lang w:val="fi-FI"/>
              </w:rPr>
              <w:t>Barthet</w:t>
            </w:r>
            <w:proofErr w:type="spellEnd"/>
            <w:r w:rsidRPr="00DC1477">
              <w:rPr>
                <w:rFonts w:eastAsia="Calibri"/>
                <w:szCs w:val="24"/>
                <w:lang w:val="fi-FI"/>
              </w:rPr>
              <w:t xml:space="preserve"> M.</w:t>
            </w:r>
          </w:p>
        </w:tc>
      </w:tr>
      <w:tr w:rsidR="00AC055E" w:rsidRPr="00AB458A" w14:paraId="50743D08" w14:textId="77777777" w:rsidTr="00AF234C">
        <w:tc>
          <w:tcPr>
            <w:tcW w:w="5665" w:type="dxa"/>
          </w:tcPr>
          <w:p w14:paraId="575D8F02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Mokslinio leidinio ISI indeksas</w:t>
            </w:r>
          </w:p>
        </w:tc>
        <w:tc>
          <w:tcPr>
            <w:tcW w:w="4678" w:type="dxa"/>
          </w:tcPr>
          <w:p w14:paraId="3B4413DF" w14:textId="19A229A4" w:rsidR="00AC055E" w:rsidRPr="00AB458A" w:rsidRDefault="00410BCC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410BCC">
              <w:rPr>
                <w:rFonts w:eastAsia="Calibri"/>
                <w:szCs w:val="24"/>
                <w:lang w:val="fi-FI"/>
              </w:rPr>
              <w:t>ISI 3.365</w:t>
            </w:r>
          </w:p>
        </w:tc>
        <w:tc>
          <w:tcPr>
            <w:tcW w:w="3260" w:type="dxa"/>
          </w:tcPr>
          <w:p w14:paraId="3DBB2B2D" w14:textId="504FDBB6" w:rsidR="00AC055E" w:rsidRPr="00AB458A" w:rsidRDefault="00410BCC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410BCC">
              <w:rPr>
                <w:rFonts w:eastAsia="Calibri"/>
                <w:szCs w:val="24"/>
                <w:lang w:val="fi-FI"/>
              </w:rPr>
              <w:t>ISI 3.540</w:t>
            </w:r>
          </w:p>
        </w:tc>
      </w:tr>
      <w:tr w:rsidR="00AC055E" w:rsidRPr="00AB458A" w14:paraId="146B4BAC" w14:textId="77777777" w:rsidTr="00AF234C">
        <w:tc>
          <w:tcPr>
            <w:tcW w:w="5665" w:type="dxa"/>
          </w:tcPr>
          <w:p w14:paraId="16563406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populiacija</w:t>
            </w:r>
          </w:p>
        </w:tc>
        <w:tc>
          <w:tcPr>
            <w:tcW w:w="4678" w:type="dxa"/>
          </w:tcPr>
          <w:p w14:paraId="04169509" w14:textId="6E13612C" w:rsidR="00AC055E" w:rsidRPr="00AB458A" w:rsidRDefault="00410BCC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250</w:t>
            </w:r>
          </w:p>
        </w:tc>
        <w:tc>
          <w:tcPr>
            <w:tcW w:w="3260" w:type="dxa"/>
          </w:tcPr>
          <w:p w14:paraId="71603F5A" w14:textId="746B460C" w:rsidR="00AC055E" w:rsidRPr="00AB458A" w:rsidRDefault="00410BCC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36</w:t>
            </w:r>
          </w:p>
        </w:tc>
      </w:tr>
      <w:tr w:rsidR="00AC055E" w:rsidRPr="00AB458A" w14:paraId="04FC4E0D" w14:textId="77777777" w:rsidTr="00AF234C">
        <w:tc>
          <w:tcPr>
            <w:tcW w:w="5665" w:type="dxa"/>
          </w:tcPr>
          <w:p w14:paraId="7342AF37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rezultatai</w:t>
            </w:r>
          </w:p>
        </w:tc>
        <w:tc>
          <w:tcPr>
            <w:tcW w:w="4678" w:type="dxa"/>
          </w:tcPr>
          <w:p w14:paraId="6048D7DA" w14:textId="7933468D" w:rsidR="00AC055E" w:rsidRPr="00AB458A" w:rsidRDefault="00410BCC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410BCC">
              <w:rPr>
                <w:rFonts w:eastAsia="Calibri"/>
                <w:szCs w:val="24"/>
                <w:lang w:val="fi-FI"/>
              </w:rPr>
              <w:t>Six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clinical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studies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comprising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250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total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identified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Pooled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technical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success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insertion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97.2% (95%CI: 94.8%-98.9%; I (2) = 5.8%).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Pooled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complication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27.6% (95%CI: 20.7%-35.2%; I (2) = 41.9%).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Weighted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improvement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dysphagia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on a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scale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of 0-5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scoring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system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-2.00 [95%CI: -2.29%-(-1.72%); I (2) = 87%].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Distal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documented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in 10 out of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250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examined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lastRenderedPageBreak/>
              <w:t>Pooled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4.7% (95%CI: 2.5%-7.7%; I (2) = 0%).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Finally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tumour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reported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in 34 out of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250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pooled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tumour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of 11.2% (95%CI: 3.7%-22.1%; I (2) = 82.2%). No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funnel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plot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asymmetry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suggest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publication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bias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bias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= 0.39, P = 0.78). In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sensitivity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analysis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all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results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largely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similar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between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fixed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random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effects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models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658D9E3C" w14:textId="66093BDF" w:rsidR="00AC055E" w:rsidRPr="00AB458A" w:rsidRDefault="00410BCC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410BCC">
              <w:rPr>
                <w:rFonts w:eastAsia="Calibri"/>
                <w:szCs w:val="24"/>
                <w:lang w:val="fi-FI"/>
              </w:rPr>
              <w:lastRenderedPageBreak/>
              <w:t>Twenty-four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 post-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operative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fistula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(15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sleeve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gastrectomies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),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eight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anastomotic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leakage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, and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four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esophageal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perforation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. Seventeen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underwent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previous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failed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stenting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, and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fourteen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associated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treatment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OTSC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clips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. A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final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lastRenderedPageBreak/>
              <w:t>complete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healing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achieved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twenty-six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(72%). For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fistulas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overall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success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66.6% (16/24)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mostly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in case of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post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sleeve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fistula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(80%), and it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75% (6/8) for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anastomotic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leakages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(3/4).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reached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primary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success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one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session) in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twenty-one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(58.3%), and a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second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session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required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five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All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removed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without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a median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stenting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time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of 32 [20-71]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spontaneous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10BCC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410BCC">
              <w:rPr>
                <w:rFonts w:eastAsia="Calibri"/>
                <w:szCs w:val="24"/>
                <w:lang w:val="fi-FI"/>
              </w:rPr>
              <w:t xml:space="preserve"> 16.6%.</w:t>
            </w:r>
          </w:p>
        </w:tc>
      </w:tr>
      <w:tr w:rsidR="00AC055E" w:rsidRPr="00AB458A" w14:paraId="288773A9" w14:textId="77777777" w:rsidTr="00AF234C">
        <w:tc>
          <w:tcPr>
            <w:tcW w:w="5665" w:type="dxa"/>
          </w:tcPr>
          <w:p w14:paraId="5E4AEB9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lastRenderedPageBreak/>
              <w:t>Tyrimo išvados</w:t>
            </w:r>
          </w:p>
        </w:tc>
        <w:tc>
          <w:tcPr>
            <w:tcW w:w="4678" w:type="dxa"/>
          </w:tcPr>
          <w:p w14:paraId="7B3BDEE8" w14:textId="78D5A5F0" w:rsidR="00AC055E" w:rsidRPr="00AB458A" w:rsidRDefault="004E0857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4E0857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double-layered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nitinol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provides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immediate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relief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dysphagia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low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rates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tumour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42E36431" w14:textId="2F8D651D" w:rsidR="00AC055E" w:rsidRPr="00AB458A" w:rsidRDefault="004E0857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4E0857">
              <w:rPr>
                <w:rFonts w:eastAsia="Calibri"/>
                <w:szCs w:val="24"/>
                <w:lang w:val="fi-FI"/>
              </w:rPr>
              <w:t>This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new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double-type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is a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new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efficient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way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treat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post-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operative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fistulas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leakages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upper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GI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tract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always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removable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despite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external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uncovered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part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low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4E0857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4E0857">
              <w:rPr>
                <w:rFonts w:eastAsia="Calibri"/>
                <w:szCs w:val="24"/>
                <w:lang w:val="fi-FI"/>
              </w:rPr>
              <w:t>.</w:t>
            </w:r>
          </w:p>
        </w:tc>
      </w:tr>
    </w:tbl>
    <w:p w14:paraId="2CAA6723" w14:textId="77777777" w:rsidR="009B7D28" w:rsidRDefault="009B7D28"/>
    <w:p w14:paraId="59830780" w14:textId="77777777" w:rsidR="00312F9D" w:rsidRDefault="00312F9D"/>
    <w:p w14:paraId="7303ED44" w14:textId="77777777" w:rsidR="00312F9D" w:rsidRDefault="00312F9D"/>
    <w:p w14:paraId="6B797310" w14:textId="77777777" w:rsidR="00312F9D" w:rsidRPr="00312F9D" w:rsidRDefault="00312F9D">
      <w:pPr>
        <w:rPr>
          <w:lang w:val="en-LT"/>
        </w:rPr>
      </w:pPr>
    </w:p>
    <w:sectPr w:rsidR="00312F9D" w:rsidRPr="00312F9D" w:rsidSect="00AC055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E"/>
    <w:rsid w:val="00032EDF"/>
    <w:rsid w:val="001E505E"/>
    <w:rsid w:val="00312F9D"/>
    <w:rsid w:val="003B078F"/>
    <w:rsid w:val="00410BCC"/>
    <w:rsid w:val="004E0857"/>
    <w:rsid w:val="00712D4E"/>
    <w:rsid w:val="009B7D28"/>
    <w:rsid w:val="009F55C3"/>
    <w:rsid w:val="00A51D86"/>
    <w:rsid w:val="00AC055E"/>
    <w:rsid w:val="00AE330F"/>
    <w:rsid w:val="00B328FF"/>
    <w:rsid w:val="00DB2E51"/>
    <w:rsid w:val="00DC1477"/>
    <w:rsid w:val="00E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BD486"/>
  <w15:chartTrackingRefBased/>
  <w15:docId w15:val="{819CF5FD-E725-47B6-A09F-F8C62AD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7" ma:contentTypeDescription="Create a new document." ma:contentTypeScope="" ma:versionID="6232e8910703771a469585e097d79d2e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9000a5c04c8ded1537420f90852ecb9c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3A0C7-DD85-4F44-BA09-98A99C7CC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61658-14B9-4E28-8864-72D7A94D55AD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FED99BE1-C55E-554C-A9F5-9050B6036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E6D8B-2632-4880-9415-A2A30B98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Vaidas Večkys</cp:lastModifiedBy>
  <cp:revision>8</cp:revision>
  <dcterms:created xsi:type="dcterms:W3CDTF">2023-03-28T06:57:00Z</dcterms:created>
  <dcterms:modified xsi:type="dcterms:W3CDTF">2023-03-28T07:00:00Z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