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TP/_layouts/15/DocIdRedir.aspx?ID=PVIS-762923564-247</Url>
      <Description>PVIS-762923564-247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9B7A0-E4CE-410C-8939-505E363B9700}"/>
</file>

<file path=customXml/itemProps3.xml><?xml version="1.0" encoding="utf-8"?>
<ds:datastoreItem xmlns:ds="http://schemas.openxmlformats.org/officeDocument/2006/customXml" ds:itemID="{51B6EF76-122F-4069-8129-AD4BDBBD7D77}"/>
</file>

<file path=customXml/itemProps4.xml><?xml version="1.0" encoding="utf-8"?>
<ds:datastoreItem xmlns:ds="http://schemas.openxmlformats.org/officeDocument/2006/customXml" ds:itemID="{232B9423-352B-4122-A6BA-02736C40CEB5}"/>
</file>

<file path=customXml/itemProps5.xml><?xml version="1.0" encoding="utf-8"?>
<ds:datastoreItem xmlns:ds="http://schemas.openxmlformats.org/officeDocument/2006/customXml" ds:itemID="{DCCD49A0-E786-45B6-9CA3-95DF19DA8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bec7b5b8-4c08-4ca0-84b0-03d4c9ecd046</vt:lpwstr>
  </property>
</Properties>
</file>