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C84E0" w14:textId="14FAC8B1" w:rsidR="00AC3297" w:rsidRPr="00525945" w:rsidRDefault="00AC3297" w:rsidP="00AC3297">
      <w:pPr>
        <w:jc w:val="right"/>
        <w:rPr>
          <w:sz w:val="20"/>
          <w:szCs w:val="20"/>
        </w:rPr>
      </w:pPr>
      <w:r w:rsidRPr="00525945">
        <w:rPr>
          <w:rStyle w:val="fontstyle01"/>
          <w:sz w:val="24"/>
          <w:szCs w:val="24"/>
        </w:rPr>
        <w:t>g</w:t>
      </w:r>
      <w:r w:rsidRPr="00525945">
        <w:rPr>
          <w:rStyle w:val="fontstyle11"/>
          <w:sz w:val="24"/>
          <w:szCs w:val="24"/>
        </w:rPr>
        <w:t xml:space="preserve">b </w:t>
      </w:r>
      <w:r w:rsidRPr="00525945">
        <w:rPr>
          <w:rStyle w:val="fontstyle01"/>
          <w:sz w:val="24"/>
          <w:szCs w:val="24"/>
        </w:rPr>
        <w:t>GENETIC</w:t>
      </w:r>
      <w:r w:rsidRPr="00525945">
        <w:rPr>
          <w:rFonts w:ascii="PT Sans" w:hAnsi="PT Sans"/>
          <w:color w:val="000000"/>
          <w:sz w:val="24"/>
          <w:szCs w:val="24"/>
        </w:rPr>
        <w:br/>
      </w:r>
      <w:r w:rsidRPr="00525945">
        <w:rPr>
          <w:rStyle w:val="fontstyle11"/>
          <w:color w:val="000000"/>
          <w:sz w:val="24"/>
          <w:szCs w:val="24"/>
        </w:rPr>
        <w:t>Gilbert</w:t>
      </w:r>
    </w:p>
    <w:p w14:paraId="4C62868B" w14:textId="247726DC" w:rsidR="00BD712F" w:rsidRPr="00525945" w:rsidRDefault="00AC3297" w:rsidP="00AC3297">
      <w:pPr>
        <w:jc w:val="right"/>
        <w:rPr>
          <w:rFonts w:ascii="PT Sans" w:hAnsi="PT Sans"/>
          <w:color w:val="000000"/>
        </w:rPr>
      </w:pPr>
      <w:r w:rsidRPr="00525945">
        <w:rPr>
          <w:noProof/>
          <w:sz w:val="20"/>
          <w:szCs w:val="20"/>
          <w:lang w:val="en-US"/>
        </w:rPr>
        <w:drawing>
          <wp:anchor distT="0" distB="0" distL="114300" distR="114300" simplePos="0" relativeHeight="251658240" behindDoc="1" locked="0" layoutInCell="1" allowOverlap="1" wp14:anchorId="1A990B00" wp14:editId="07228579">
            <wp:simplePos x="0" y="0"/>
            <wp:positionH relativeFrom="column">
              <wp:posOffset>1905</wp:posOffset>
            </wp:positionH>
            <wp:positionV relativeFrom="paragraph">
              <wp:posOffset>282575</wp:posOffset>
            </wp:positionV>
            <wp:extent cx="449979" cy="5524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9979" cy="552450"/>
                    </a:xfrm>
                    <a:prstGeom prst="rect">
                      <a:avLst/>
                    </a:prstGeom>
                  </pic:spPr>
                </pic:pic>
              </a:graphicData>
            </a:graphic>
          </wp:anchor>
        </w:drawing>
      </w:r>
      <w:r w:rsidRPr="00525945">
        <w:rPr>
          <w:rFonts w:ascii="PT Sans" w:hAnsi="PT Sans"/>
          <w:color w:val="000000"/>
        </w:rPr>
        <w:t>Cat. No.: 3216-025</w:t>
      </w:r>
      <w:r w:rsidRPr="00525945">
        <w:rPr>
          <w:rFonts w:ascii="PT Sans" w:hAnsi="PT Sans"/>
          <w:color w:val="000000"/>
          <w:sz w:val="20"/>
          <w:szCs w:val="20"/>
        </w:rPr>
        <w:br/>
      </w:r>
      <w:r w:rsidRPr="00525945">
        <w:rPr>
          <w:rFonts w:ascii="PT Sans" w:hAnsi="PT Sans"/>
          <w:color w:val="000000"/>
        </w:rPr>
        <w:t>3216-050</w:t>
      </w:r>
    </w:p>
    <w:p w14:paraId="6F947AEA" w14:textId="022C6169" w:rsidR="002553F2" w:rsidRPr="00525945" w:rsidRDefault="00AC3297" w:rsidP="002553F2">
      <w:pPr>
        <w:jc w:val="right"/>
        <w:rPr>
          <w:rFonts w:ascii="PT Sans" w:hAnsi="PT Sans"/>
          <w:color w:val="505050"/>
          <w:sz w:val="36"/>
          <w:szCs w:val="36"/>
        </w:rPr>
      </w:pPr>
      <w:r w:rsidRPr="00525945">
        <w:rPr>
          <w:rFonts w:ascii="PT Sans" w:hAnsi="PT Sans"/>
          <w:color w:val="505050"/>
          <w:sz w:val="36"/>
          <w:szCs w:val="36"/>
        </w:rPr>
        <w:t>ge</w:t>
      </w:r>
      <w:r w:rsidRPr="00525945">
        <w:rPr>
          <w:rFonts w:ascii="PT Sans" w:hAnsi="PT Sans"/>
          <w:b/>
          <w:bCs/>
          <w:color w:val="AA113F"/>
          <w:sz w:val="36"/>
          <w:szCs w:val="36"/>
        </w:rPr>
        <w:t>neri bio</w:t>
      </w:r>
      <w:r w:rsidRPr="00525945">
        <w:rPr>
          <w:rFonts w:ascii="PT Sans" w:hAnsi="PT Sans"/>
          <w:color w:val="505050"/>
          <w:sz w:val="36"/>
          <w:szCs w:val="36"/>
        </w:rPr>
        <w:t>tech</w:t>
      </w:r>
    </w:p>
    <w:p w14:paraId="50A31286" w14:textId="77777777" w:rsidR="00534466" w:rsidRDefault="00534466" w:rsidP="00534466">
      <w:pPr>
        <w:spacing w:after="0"/>
        <w:rPr>
          <w:rFonts w:ascii="PT Sans Narrow" w:hAnsi="PT Sans Narrow"/>
          <w:b/>
          <w:bCs/>
          <w:color w:val="AA113F"/>
          <w:sz w:val="20"/>
          <w:szCs w:val="20"/>
        </w:rPr>
      </w:pPr>
    </w:p>
    <w:p w14:paraId="238D1012" w14:textId="14029B21" w:rsidR="002553F2" w:rsidRPr="00525945" w:rsidRDefault="00DC421C" w:rsidP="00534466">
      <w:pPr>
        <w:spacing w:after="0"/>
        <w:rPr>
          <w:rFonts w:ascii="PT Sans" w:hAnsi="PT Sans"/>
          <w:b/>
          <w:bCs/>
          <w:color w:val="AA113F"/>
          <w:sz w:val="16"/>
          <w:szCs w:val="16"/>
        </w:rPr>
      </w:pPr>
      <w:r>
        <w:rPr>
          <w:rFonts w:ascii="PT Sans" w:hAnsi="PT Sans"/>
          <w:b/>
          <w:bCs/>
          <w:color w:val="AA113F"/>
          <w:sz w:val="16"/>
          <w:szCs w:val="16"/>
        </w:rPr>
        <w:t>KLINIKINĖS IŠVADOS</w:t>
      </w:r>
    </w:p>
    <w:p w14:paraId="7D0D0877" w14:textId="417E93D3" w:rsidR="002553F2" w:rsidRPr="00525945" w:rsidRDefault="002553F2" w:rsidP="00534466">
      <w:pPr>
        <w:spacing w:after="0" w:line="240" w:lineRule="auto"/>
        <w:jc w:val="both"/>
        <w:rPr>
          <w:rFonts w:ascii="PT Sans" w:hAnsi="PT Sans"/>
          <w:sz w:val="16"/>
          <w:szCs w:val="16"/>
        </w:rPr>
      </w:pPr>
      <w:r w:rsidRPr="00525945">
        <w:rPr>
          <w:rFonts w:ascii="PT Sans" w:hAnsi="PT Sans"/>
          <w:sz w:val="16"/>
          <w:szCs w:val="16"/>
        </w:rPr>
        <w:t xml:space="preserve">Diagnostikos rinkinys </w:t>
      </w:r>
      <w:r w:rsidR="00534466" w:rsidRPr="00525945">
        <w:rPr>
          <w:rFonts w:ascii="PT Sans" w:hAnsi="PT Sans"/>
          <w:sz w:val="16"/>
          <w:szCs w:val="16"/>
        </w:rPr>
        <w:t>„</w:t>
      </w:r>
      <w:r w:rsidRPr="00525945">
        <w:rPr>
          <w:rFonts w:ascii="PT Sans" w:hAnsi="PT Sans"/>
          <w:sz w:val="16"/>
          <w:szCs w:val="16"/>
        </w:rPr>
        <w:t>gb GENETIC Gilbert</w:t>
      </w:r>
      <w:r w:rsidR="00534466" w:rsidRPr="00525945">
        <w:rPr>
          <w:rFonts w:ascii="PT Sans" w:hAnsi="PT Sans"/>
          <w:sz w:val="16"/>
          <w:szCs w:val="16"/>
        </w:rPr>
        <w:t>“</w:t>
      </w:r>
      <w:r w:rsidRPr="00525945">
        <w:rPr>
          <w:rFonts w:ascii="PT Sans" w:hAnsi="PT Sans"/>
          <w:sz w:val="16"/>
          <w:szCs w:val="16"/>
        </w:rPr>
        <w:t xml:space="preserve"> naudojamas UGT1A1 geno promotor</w:t>
      </w:r>
      <w:r w:rsidR="00534466" w:rsidRPr="00525945">
        <w:rPr>
          <w:rFonts w:ascii="PT Sans" w:hAnsi="PT Sans"/>
          <w:sz w:val="16"/>
          <w:szCs w:val="16"/>
        </w:rPr>
        <w:t>iuje</w:t>
      </w:r>
      <w:r w:rsidRPr="00525945">
        <w:rPr>
          <w:rFonts w:ascii="PT Sans" w:hAnsi="PT Sans"/>
          <w:sz w:val="16"/>
          <w:szCs w:val="16"/>
        </w:rPr>
        <w:t xml:space="preserve"> TA pasikartojimų skaičiaus pokyčiams nustatyti. Šis genas koduoja fermentą UDP-gliukuronoziltransferazę, kuri yra atsakinga už bilirubino biotransformacijos konjugacijos fazę. Nemutuoto geno varianto promotoriuje yra 6 TA pakartojimai, mutav</w:t>
      </w:r>
      <w:r w:rsidR="00DA5553" w:rsidRPr="00525945">
        <w:rPr>
          <w:rFonts w:ascii="PT Sans" w:hAnsi="PT Sans"/>
          <w:sz w:val="16"/>
          <w:szCs w:val="16"/>
        </w:rPr>
        <w:t>ęs geno</w:t>
      </w:r>
      <w:r w:rsidRPr="00525945">
        <w:rPr>
          <w:rFonts w:ascii="PT Sans" w:hAnsi="PT Sans"/>
          <w:sz w:val="16"/>
          <w:szCs w:val="16"/>
        </w:rPr>
        <w:t xml:space="preserve"> variant</w:t>
      </w:r>
      <w:r w:rsidR="00DA5553" w:rsidRPr="00525945">
        <w:rPr>
          <w:rFonts w:ascii="PT Sans" w:hAnsi="PT Sans"/>
          <w:sz w:val="16"/>
          <w:szCs w:val="16"/>
        </w:rPr>
        <w:t>as</w:t>
      </w:r>
      <w:r w:rsidRPr="00525945">
        <w:rPr>
          <w:rFonts w:ascii="PT Sans" w:hAnsi="PT Sans"/>
          <w:sz w:val="16"/>
          <w:szCs w:val="16"/>
        </w:rPr>
        <w:t xml:space="preserve"> dažniausiai</w:t>
      </w:r>
      <w:r w:rsidR="00DA5553" w:rsidRPr="00525945">
        <w:rPr>
          <w:rFonts w:ascii="PT Sans" w:hAnsi="PT Sans"/>
          <w:sz w:val="16"/>
          <w:szCs w:val="16"/>
        </w:rPr>
        <w:t xml:space="preserve"> turi</w:t>
      </w:r>
      <w:r w:rsidRPr="00525945">
        <w:rPr>
          <w:rFonts w:ascii="PT Sans" w:hAnsi="PT Sans"/>
          <w:sz w:val="16"/>
          <w:szCs w:val="16"/>
        </w:rPr>
        <w:t xml:space="preserve"> 7 TA kartojim</w:t>
      </w:r>
      <w:r w:rsidR="00DA5553" w:rsidRPr="00525945">
        <w:rPr>
          <w:rFonts w:ascii="PT Sans" w:hAnsi="PT Sans"/>
          <w:sz w:val="16"/>
          <w:szCs w:val="16"/>
        </w:rPr>
        <w:t>us</w:t>
      </w:r>
      <w:r w:rsidRPr="00525945">
        <w:rPr>
          <w:rFonts w:ascii="PT Sans" w:hAnsi="PT Sans"/>
          <w:sz w:val="16"/>
          <w:szCs w:val="16"/>
        </w:rPr>
        <w:t xml:space="preserve"> (haplotipo žymėjimas UGT1A1*28). Rečiau gali būti variacijų su 5 TA pakartojimais (UGT1A1*36) arba 8 (UGT1A1*37).</w:t>
      </w:r>
    </w:p>
    <w:p w14:paraId="2FF9DB39" w14:textId="0EAF7EFD" w:rsidR="00DA5553" w:rsidRPr="00525945" w:rsidRDefault="00DA5553" w:rsidP="00534466">
      <w:pPr>
        <w:spacing w:after="0" w:line="240" w:lineRule="auto"/>
        <w:jc w:val="both"/>
        <w:rPr>
          <w:rFonts w:ascii="PT Sans" w:hAnsi="PT Sans"/>
          <w:sz w:val="16"/>
          <w:szCs w:val="16"/>
        </w:rPr>
      </w:pPr>
    </w:p>
    <w:p w14:paraId="7DA772BE" w14:textId="23606537" w:rsidR="0084592E" w:rsidRPr="00525945" w:rsidRDefault="0084592E" w:rsidP="00534466">
      <w:pPr>
        <w:spacing w:after="0" w:line="240" w:lineRule="auto"/>
        <w:jc w:val="both"/>
        <w:rPr>
          <w:rFonts w:ascii="PT Sans" w:hAnsi="PT Sans"/>
          <w:color w:val="FF0000"/>
          <w:sz w:val="16"/>
          <w:szCs w:val="16"/>
        </w:rPr>
      </w:pPr>
      <w:r w:rsidRPr="00525945">
        <w:rPr>
          <w:rFonts w:ascii="PT Sans" w:hAnsi="PT Sans"/>
          <w:color w:val="000000" w:themeColor="text1"/>
          <w:sz w:val="16"/>
          <w:szCs w:val="16"/>
        </w:rPr>
        <w:t>Homozigotiniai genotipo nešiotojai su TA įterpimu (UGT1A1*28/*28) yra paveikti vadinamojo Gilberto sindromo, pasireiškiančio lengva lėtine nekonjuguota hiperbilirubinemija. Tai sukelia iki 20–30% sumažėjęs fermento UDP-gliukuronoziltransferazės gliukuronizacijos aktyvumas. Daugybė genetinių variantų gali sukelti Gilberto sindromo fenotipą, tačiau polimorfizmas UGT1A1 * 28 yra dažniausia</w:t>
      </w:r>
      <w:r w:rsidR="004C5CF8" w:rsidRPr="00525945">
        <w:rPr>
          <w:rFonts w:ascii="PT Sans" w:hAnsi="PT Sans"/>
          <w:color w:val="000000" w:themeColor="text1"/>
          <w:sz w:val="16"/>
          <w:szCs w:val="16"/>
        </w:rPr>
        <w:t xml:space="preserve">i pasireiškiantis </w:t>
      </w:r>
      <w:r w:rsidRPr="00525945">
        <w:rPr>
          <w:rFonts w:ascii="PT Sans" w:hAnsi="PT Sans"/>
          <w:color w:val="000000" w:themeColor="text1"/>
          <w:sz w:val="16"/>
          <w:szCs w:val="16"/>
        </w:rPr>
        <w:t xml:space="preserve">Kaukazo ir Afroamerikiečių populiacijose. Azijiečiai, sergantys Gilberto sindromu, dažnai </w:t>
      </w:r>
      <w:r w:rsidR="00FD41B6" w:rsidRPr="00525945">
        <w:rPr>
          <w:rFonts w:ascii="PT Sans" w:hAnsi="PT Sans"/>
          <w:color w:val="000000" w:themeColor="text1"/>
          <w:sz w:val="16"/>
          <w:szCs w:val="16"/>
        </w:rPr>
        <w:t>turi</w:t>
      </w:r>
      <w:r w:rsidRPr="00525945">
        <w:rPr>
          <w:rFonts w:ascii="PT Sans" w:hAnsi="PT Sans"/>
          <w:color w:val="000000" w:themeColor="text1"/>
          <w:sz w:val="16"/>
          <w:szCs w:val="16"/>
        </w:rPr>
        <w:t xml:space="preserve"> polimorfizm</w:t>
      </w:r>
      <w:r w:rsidR="00FD41B6" w:rsidRPr="00525945">
        <w:rPr>
          <w:rFonts w:ascii="PT Sans" w:hAnsi="PT Sans"/>
          <w:color w:val="000000" w:themeColor="text1"/>
          <w:sz w:val="16"/>
          <w:szCs w:val="16"/>
        </w:rPr>
        <w:t>ą</w:t>
      </w:r>
      <w:r w:rsidRPr="00525945">
        <w:rPr>
          <w:rFonts w:ascii="PT Sans" w:hAnsi="PT Sans"/>
          <w:color w:val="000000" w:themeColor="text1"/>
          <w:sz w:val="16"/>
          <w:szCs w:val="16"/>
        </w:rPr>
        <w:t xml:space="preserve"> UGT1A1*6, haplotip</w:t>
      </w:r>
      <w:r w:rsidR="00FD41B6" w:rsidRPr="00525945">
        <w:rPr>
          <w:rFonts w:ascii="PT Sans" w:hAnsi="PT Sans"/>
          <w:color w:val="000000" w:themeColor="text1"/>
          <w:sz w:val="16"/>
          <w:szCs w:val="16"/>
        </w:rPr>
        <w:t>us</w:t>
      </w:r>
      <w:r w:rsidRPr="00525945">
        <w:rPr>
          <w:rFonts w:ascii="PT Sans" w:hAnsi="PT Sans"/>
          <w:color w:val="000000" w:themeColor="text1"/>
          <w:sz w:val="16"/>
          <w:szCs w:val="16"/>
        </w:rPr>
        <w:t xml:space="preserve"> UGT1A1*36 ir UGT1A1*37 dažniausiai aptinkami tarp afroamerikiečių.</w:t>
      </w:r>
    </w:p>
    <w:p w14:paraId="7A3489B4" w14:textId="4417B9C2" w:rsidR="00534466" w:rsidRPr="00525945" w:rsidRDefault="00534466" w:rsidP="00534466">
      <w:pPr>
        <w:spacing w:after="0" w:line="240" w:lineRule="auto"/>
        <w:jc w:val="both"/>
        <w:rPr>
          <w:rFonts w:ascii="PT Sans" w:hAnsi="PT Sans"/>
          <w:sz w:val="16"/>
          <w:szCs w:val="16"/>
        </w:rPr>
      </w:pPr>
    </w:p>
    <w:p w14:paraId="5D3E2BF4" w14:textId="5ACF3089" w:rsidR="00FD41B6" w:rsidRPr="00525945" w:rsidRDefault="00FD41B6" w:rsidP="00534466">
      <w:pPr>
        <w:spacing w:after="0" w:line="240" w:lineRule="auto"/>
        <w:jc w:val="both"/>
        <w:rPr>
          <w:rFonts w:ascii="PT Sans" w:hAnsi="PT Sans"/>
          <w:sz w:val="16"/>
          <w:szCs w:val="16"/>
        </w:rPr>
      </w:pPr>
      <w:r w:rsidRPr="00525945">
        <w:rPr>
          <w:rFonts w:ascii="PT Sans" w:hAnsi="PT Sans"/>
          <w:sz w:val="16"/>
          <w:szCs w:val="16"/>
        </w:rPr>
        <w:t>Gilberto sindromas yra gerybinė liga, kuriai nereikia gydymo; nepaisant to, diagnozė yra reikalinga tam, kad atmesti sunkų kepenų funkcijos sutrikimą, susijusį su hiperbilirubinemija. Gilberto sindromas indoeuropiečių populiacijoje yra 3–15%.</w:t>
      </w:r>
    </w:p>
    <w:p w14:paraId="5985D3A1" w14:textId="127C3828" w:rsidR="00FD41B6" w:rsidRPr="00525945" w:rsidRDefault="00FD41B6" w:rsidP="00534466">
      <w:pPr>
        <w:spacing w:after="0" w:line="240" w:lineRule="auto"/>
        <w:jc w:val="both"/>
        <w:rPr>
          <w:rFonts w:ascii="PT Sans" w:hAnsi="PT Sans"/>
          <w:sz w:val="16"/>
          <w:szCs w:val="16"/>
        </w:rPr>
      </w:pPr>
    </w:p>
    <w:p w14:paraId="428319BE" w14:textId="42FB82EA" w:rsidR="00FD41B6" w:rsidRPr="00525945" w:rsidRDefault="00FD41B6" w:rsidP="00534466">
      <w:pPr>
        <w:spacing w:after="0" w:line="240" w:lineRule="auto"/>
        <w:jc w:val="both"/>
        <w:rPr>
          <w:rFonts w:ascii="PT Sans" w:hAnsi="PT Sans"/>
          <w:sz w:val="16"/>
          <w:szCs w:val="16"/>
        </w:rPr>
      </w:pPr>
      <w:r w:rsidRPr="00525945">
        <w:rPr>
          <w:rFonts w:ascii="PT Sans" w:hAnsi="PT Sans"/>
          <w:sz w:val="16"/>
          <w:szCs w:val="16"/>
        </w:rPr>
        <w:t>Žmonės, kurių genotipas UGT1A1*1/*28 (heterozigotai), yra Gilberto sindromo nešiotojai. Sindromas taip pat pasireiškia junginių heterozigotų atvejais, kurių viename UGT1A1 TA geno alelyje yra įterpta seka, o antrame - kita mutacija (UGT1A1*28 / kita mutacija). Tokių Gilberto sindromu sergančių pacientų yra apie 2 %.</w:t>
      </w:r>
    </w:p>
    <w:p w14:paraId="45DA1603" w14:textId="0B9F58CB" w:rsidR="00FD41B6" w:rsidRPr="00525945" w:rsidRDefault="00FD41B6" w:rsidP="00534466">
      <w:pPr>
        <w:spacing w:after="0" w:line="240" w:lineRule="auto"/>
        <w:jc w:val="both"/>
        <w:rPr>
          <w:rFonts w:ascii="PT Sans" w:hAnsi="PT Sans"/>
          <w:sz w:val="16"/>
          <w:szCs w:val="16"/>
        </w:rPr>
      </w:pPr>
    </w:p>
    <w:p w14:paraId="7B1E25D4" w14:textId="56140FB1" w:rsidR="007430ED" w:rsidRDefault="007430ED" w:rsidP="00534466">
      <w:pPr>
        <w:spacing w:after="0" w:line="240" w:lineRule="auto"/>
        <w:jc w:val="both"/>
        <w:rPr>
          <w:rFonts w:ascii="PT Sans" w:hAnsi="PT Sans"/>
          <w:sz w:val="16"/>
          <w:szCs w:val="16"/>
        </w:rPr>
      </w:pPr>
      <w:r w:rsidRPr="00525945">
        <w:rPr>
          <w:rFonts w:ascii="PT Sans" w:hAnsi="PT Sans"/>
          <w:sz w:val="16"/>
          <w:szCs w:val="16"/>
        </w:rPr>
        <w:t>Aptikti šią mutaciją taip pat naudinga prieš pradedant gydymą vaistais, kuriuos metabolizuoja UDP-gliukuronoziltransferazė (pvz., chemoterapiniu irinotekanu), o ribota vaistų biotransformacija gali sukelti toksinį poveikį (leukopeniją, viduriavimą, hematologinį toksiškumą). Genotipų nustatymas leidžia laiku sumažinti dozę arba pasirinkti alternatyvų gydymą.</w:t>
      </w:r>
    </w:p>
    <w:p w14:paraId="5AAAD95C" w14:textId="77777777" w:rsidR="009E0E3F" w:rsidRDefault="009E0E3F" w:rsidP="00534466">
      <w:pPr>
        <w:spacing w:after="0" w:line="240" w:lineRule="auto"/>
        <w:jc w:val="both"/>
        <w:rPr>
          <w:rFonts w:ascii="PT Sans" w:hAnsi="PT Sans"/>
          <w:sz w:val="16"/>
          <w:szCs w:val="16"/>
        </w:rPr>
      </w:pPr>
    </w:p>
    <w:p w14:paraId="369AD2E3" w14:textId="49FBA06E" w:rsidR="009A5972" w:rsidRDefault="009A5972" w:rsidP="00534466">
      <w:pPr>
        <w:spacing w:after="0" w:line="240" w:lineRule="auto"/>
        <w:jc w:val="both"/>
        <w:rPr>
          <w:rFonts w:ascii="PT Sans" w:hAnsi="PT Sans"/>
          <w:sz w:val="16"/>
          <w:szCs w:val="16"/>
        </w:rPr>
      </w:pPr>
      <w:r w:rsidRPr="009A5972">
        <w:rPr>
          <w:rFonts w:ascii="PT Sans" w:hAnsi="PT Sans"/>
          <w:b/>
          <w:bCs/>
          <w:color w:val="AA113F"/>
          <w:sz w:val="16"/>
          <w:szCs w:val="16"/>
        </w:rPr>
        <w:t>ETIKETĖSE NAUDOTI SIMBOLIAI</w:t>
      </w:r>
    </w:p>
    <w:p w14:paraId="574CADDC" w14:textId="554682FD" w:rsidR="00525945" w:rsidRDefault="00525945" w:rsidP="00534466">
      <w:pPr>
        <w:spacing w:after="0" w:line="240" w:lineRule="auto"/>
        <w:jc w:val="both"/>
        <w:rPr>
          <w:rFonts w:ascii="PT Sans" w:hAnsi="PT Sans"/>
          <w:sz w:val="16"/>
          <w:szCs w:val="16"/>
        </w:rPr>
      </w:pPr>
    </w:p>
    <w:tbl>
      <w:tblPr>
        <w:tblStyle w:val="TableGrid"/>
        <w:tblW w:w="0" w:type="auto"/>
        <w:tblLook w:val="04A0" w:firstRow="1" w:lastRow="0" w:firstColumn="1" w:lastColumn="0" w:noHBand="0" w:noVBand="1"/>
      </w:tblPr>
      <w:tblGrid>
        <w:gridCol w:w="2258"/>
        <w:gridCol w:w="2400"/>
      </w:tblGrid>
      <w:tr w:rsidR="00C41EB6" w14:paraId="043F1BAB" w14:textId="77777777" w:rsidTr="00C41EB6">
        <w:tc>
          <w:tcPr>
            <w:tcW w:w="2263" w:type="dxa"/>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2592369A" w14:textId="44B57132" w:rsidR="009A5972" w:rsidRDefault="00C41EB6" w:rsidP="009A5972">
            <w:pPr>
              <w:jc w:val="center"/>
              <w:rPr>
                <w:rFonts w:ascii="PT Sans" w:hAnsi="PT Sans"/>
                <w:sz w:val="16"/>
                <w:szCs w:val="16"/>
              </w:rPr>
            </w:pPr>
            <w:r>
              <w:object w:dxaOrig="1350" w:dyaOrig="840" w14:anchorId="33FBC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75pt" o:ole="">
                  <v:imagedata r:id="rId8" o:title=""/>
                </v:shape>
                <o:OLEObject Type="Embed" ProgID="PBrush" ShapeID="_x0000_i1025" DrawAspect="Content" ObjectID="_1759330033" r:id="rId9"/>
              </w:object>
            </w:r>
          </w:p>
        </w:tc>
        <w:tc>
          <w:tcPr>
            <w:tcW w:w="2405" w:type="dxa"/>
            <w:tcBorders>
              <w:top w:val="single" w:sz="8" w:space="0" w:color="FFFFFF" w:themeColor="background1"/>
              <w:left w:val="single" w:sz="8" w:space="0" w:color="FFFFFF" w:themeColor="background1"/>
              <w:bottom w:val="single" w:sz="8" w:space="0" w:color="AA113F"/>
              <w:right w:val="single" w:sz="8" w:space="0" w:color="FFFFFF" w:themeColor="background1"/>
            </w:tcBorders>
            <w:vAlign w:val="center"/>
          </w:tcPr>
          <w:p w14:paraId="7545724E" w14:textId="5A814B32" w:rsidR="009A5972" w:rsidRDefault="009A5972" w:rsidP="009A5972">
            <w:pPr>
              <w:rPr>
                <w:rFonts w:ascii="PT Sans" w:hAnsi="PT Sans"/>
                <w:sz w:val="16"/>
                <w:szCs w:val="16"/>
              </w:rPr>
            </w:pPr>
            <w:r>
              <w:rPr>
                <w:rFonts w:ascii="PT Sans" w:hAnsi="PT Sans"/>
                <w:sz w:val="16"/>
                <w:szCs w:val="16"/>
              </w:rPr>
              <w:t>Partijos numeris</w:t>
            </w:r>
          </w:p>
        </w:tc>
      </w:tr>
      <w:tr w:rsidR="00C41EB6" w14:paraId="1DE8171F" w14:textId="77777777" w:rsidTr="00C41EB6">
        <w:tc>
          <w:tcPr>
            <w:tcW w:w="2263" w:type="dxa"/>
            <w:tcBorders>
              <w:top w:val="single" w:sz="8" w:space="0" w:color="AA113F"/>
              <w:left w:val="single" w:sz="8" w:space="0" w:color="FFFFFF" w:themeColor="background1"/>
              <w:bottom w:val="single" w:sz="8" w:space="0" w:color="AA113F"/>
              <w:right w:val="single" w:sz="8" w:space="0" w:color="FFFFFF" w:themeColor="background1"/>
            </w:tcBorders>
          </w:tcPr>
          <w:p w14:paraId="04151005" w14:textId="02912B30" w:rsidR="009A5972" w:rsidRPr="00C41EB6" w:rsidRDefault="00C41EB6" w:rsidP="00C41EB6">
            <w:pPr>
              <w:spacing w:line="276" w:lineRule="auto"/>
              <w:jc w:val="center"/>
            </w:pPr>
            <w:r>
              <w:rPr>
                <w:noProof/>
                <w:lang w:val="en-US"/>
              </w:rPr>
              <w:drawing>
                <wp:inline distT="0" distB="0" distL="0" distR="0" wp14:anchorId="02873C9C" wp14:editId="786B4125">
                  <wp:extent cx="175876" cy="181456"/>
                  <wp:effectExtent l="0" t="0" r="0" b="0"/>
                  <wp:docPr id="6" name="Picture 6" descr="ISO 7000 - 2607, Use by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SO 7000 - 2607, Use by da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40" t="2242" r="5780" b="4408"/>
                          <a:stretch/>
                        </pic:blipFill>
                        <pic:spPr bwMode="auto">
                          <a:xfrm>
                            <a:off x="0" y="0"/>
                            <a:ext cx="193311" cy="1994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5"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37143954" w14:textId="56C1444C" w:rsidR="009A5972" w:rsidRDefault="009A5972" w:rsidP="009A5972">
            <w:pPr>
              <w:rPr>
                <w:rFonts w:ascii="PT Sans" w:hAnsi="PT Sans"/>
                <w:sz w:val="16"/>
                <w:szCs w:val="16"/>
              </w:rPr>
            </w:pPr>
            <w:r w:rsidRPr="009A5972">
              <w:rPr>
                <w:rFonts w:ascii="PT Sans" w:hAnsi="PT Sans"/>
                <w:sz w:val="16"/>
                <w:szCs w:val="16"/>
              </w:rPr>
              <w:t>Galiojimo laikas</w:t>
            </w:r>
          </w:p>
        </w:tc>
      </w:tr>
      <w:tr w:rsidR="00C41EB6" w14:paraId="644287ED" w14:textId="77777777" w:rsidTr="00C41EB6">
        <w:tc>
          <w:tcPr>
            <w:tcW w:w="2263" w:type="dxa"/>
            <w:tcBorders>
              <w:top w:val="single" w:sz="8" w:space="0" w:color="AA113F"/>
              <w:left w:val="single" w:sz="8" w:space="0" w:color="FFFFFF" w:themeColor="background1"/>
              <w:bottom w:val="single" w:sz="8" w:space="0" w:color="AA113F"/>
              <w:right w:val="single" w:sz="8" w:space="0" w:color="FFFFFF" w:themeColor="background1"/>
            </w:tcBorders>
          </w:tcPr>
          <w:p w14:paraId="6BCBBE4D" w14:textId="18C89863" w:rsidR="009A5972" w:rsidRDefault="005D2469" w:rsidP="005D2469">
            <w:pPr>
              <w:spacing w:line="276" w:lineRule="auto"/>
              <w:jc w:val="center"/>
              <w:rPr>
                <w:rFonts w:ascii="PT Sans" w:hAnsi="PT Sans"/>
                <w:sz w:val="16"/>
                <w:szCs w:val="16"/>
              </w:rPr>
            </w:pPr>
            <w:r>
              <w:rPr>
                <w:noProof/>
                <w:lang w:val="en-US"/>
              </w:rPr>
              <w:drawing>
                <wp:inline distT="0" distB="0" distL="0" distR="0" wp14:anchorId="3BD75DC4" wp14:editId="7F0F8450">
                  <wp:extent cx="146796" cy="146796"/>
                  <wp:effectExtent l="0" t="0" r="5715" b="5715"/>
                  <wp:docPr id="4" name="Picture 4" descr="Manufacture symbol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ufacture symbol | Free 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824" cy="152824"/>
                          </a:xfrm>
                          <a:prstGeom prst="rect">
                            <a:avLst/>
                          </a:prstGeom>
                          <a:noFill/>
                          <a:ln>
                            <a:noFill/>
                          </a:ln>
                        </pic:spPr>
                      </pic:pic>
                    </a:graphicData>
                  </a:graphic>
                </wp:inline>
              </w:drawing>
            </w:r>
          </w:p>
        </w:tc>
        <w:tc>
          <w:tcPr>
            <w:tcW w:w="2405"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0250791A" w14:textId="5D697E73" w:rsidR="009A5972" w:rsidRDefault="009A5972" w:rsidP="009A5972">
            <w:pPr>
              <w:rPr>
                <w:rFonts w:ascii="PT Sans" w:hAnsi="PT Sans"/>
                <w:sz w:val="16"/>
                <w:szCs w:val="16"/>
              </w:rPr>
            </w:pPr>
            <w:r>
              <w:rPr>
                <w:rFonts w:ascii="PT Sans" w:hAnsi="PT Sans"/>
                <w:sz w:val="16"/>
                <w:szCs w:val="16"/>
              </w:rPr>
              <w:t>Gamintojas</w:t>
            </w:r>
          </w:p>
        </w:tc>
      </w:tr>
      <w:tr w:rsidR="00C41EB6" w14:paraId="4F77C949" w14:textId="77777777" w:rsidTr="00C41EB6">
        <w:tc>
          <w:tcPr>
            <w:tcW w:w="2263" w:type="dxa"/>
            <w:tcBorders>
              <w:top w:val="single" w:sz="8" w:space="0" w:color="AA113F"/>
              <w:left w:val="single" w:sz="8" w:space="0" w:color="FFFFFF" w:themeColor="background1"/>
              <w:bottom w:val="single" w:sz="8" w:space="0" w:color="AA113F"/>
              <w:right w:val="single" w:sz="8" w:space="0" w:color="FFFFFF" w:themeColor="background1"/>
            </w:tcBorders>
          </w:tcPr>
          <w:p w14:paraId="676572C1" w14:textId="500DFD14" w:rsidR="009A5972" w:rsidRDefault="005D2469" w:rsidP="005D2469">
            <w:pPr>
              <w:spacing w:line="276" w:lineRule="auto"/>
              <w:jc w:val="center"/>
              <w:rPr>
                <w:rFonts w:ascii="PT Sans" w:hAnsi="PT Sans"/>
                <w:sz w:val="16"/>
                <w:szCs w:val="16"/>
              </w:rPr>
            </w:pPr>
            <w:r>
              <w:rPr>
                <w:noProof/>
                <w:lang w:val="en-US"/>
              </w:rPr>
              <w:drawing>
                <wp:inline distT="0" distB="0" distL="0" distR="0" wp14:anchorId="2DEC6CF8" wp14:editId="71CCDFE1">
                  <wp:extent cx="161981" cy="156551"/>
                  <wp:effectExtent l="0" t="0" r="3175" b="9525"/>
                  <wp:docPr id="5" name="Picture 5" descr="Safety Documentation | Immu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fety Documentation | Immudex"/>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320" t="8443" r="7317" b="8091"/>
                          <a:stretch/>
                        </pic:blipFill>
                        <pic:spPr bwMode="auto">
                          <a:xfrm>
                            <a:off x="0" y="0"/>
                            <a:ext cx="161981" cy="1565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5"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39F036EC" w14:textId="017CE775" w:rsidR="009A5972" w:rsidRDefault="009A5972" w:rsidP="009A5972">
            <w:pPr>
              <w:rPr>
                <w:rFonts w:ascii="PT Sans" w:hAnsi="PT Sans"/>
                <w:sz w:val="16"/>
                <w:szCs w:val="16"/>
              </w:rPr>
            </w:pPr>
            <w:r w:rsidRPr="009A5972">
              <w:rPr>
                <w:rFonts w:ascii="PT Sans" w:hAnsi="PT Sans"/>
                <w:sz w:val="16"/>
                <w:szCs w:val="16"/>
              </w:rPr>
              <w:t>Testų kiekis</w:t>
            </w:r>
            <w:r w:rsidR="005D2469">
              <w:rPr>
                <w:rFonts w:ascii="PT Sans" w:hAnsi="PT Sans"/>
                <w:sz w:val="16"/>
                <w:szCs w:val="16"/>
              </w:rPr>
              <w:t xml:space="preserve"> pakuotėje</w:t>
            </w:r>
          </w:p>
        </w:tc>
      </w:tr>
      <w:tr w:rsidR="00C41EB6" w14:paraId="51A4DE37" w14:textId="77777777" w:rsidTr="00C41EB6">
        <w:tc>
          <w:tcPr>
            <w:tcW w:w="2263" w:type="dxa"/>
            <w:tcBorders>
              <w:top w:val="single" w:sz="8" w:space="0" w:color="AA113F"/>
              <w:left w:val="single" w:sz="8" w:space="0" w:color="FFFFFF" w:themeColor="background1"/>
              <w:bottom w:val="single" w:sz="8" w:space="0" w:color="AA113F"/>
              <w:right w:val="single" w:sz="8" w:space="0" w:color="FFFFFF" w:themeColor="background1"/>
            </w:tcBorders>
          </w:tcPr>
          <w:p w14:paraId="4171CF49" w14:textId="6DBBBBE3" w:rsidR="009A5972" w:rsidRDefault="00C41EB6" w:rsidP="00C41EB6">
            <w:pPr>
              <w:jc w:val="center"/>
              <w:rPr>
                <w:rFonts w:ascii="PT Sans" w:hAnsi="PT Sans"/>
                <w:sz w:val="16"/>
                <w:szCs w:val="16"/>
              </w:rPr>
            </w:pPr>
            <w:r>
              <w:object w:dxaOrig="1635" w:dyaOrig="795" w14:anchorId="73E1BCE7">
                <v:shape id="_x0000_i1026" type="#_x0000_t75" style="width:25.5pt;height:12.75pt" o:ole="">
                  <v:imagedata r:id="rId13" o:title=""/>
                </v:shape>
                <o:OLEObject Type="Embed" ProgID="PBrush" ShapeID="_x0000_i1026" DrawAspect="Content" ObjectID="_1759330034" r:id="rId14"/>
              </w:object>
            </w:r>
          </w:p>
        </w:tc>
        <w:tc>
          <w:tcPr>
            <w:tcW w:w="2405"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4629EE39" w14:textId="0961E4B8" w:rsidR="009A5972" w:rsidRDefault="009A5972" w:rsidP="009A5972">
            <w:pPr>
              <w:rPr>
                <w:rFonts w:ascii="PT Sans" w:hAnsi="PT Sans"/>
                <w:sz w:val="16"/>
                <w:szCs w:val="16"/>
              </w:rPr>
            </w:pPr>
            <w:r w:rsidRPr="009A5972">
              <w:rPr>
                <w:rFonts w:ascii="PT Sans" w:hAnsi="PT Sans"/>
                <w:sz w:val="16"/>
                <w:szCs w:val="16"/>
              </w:rPr>
              <w:t>Turinys</w:t>
            </w:r>
          </w:p>
        </w:tc>
      </w:tr>
      <w:tr w:rsidR="00C41EB6" w14:paraId="0C223A46" w14:textId="77777777" w:rsidTr="00C41EB6">
        <w:tc>
          <w:tcPr>
            <w:tcW w:w="2263" w:type="dxa"/>
            <w:tcBorders>
              <w:top w:val="single" w:sz="8" w:space="0" w:color="AA113F"/>
              <w:left w:val="single" w:sz="8" w:space="0" w:color="FFFFFF" w:themeColor="background1"/>
              <w:bottom w:val="single" w:sz="8" w:space="0" w:color="AA113F"/>
              <w:right w:val="single" w:sz="8" w:space="0" w:color="FFFFFF" w:themeColor="background1"/>
            </w:tcBorders>
          </w:tcPr>
          <w:p w14:paraId="3CEDD832" w14:textId="3A3DE33D" w:rsidR="009A5972" w:rsidRDefault="00C41EB6" w:rsidP="00C41EB6">
            <w:pPr>
              <w:ind w:left="30"/>
              <w:jc w:val="center"/>
              <w:rPr>
                <w:rFonts w:ascii="PT Sans" w:hAnsi="PT Sans"/>
                <w:sz w:val="16"/>
                <w:szCs w:val="16"/>
              </w:rPr>
            </w:pPr>
            <w:r>
              <w:object w:dxaOrig="1320" w:dyaOrig="765" w14:anchorId="60F48901">
                <v:shape id="_x0000_i1027" type="#_x0000_t75" style="width:24pt;height:14.25pt" o:ole="">
                  <v:imagedata r:id="rId15" o:title=""/>
                </v:shape>
                <o:OLEObject Type="Embed" ProgID="PBrush" ShapeID="_x0000_i1027" DrawAspect="Content" ObjectID="_1759330035" r:id="rId16"/>
              </w:object>
            </w:r>
          </w:p>
        </w:tc>
        <w:tc>
          <w:tcPr>
            <w:tcW w:w="2405"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0B8BC571" w14:textId="1CACAEB0" w:rsidR="009A5972" w:rsidRDefault="009A5972" w:rsidP="009A5972">
            <w:pPr>
              <w:rPr>
                <w:rFonts w:ascii="PT Sans" w:hAnsi="PT Sans"/>
                <w:sz w:val="16"/>
                <w:szCs w:val="16"/>
              </w:rPr>
            </w:pPr>
            <w:r w:rsidRPr="009A5972">
              <w:rPr>
                <w:rFonts w:ascii="PT Sans" w:hAnsi="PT Sans"/>
                <w:sz w:val="16"/>
                <w:szCs w:val="16"/>
              </w:rPr>
              <w:t xml:space="preserve">Naudoti </w:t>
            </w:r>
            <w:r w:rsidRPr="009A5972">
              <w:rPr>
                <w:rFonts w:ascii="PT Sans" w:hAnsi="PT Sans"/>
                <w:i/>
                <w:iCs/>
                <w:sz w:val="16"/>
                <w:szCs w:val="16"/>
              </w:rPr>
              <w:t xml:space="preserve">in vitro </w:t>
            </w:r>
            <w:r w:rsidRPr="009A5972">
              <w:rPr>
                <w:rFonts w:ascii="PT Sans" w:hAnsi="PT Sans"/>
                <w:sz w:val="16"/>
                <w:szCs w:val="16"/>
              </w:rPr>
              <w:t>diagnostikai</w:t>
            </w:r>
          </w:p>
        </w:tc>
      </w:tr>
      <w:tr w:rsidR="00C41EB6" w14:paraId="4032E77C" w14:textId="77777777" w:rsidTr="00C41EB6">
        <w:tc>
          <w:tcPr>
            <w:tcW w:w="2263" w:type="dxa"/>
            <w:tcBorders>
              <w:top w:val="single" w:sz="8" w:space="0" w:color="AA113F"/>
              <w:left w:val="single" w:sz="8" w:space="0" w:color="FFFFFF" w:themeColor="background1"/>
              <w:bottom w:val="single" w:sz="8" w:space="0" w:color="AA113F"/>
              <w:right w:val="single" w:sz="8" w:space="0" w:color="FFFFFF" w:themeColor="background1"/>
            </w:tcBorders>
          </w:tcPr>
          <w:p w14:paraId="18224814" w14:textId="6A77C095" w:rsidR="009A5972" w:rsidRDefault="00C41EB6" w:rsidP="00C41EB6">
            <w:pPr>
              <w:ind w:left="30"/>
              <w:jc w:val="center"/>
              <w:rPr>
                <w:rFonts w:ascii="PT Sans" w:hAnsi="PT Sans"/>
                <w:sz w:val="16"/>
                <w:szCs w:val="16"/>
              </w:rPr>
            </w:pPr>
            <w:r>
              <w:object w:dxaOrig="2880" w:dyaOrig="3120" w14:anchorId="49A185AE">
                <v:shape id="_x0000_i1028" type="#_x0000_t75" style="width:20.25pt;height:21.75pt" o:ole="">
                  <v:imagedata r:id="rId17" o:title=""/>
                </v:shape>
                <o:OLEObject Type="Embed" ProgID="PBrush" ShapeID="_x0000_i1028" DrawAspect="Content" ObjectID="_1759330036" r:id="rId18"/>
              </w:object>
            </w:r>
          </w:p>
        </w:tc>
        <w:tc>
          <w:tcPr>
            <w:tcW w:w="2405"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7633E707" w14:textId="2C895142" w:rsidR="009A5972" w:rsidRDefault="009A5972" w:rsidP="009A5972">
            <w:pPr>
              <w:rPr>
                <w:rFonts w:ascii="PT Sans" w:hAnsi="PT Sans"/>
                <w:sz w:val="16"/>
                <w:szCs w:val="16"/>
              </w:rPr>
            </w:pPr>
            <w:r w:rsidRPr="009A5972">
              <w:rPr>
                <w:rFonts w:ascii="PT Sans" w:hAnsi="PT Sans"/>
                <w:sz w:val="16"/>
                <w:szCs w:val="16"/>
              </w:rPr>
              <w:t>Laikymo sąlygos</w:t>
            </w:r>
          </w:p>
        </w:tc>
      </w:tr>
    </w:tbl>
    <w:p w14:paraId="0D1BF463" w14:textId="74BF1A68" w:rsidR="009A5972" w:rsidRDefault="009A5972" w:rsidP="00534466">
      <w:pPr>
        <w:spacing w:after="0" w:line="240" w:lineRule="auto"/>
        <w:jc w:val="both"/>
        <w:rPr>
          <w:rFonts w:ascii="PT Sans" w:hAnsi="PT Sans"/>
          <w:sz w:val="16"/>
          <w:szCs w:val="16"/>
        </w:rPr>
      </w:pPr>
    </w:p>
    <w:p w14:paraId="6265074F" w14:textId="49301D51" w:rsidR="00DC0C09" w:rsidRDefault="00DC0C09" w:rsidP="00534466">
      <w:pPr>
        <w:spacing w:after="0" w:line="240" w:lineRule="auto"/>
        <w:jc w:val="both"/>
        <w:rPr>
          <w:rFonts w:ascii="PT Sans" w:hAnsi="PT Sans"/>
          <w:sz w:val="16"/>
          <w:szCs w:val="16"/>
        </w:rPr>
      </w:pPr>
      <w:r>
        <w:rPr>
          <w:rFonts w:ascii="PT Sans" w:hAnsi="PT Sans"/>
          <w:b/>
          <w:bCs/>
          <w:color w:val="AA113F"/>
          <w:sz w:val="16"/>
          <w:szCs w:val="16"/>
        </w:rPr>
        <w:t>PAPILDOMI PRODUKTAI</w:t>
      </w:r>
    </w:p>
    <w:p w14:paraId="55E18FB4" w14:textId="4679ACF9" w:rsidR="00DC0C09" w:rsidRDefault="00DC0C09" w:rsidP="00534466">
      <w:pPr>
        <w:spacing w:after="0" w:line="240" w:lineRule="auto"/>
        <w:jc w:val="both"/>
        <w:rPr>
          <w:rFonts w:ascii="PT Sans" w:hAnsi="PT Sans"/>
          <w:sz w:val="16"/>
          <w:szCs w:val="16"/>
        </w:rPr>
      </w:pPr>
      <w:r>
        <w:rPr>
          <w:rFonts w:ascii="PT Sans" w:hAnsi="PT Sans"/>
          <w:sz w:val="16"/>
          <w:szCs w:val="16"/>
        </w:rPr>
        <w:t>g</w:t>
      </w:r>
      <w:r w:rsidRPr="00DC0C09">
        <w:rPr>
          <w:rFonts w:ascii="PT Sans" w:hAnsi="PT Sans"/>
          <w:color w:val="AA113F"/>
          <w:sz w:val="16"/>
          <w:szCs w:val="16"/>
        </w:rPr>
        <w:t>b</w:t>
      </w:r>
      <w:r>
        <w:rPr>
          <w:rFonts w:ascii="PT Sans" w:hAnsi="PT Sans"/>
          <w:sz w:val="16"/>
          <w:szCs w:val="16"/>
        </w:rPr>
        <w:t xml:space="preserve"> GENETIC HFE</w:t>
      </w:r>
      <w:r>
        <w:rPr>
          <w:rFonts w:ascii="PT Sans" w:hAnsi="PT Sans"/>
          <w:sz w:val="16"/>
          <w:szCs w:val="16"/>
        </w:rPr>
        <w:tab/>
      </w:r>
      <w:r>
        <w:rPr>
          <w:rFonts w:ascii="PT Sans" w:hAnsi="PT Sans"/>
          <w:sz w:val="16"/>
          <w:szCs w:val="16"/>
        </w:rPr>
        <w:tab/>
        <w:t xml:space="preserve">                           Kat. Nr.: 3208</w:t>
      </w:r>
    </w:p>
    <w:p w14:paraId="44EDB49B" w14:textId="6E368A94" w:rsidR="00DC0C09" w:rsidRDefault="00DC0C09" w:rsidP="00534466">
      <w:pPr>
        <w:spacing w:after="0" w:line="240" w:lineRule="auto"/>
        <w:jc w:val="both"/>
        <w:rPr>
          <w:rFonts w:ascii="PT Sans" w:hAnsi="PT Sans"/>
          <w:sz w:val="16"/>
          <w:szCs w:val="16"/>
        </w:rPr>
      </w:pPr>
    </w:p>
    <w:p w14:paraId="3D6F3BAA" w14:textId="7B1E40CF" w:rsidR="00DC0C09" w:rsidRDefault="00DC0C09" w:rsidP="00534466">
      <w:pPr>
        <w:spacing w:after="0" w:line="240" w:lineRule="auto"/>
        <w:jc w:val="both"/>
        <w:rPr>
          <w:rFonts w:ascii="PT Sans" w:hAnsi="PT Sans"/>
          <w:b/>
          <w:bCs/>
          <w:color w:val="AA113F"/>
          <w:sz w:val="16"/>
          <w:szCs w:val="16"/>
        </w:rPr>
      </w:pPr>
      <w:r>
        <w:rPr>
          <w:rFonts w:ascii="PT Sans" w:hAnsi="PT Sans"/>
          <w:b/>
          <w:bCs/>
          <w:color w:val="AA113F"/>
          <w:sz w:val="16"/>
          <w:szCs w:val="16"/>
        </w:rPr>
        <w:t>NUORODA</w:t>
      </w:r>
    </w:p>
    <w:p w14:paraId="52A93059" w14:textId="14C2C420" w:rsidR="00DC0C09" w:rsidRDefault="00DC0C09" w:rsidP="00534466">
      <w:pPr>
        <w:spacing w:after="0" w:line="240" w:lineRule="auto"/>
        <w:jc w:val="both"/>
        <w:rPr>
          <w:rFonts w:ascii="PT Sans" w:hAnsi="PT Sans"/>
          <w:sz w:val="16"/>
          <w:szCs w:val="16"/>
        </w:rPr>
      </w:pPr>
      <w:r>
        <w:rPr>
          <w:rFonts w:ascii="PT Sans" w:hAnsi="PT Sans"/>
          <w:sz w:val="16"/>
          <w:szCs w:val="16"/>
        </w:rPr>
        <w:t>„</w:t>
      </w:r>
      <w:r w:rsidRPr="00DC0C09">
        <w:rPr>
          <w:rFonts w:ascii="PT Sans" w:hAnsi="PT Sans"/>
          <w:sz w:val="16"/>
          <w:szCs w:val="16"/>
        </w:rPr>
        <w:t>gb GENETIC Gilbert</w:t>
      </w:r>
      <w:r>
        <w:rPr>
          <w:rFonts w:ascii="PT Sans" w:hAnsi="PT Sans"/>
          <w:sz w:val="16"/>
          <w:szCs w:val="16"/>
        </w:rPr>
        <w:t>“ rinkinys</w:t>
      </w:r>
      <w:r w:rsidRPr="00DC0C09">
        <w:rPr>
          <w:rFonts w:ascii="PT Sans" w:hAnsi="PT Sans"/>
          <w:sz w:val="16"/>
          <w:szCs w:val="16"/>
        </w:rPr>
        <w:t xml:space="preserve"> </w:t>
      </w:r>
      <w:r>
        <w:rPr>
          <w:rFonts w:ascii="PT Sans" w:hAnsi="PT Sans"/>
          <w:sz w:val="16"/>
          <w:szCs w:val="16"/>
        </w:rPr>
        <w:t>yra tinkamas naudojant</w:t>
      </w:r>
      <w:r w:rsidRPr="00DC0C09">
        <w:rPr>
          <w:rFonts w:ascii="PT Sans" w:hAnsi="PT Sans"/>
          <w:sz w:val="16"/>
          <w:szCs w:val="16"/>
        </w:rPr>
        <w:t xml:space="preserve"> ši</w:t>
      </w:r>
      <w:r>
        <w:rPr>
          <w:rFonts w:ascii="PT Sans" w:hAnsi="PT Sans"/>
          <w:sz w:val="16"/>
          <w:szCs w:val="16"/>
        </w:rPr>
        <w:t>uos</w:t>
      </w:r>
      <w:r w:rsidRPr="00DC0C09">
        <w:rPr>
          <w:rFonts w:ascii="PT Sans" w:hAnsi="PT Sans"/>
          <w:sz w:val="16"/>
          <w:szCs w:val="16"/>
        </w:rPr>
        <w:t xml:space="preserve"> realaus laiko PGR cikleri</w:t>
      </w:r>
      <w:r>
        <w:rPr>
          <w:rFonts w:ascii="PT Sans" w:hAnsi="PT Sans"/>
          <w:sz w:val="16"/>
          <w:szCs w:val="16"/>
        </w:rPr>
        <w:t>us</w:t>
      </w:r>
      <w:r w:rsidRPr="00DC0C09">
        <w:rPr>
          <w:rFonts w:ascii="PT Sans" w:hAnsi="PT Sans"/>
          <w:sz w:val="16"/>
          <w:szCs w:val="16"/>
        </w:rPr>
        <w:t>:</w:t>
      </w:r>
    </w:p>
    <w:p w14:paraId="51ADECEF" w14:textId="77777777" w:rsidR="00261403" w:rsidRPr="00261403" w:rsidRDefault="00261403" w:rsidP="00261403">
      <w:pPr>
        <w:pStyle w:val="ListParagraph"/>
        <w:numPr>
          <w:ilvl w:val="0"/>
          <w:numId w:val="1"/>
        </w:numPr>
        <w:spacing w:after="0" w:line="240" w:lineRule="auto"/>
        <w:ind w:left="426"/>
        <w:jc w:val="both"/>
        <w:rPr>
          <w:rFonts w:ascii="PT Sans" w:hAnsi="PT Sans"/>
          <w:sz w:val="16"/>
          <w:szCs w:val="16"/>
        </w:rPr>
      </w:pPr>
      <w:r w:rsidRPr="00261403">
        <w:rPr>
          <w:rFonts w:ascii="PT Sans" w:hAnsi="PT Sans"/>
          <w:sz w:val="16"/>
          <w:szCs w:val="16"/>
        </w:rPr>
        <w:t>Rotor-Gene 3000/6000/Q (Corbett Research, Qiagen)</w:t>
      </w:r>
    </w:p>
    <w:p w14:paraId="18677726" w14:textId="77777777" w:rsidR="00261403" w:rsidRPr="00261403" w:rsidRDefault="00261403" w:rsidP="00261403">
      <w:pPr>
        <w:pStyle w:val="ListParagraph"/>
        <w:numPr>
          <w:ilvl w:val="0"/>
          <w:numId w:val="1"/>
        </w:numPr>
        <w:spacing w:after="0" w:line="240" w:lineRule="auto"/>
        <w:ind w:left="426"/>
        <w:jc w:val="both"/>
        <w:rPr>
          <w:rFonts w:ascii="PT Sans" w:hAnsi="PT Sans"/>
          <w:sz w:val="16"/>
          <w:szCs w:val="16"/>
        </w:rPr>
      </w:pPr>
      <w:r w:rsidRPr="00261403">
        <w:rPr>
          <w:rFonts w:ascii="PT Sans" w:hAnsi="PT Sans"/>
          <w:sz w:val="16"/>
          <w:szCs w:val="16"/>
        </w:rPr>
        <w:t>CFX96/CFX96Touch (Bio-Rad)</w:t>
      </w:r>
    </w:p>
    <w:p w14:paraId="5452BCFA" w14:textId="77777777" w:rsidR="00261403" w:rsidRPr="00261403" w:rsidRDefault="00261403" w:rsidP="00261403">
      <w:pPr>
        <w:pStyle w:val="ListParagraph"/>
        <w:numPr>
          <w:ilvl w:val="0"/>
          <w:numId w:val="1"/>
        </w:numPr>
        <w:spacing w:after="0" w:line="240" w:lineRule="auto"/>
        <w:ind w:left="426"/>
        <w:jc w:val="both"/>
        <w:rPr>
          <w:rFonts w:ascii="PT Sans" w:hAnsi="PT Sans"/>
          <w:sz w:val="16"/>
          <w:szCs w:val="16"/>
        </w:rPr>
      </w:pPr>
      <w:r w:rsidRPr="00261403">
        <w:rPr>
          <w:rFonts w:ascii="PT Sans" w:hAnsi="PT Sans"/>
          <w:sz w:val="16"/>
          <w:szCs w:val="16"/>
        </w:rPr>
        <w:t>ABI 7500/7500 Fast (Applied Biosystems)</w:t>
      </w:r>
    </w:p>
    <w:p w14:paraId="0528AA4D" w14:textId="77777777" w:rsidR="00261403" w:rsidRPr="00261403" w:rsidRDefault="00261403" w:rsidP="00261403">
      <w:pPr>
        <w:pStyle w:val="ListParagraph"/>
        <w:numPr>
          <w:ilvl w:val="0"/>
          <w:numId w:val="1"/>
        </w:numPr>
        <w:spacing w:after="0" w:line="240" w:lineRule="auto"/>
        <w:ind w:left="426"/>
        <w:jc w:val="both"/>
        <w:rPr>
          <w:rFonts w:ascii="PT Sans" w:hAnsi="PT Sans"/>
          <w:sz w:val="16"/>
          <w:szCs w:val="16"/>
        </w:rPr>
      </w:pPr>
      <w:r w:rsidRPr="00261403">
        <w:rPr>
          <w:rFonts w:ascii="PT Sans" w:hAnsi="PT Sans"/>
          <w:sz w:val="16"/>
          <w:szCs w:val="16"/>
        </w:rPr>
        <w:t>AriaMx/Stratagene Mx3000P/Mx3005P (Agilent Technologies)</w:t>
      </w:r>
    </w:p>
    <w:p w14:paraId="0EEACE27" w14:textId="35E51F8A" w:rsidR="00DC0C09" w:rsidRDefault="00261403" w:rsidP="00261403">
      <w:pPr>
        <w:pStyle w:val="ListParagraph"/>
        <w:numPr>
          <w:ilvl w:val="0"/>
          <w:numId w:val="1"/>
        </w:numPr>
        <w:spacing w:after="0" w:line="240" w:lineRule="auto"/>
        <w:ind w:left="426"/>
        <w:jc w:val="both"/>
        <w:rPr>
          <w:rFonts w:ascii="PT Sans" w:hAnsi="PT Sans"/>
          <w:sz w:val="16"/>
          <w:szCs w:val="16"/>
        </w:rPr>
      </w:pPr>
      <w:r w:rsidRPr="00261403">
        <w:rPr>
          <w:rFonts w:ascii="PT Sans" w:hAnsi="PT Sans"/>
          <w:sz w:val="16"/>
          <w:szCs w:val="16"/>
        </w:rPr>
        <w:t>MIC (Bio Molecular Systems)</w:t>
      </w:r>
    </w:p>
    <w:p w14:paraId="7FEAC6D8" w14:textId="7A34E487" w:rsidR="00BB05D2" w:rsidRPr="00BB05D2" w:rsidRDefault="00BB05D2" w:rsidP="00BB05D2">
      <w:pPr>
        <w:spacing w:after="0" w:line="240" w:lineRule="auto"/>
        <w:jc w:val="both"/>
        <w:rPr>
          <w:rFonts w:ascii="PT Sans" w:hAnsi="PT Sans"/>
          <w:sz w:val="16"/>
          <w:szCs w:val="16"/>
        </w:rPr>
      </w:pPr>
      <w:r w:rsidRPr="00BB05D2">
        <w:rPr>
          <w:rFonts w:ascii="PT Sans" w:hAnsi="PT Sans"/>
          <w:sz w:val="16"/>
          <w:szCs w:val="16"/>
        </w:rPr>
        <w:t>Prieš naudodami rinkinį kartu su kit</w:t>
      </w:r>
      <w:r>
        <w:rPr>
          <w:rFonts w:ascii="PT Sans" w:hAnsi="PT Sans"/>
          <w:sz w:val="16"/>
          <w:szCs w:val="16"/>
        </w:rPr>
        <w:t xml:space="preserve">ais </w:t>
      </w:r>
      <w:r w:rsidRPr="00BB05D2">
        <w:rPr>
          <w:rFonts w:ascii="PT Sans" w:hAnsi="PT Sans"/>
          <w:sz w:val="16"/>
          <w:szCs w:val="16"/>
        </w:rPr>
        <w:t>realaus laiko PGR cikleriais, peržiūrėkite konkretaus instrumento naudotojo instrukcijas.</w:t>
      </w:r>
    </w:p>
    <w:p w14:paraId="2987FF2B" w14:textId="5ECEAE50" w:rsidR="00261403" w:rsidRDefault="00BB05D2" w:rsidP="00BB05D2">
      <w:pPr>
        <w:spacing w:after="0" w:line="240" w:lineRule="auto"/>
        <w:jc w:val="both"/>
        <w:rPr>
          <w:rFonts w:ascii="PT Sans" w:hAnsi="PT Sans"/>
          <w:sz w:val="16"/>
          <w:szCs w:val="16"/>
        </w:rPr>
      </w:pPr>
      <w:r w:rsidRPr="00BB05D2">
        <w:rPr>
          <w:rFonts w:ascii="PT Sans" w:hAnsi="PT Sans"/>
          <w:sz w:val="16"/>
          <w:szCs w:val="16"/>
        </w:rPr>
        <w:t xml:space="preserve">Norėdami gauti daugiau informacijos, susisiekite su mumis el. pašto adresu </w:t>
      </w:r>
      <w:hyperlink r:id="rId19" w:history="1">
        <w:r w:rsidRPr="00BB05D2">
          <w:rPr>
            <w:rStyle w:val="Hyperlink"/>
            <w:rFonts w:ascii="PT Sans" w:hAnsi="PT Sans"/>
            <w:color w:val="AA113F"/>
            <w:sz w:val="16"/>
            <w:szCs w:val="16"/>
          </w:rPr>
          <w:t>info@generibiotech.com</w:t>
        </w:r>
      </w:hyperlink>
      <w:r>
        <w:rPr>
          <w:rFonts w:ascii="PT Sans" w:hAnsi="PT Sans"/>
          <w:sz w:val="16"/>
          <w:szCs w:val="16"/>
        </w:rPr>
        <w:t xml:space="preserve"> </w:t>
      </w:r>
      <w:r w:rsidRPr="00BB05D2">
        <w:rPr>
          <w:rFonts w:ascii="PT Sans" w:hAnsi="PT Sans"/>
          <w:sz w:val="16"/>
          <w:szCs w:val="16"/>
        </w:rPr>
        <w:t xml:space="preserve">arba telefono numeriu +420 495 056 314. Daugiau informacijos taip pat rasite mūsų svetainėje: </w:t>
      </w:r>
      <w:hyperlink r:id="rId20" w:history="1">
        <w:r w:rsidRPr="00BB05D2">
          <w:rPr>
            <w:rStyle w:val="Hyperlink"/>
            <w:rFonts w:ascii="PT Sans" w:hAnsi="PT Sans"/>
            <w:color w:val="AA113F"/>
            <w:sz w:val="16"/>
            <w:szCs w:val="16"/>
          </w:rPr>
          <w:t>www.generi-biotech.com</w:t>
        </w:r>
      </w:hyperlink>
      <w:r w:rsidRPr="00BB05D2">
        <w:rPr>
          <w:rFonts w:ascii="PT Sans" w:hAnsi="PT Sans"/>
          <w:sz w:val="16"/>
          <w:szCs w:val="16"/>
        </w:rPr>
        <w:t>.</w:t>
      </w:r>
    </w:p>
    <w:p w14:paraId="3A021A9D" w14:textId="7DC3D3EB" w:rsidR="00DC421C" w:rsidRDefault="00DC421C" w:rsidP="00BB05D2">
      <w:pPr>
        <w:spacing w:after="0" w:line="240" w:lineRule="auto"/>
        <w:jc w:val="both"/>
        <w:rPr>
          <w:rFonts w:ascii="PT Sans" w:hAnsi="PT Sans"/>
          <w:sz w:val="16"/>
          <w:szCs w:val="16"/>
        </w:rPr>
      </w:pPr>
    </w:p>
    <w:p w14:paraId="5CA5EB3C" w14:textId="238CACEB" w:rsidR="00DC421C" w:rsidRDefault="00DC421C" w:rsidP="00BB05D2">
      <w:pPr>
        <w:spacing w:after="0" w:line="240" w:lineRule="auto"/>
        <w:jc w:val="both"/>
        <w:rPr>
          <w:rFonts w:ascii="PT Sans" w:hAnsi="PT Sans"/>
          <w:b/>
          <w:bCs/>
          <w:color w:val="AA113F"/>
          <w:sz w:val="16"/>
          <w:szCs w:val="16"/>
        </w:rPr>
      </w:pPr>
      <w:r w:rsidRPr="00215658">
        <w:rPr>
          <w:rFonts w:ascii="PT Sans" w:hAnsi="PT Sans"/>
          <w:b/>
          <w:bCs/>
          <w:color w:val="AA113F"/>
          <w:sz w:val="16"/>
          <w:szCs w:val="16"/>
        </w:rPr>
        <w:t>PROBLEMŲ SPRENDIMAS</w:t>
      </w:r>
    </w:p>
    <w:p w14:paraId="66D27681" w14:textId="3D5932A4" w:rsidR="00215658" w:rsidRDefault="00215658" w:rsidP="00BB05D2">
      <w:pPr>
        <w:spacing w:after="0" w:line="240" w:lineRule="auto"/>
        <w:jc w:val="both"/>
        <w:rPr>
          <w:rFonts w:ascii="PT Sans" w:hAnsi="PT Sans"/>
          <w:color w:val="000000" w:themeColor="text1"/>
          <w:sz w:val="16"/>
          <w:szCs w:val="16"/>
        </w:rPr>
      </w:pPr>
      <w:r w:rsidRPr="00215658">
        <w:rPr>
          <w:rFonts w:ascii="PT Sans" w:hAnsi="PT Sans"/>
          <w:color w:val="000000" w:themeColor="text1"/>
          <w:sz w:val="16"/>
          <w:szCs w:val="16"/>
        </w:rPr>
        <w:t xml:space="preserve">Rezultatai gali būti laikomi galiojančiais tik tuo atveju, jei griežtai laikomasi instrukcijų, pateiktų pridedamame vartotojo vadove. Teigiamas </w:t>
      </w:r>
      <w:r w:rsidR="00E46441">
        <w:rPr>
          <w:rFonts w:ascii="PT Sans" w:hAnsi="PT Sans"/>
          <w:color w:val="000000" w:themeColor="text1"/>
          <w:sz w:val="16"/>
          <w:szCs w:val="16"/>
        </w:rPr>
        <w:t>kontrolės</w:t>
      </w:r>
      <w:r w:rsidRPr="00215658">
        <w:rPr>
          <w:rFonts w:ascii="PT Sans" w:hAnsi="PT Sans"/>
          <w:color w:val="000000" w:themeColor="text1"/>
          <w:sz w:val="16"/>
          <w:szCs w:val="16"/>
        </w:rPr>
        <w:t xml:space="preserve"> signalas turi būti aptiktas atitinkamame fluorescenciniame kanale, neigiamo</w:t>
      </w:r>
      <w:r w:rsidR="00E46441">
        <w:rPr>
          <w:rFonts w:ascii="PT Sans" w:hAnsi="PT Sans"/>
          <w:color w:val="000000" w:themeColor="text1"/>
          <w:sz w:val="16"/>
          <w:szCs w:val="16"/>
        </w:rPr>
        <w:t xml:space="preserve">s kontrolės </w:t>
      </w:r>
      <w:r w:rsidRPr="00215658">
        <w:rPr>
          <w:rFonts w:ascii="PT Sans" w:hAnsi="PT Sans"/>
          <w:color w:val="000000" w:themeColor="text1"/>
          <w:sz w:val="16"/>
          <w:szCs w:val="16"/>
        </w:rPr>
        <w:t>signalas neturi būti aptiktas jokiame kanale. Jei kontrolinių mėginių rezultatai neteisingi, dar kartą patikrinkite:</w:t>
      </w:r>
    </w:p>
    <w:p w14:paraId="5BFAD7E8" w14:textId="2DFC18F3" w:rsidR="00E46441" w:rsidRPr="00E46441" w:rsidRDefault="00E46441" w:rsidP="00E46441">
      <w:pPr>
        <w:pStyle w:val="ListParagraph"/>
        <w:numPr>
          <w:ilvl w:val="0"/>
          <w:numId w:val="2"/>
        </w:numPr>
        <w:spacing w:after="0" w:line="240" w:lineRule="auto"/>
        <w:ind w:left="426"/>
        <w:jc w:val="both"/>
        <w:rPr>
          <w:rFonts w:ascii="PT Sans" w:hAnsi="PT Sans"/>
          <w:color w:val="000000" w:themeColor="text1"/>
          <w:sz w:val="16"/>
          <w:szCs w:val="16"/>
        </w:rPr>
      </w:pPr>
      <w:r w:rsidRPr="00E46441">
        <w:rPr>
          <w:rFonts w:ascii="PT Sans" w:hAnsi="PT Sans"/>
          <w:color w:val="000000" w:themeColor="text1"/>
          <w:sz w:val="16"/>
          <w:szCs w:val="16"/>
        </w:rPr>
        <w:t>Reagentų galiojimo laik</w:t>
      </w:r>
      <w:r>
        <w:rPr>
          <w:rFonts w:ascii="PT Sans" w:hAnsi="PT Sans"/>
          <w:color w:val="000000" w:themeColor="text1"/>
          <w:sz w:val="16"/>
          <w:szCs w:val="16"/>
        </w:rPr>
        <w:t>ą</w:t>
      </w:r>
    </w:p>
    <w:p w14:paraId="4139BAC5" w14:textId="2FA7400D" w:rsidR="00E46441" w:rsidRPr="00E46441" w:rsidRDefault="00E46441" w:rsidP="00E46441">
      <w:pPr>
        <w:pStyle w:val="ListParagraph"/>
        <w:numPr>
          <w:ilvl w:val="0"/>
          <w:numId w:val="2"/>
        </w:numPr>
        <w:spacing w:after="0" w:line="240" w:lineRule="auto"/>
        <w:ind w:left="426"/>
        <w:jc w:val="both"/>
        <w:rPr>
          <w:rFonts w:ascii="PT Sans" w:hAnsi="PT Sans"/>
          <w:color w:val="000000" w:themeColor="text1"/>
          <w:sz w:val="16"/>
          <w:szCs w:val="16"/>
        </w:rPr>
      </w:pPr>
      <w:r w:rsidRPr="00E46441">
        <w:rPr>
          <w:rFonts w:ascii="PT Sans" w:hAnsi="PT Sans"/>
          <w:color w:val="000000" w:themeColor="text1"/>
          <w:sz w:val="16"/>
          <w:szCs w:val="16"/>
        </w:rPr>
        <w:t>Laikymo sąlyg</w:t>
      </w:r>
      <w:r>
        <w:rPr>
          <w:rFonts w:ascii="PT Sans" w:hAnsi="PT Sans"/>
          <w:color w:val="000000" w:themeColor="text1"/>
          <w:sz w:val="16"/>
          <w:szCs w:val="16"/>
        </w:rPr>
        <w:t>as</w:t>
      </w:r>
    </w:p>
    <w:p w14:paraId="21F88B81" w14:textId="6BD149C9" w:rsidR="00E46441" w:rsidRDefault="00E46441" w:rsidP="00E46441">
      <w:pPr>
        <w:pStyle w:val="ListParagraph"/>
        <w:numPr>
          <w:ilvl w:val="0"/>
          <w:numId w:val="2"/>
        </w:numPr>
        <w:spacing w:after="0" w:line="240" w:lineRule="auto"/>
        <w:ind w:left="426"/>
        <w:jc w:val="both"/>
        <w:rPr>
          <w:rFonts w:ascii="PT Sans" w:hAnsi="PT Sans"/>
          <w:color w:val="000000" w:themeColor="text1"/>
          <w:sz w:val="16"/>
          <w:szCs w:val="16"/>
        </w:rPr>
      </w:pPr>
      <w:r w:rsidRPr="00E46441">
        <w:rPr>
          <w:rFonts w:ascii="PT Sans" w:hAnsi="PT Sans"/>
          <w:color w:val="000000" w:themeColor="text1"/>
          <w:sz w:val="16"/>
          <w:szCs w:val="16"/>
        </w:rPr>
        <w:t>Realaus laiko PGR ciklo ir pipetės nustatym</w:t>
      </w:r>
      <w:r>
        <w:rPr>
          <w:rFonts w:ascii="PT Sans" w:hAnsi="PT Sans"/>
          <w:color w:val="000000" w:themeColor="text1"/>
          <w:sz w:val="16"/>
          <w:szCs w:val="16"/>
        </w:rPr>
        <w:t>us</w:t>
      </w:r>
    </w:p>
    <w:p w14:paraId="57088427" w14:textId="5D37E193" w:rsidR="00E46441" w:rsidRDefault="00E46441" w:rsidP="00E46441">
      <w:pPr>
        <w:spacing w:after="0" w:line="240" w:lineRule="auto"/>
        <w:jc w:val="both"/>
        <w:rPr>
          <w:rFonts w:ascii="PT Sans" w:hAnsi="PT Sans"/>
          <w:color w:val="000000" w:themeColor="text1"/>
          <w:sz w:val="16"/>
          <w:szCs w:val="16"/>
        </w:rPr>
      </w:pPr>
    </w:p>
    <w:p w14:paraId="02BD20F8" w14:textId="41749E31" w:rsidR="009E0E3F" w:rsidRPr="009E0E3F" w:rsidRDefault="009E0E3F" w:rsidP="009E0E3F">
      <w:pPr>
        <w:spacing w:after="0" w:line="240" w:lineRule="auto"/>
        <w:jc w:val="both"/>
        <w:rPr>
          <w:rFonts w:ascii="PT Sans" w:hAnsi="PT Sans"/>
          <w:color w:val="000000" w:themeColor="text1"/>
          <w:sz w:val="16"/>
          <w:szCs w:val="16"/>
        </w:rPr>
      </w:pPr>
      <w:r>
        <w:rPr>
          <w:noProof/>
          <w:lang w:val="en-US"/>
        </w:rPr>
        <w:drawing>
          <wp:anchor distT="0" distB="0" distL="114300" distR="114300" simplePos="0" relativeHeight="251659264" behindDoc="0" locked="0" layoutInCell="1" allowOverlap="1" wp14:anchorId="0A779A70" wp14:editId="0997D944">
            <wp:simplePos x="0" y="0"/>
            <wp:positionH relativeFrom="column">
              <wp:posOffset>2000</wp:posOffset>
            </wp:positionH>
            <wp:positionV relativeFrom="paragraph">
              <wp:posOffset>1149</wp:posOffset>
            </wp:positionV>
            <wp:extent cx="295018" cy="268941"/>
            <wp:effectExtent l="0" t="0" r="0" b="0"/>
            <wp:wrapThrough wrapText="bothSides">
              <wp:wrapPolygon edited="0">
                <wp:start x="0" y="0"/>
                <wp:lineTo x="0" y="19915"/>
                <wp:lineTo x="19552" y="19915"/>
                <wp:lineTo x="19552" y="0"/>
                <wp:lineTo x="0" y="0"/>
              </wp:wrapPolygon>
            </wp:wrapThrough>
            <wp:docPr id="8" name="Picture 8" descr="Symbols to be used on labelling (ISO 15223) &amp; Information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ymbols to be used on labelling (ISO 15223) &amp; Information to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018" cy="268941"/>
                    </a:xfrm>
                    <a:prstGeom prst="rect">
                      <a:avLst/>
                    </a:prstGeom>
                    <a:noFill/>
                    <a:ln>
                      <a:noFill/>
                    </a:ln>
                  </pic:spPr>
                </pic:pic>
              </a:graphicData>
            </a:graphic>
          </wp:anchor>
        </w:drawing>
      </w:r>
      <w:r w:rsidRPr="009E0E3F">
        <w:rPr>
          <w:rFonts w:ascii="PT Sans" w:hAnsi="PT Sans"/>
          <w:color w:val="000000" w:themeColor="text1"/>
          <w:sz w:val="16"/>
          <w:szCs w:val="16"/>
        </w:rPr>
        <w:t>GENERI BIOTECH s.r.o.</w:t>
      </w:r>
    </w:p>
    <w:p w14:paraId="2CA66DE9" w14:textId="77777777" w:rsidR="009E0E3F" w:rsidRPr="009E0E3F" w:rsidRDefault="009E0E3F" w:rsidP="009E0E3F">
      <w:pPr>
        <w:spacing w:after="0" w:line="240" w:lineRule="auto"/>
        <w:jc w:val="both"/>
        <w:rPr>
          <w:rFonts w:ascii="PT Sans" w:hAnsi="PT Sans"/>
          <w:color w:val="000000" w:themeColor="text1"/>
          <w:sz w:val="16"/>
          <w:szCs w:val="16"/>
        </w:rPr>
      </w:pPr>
      <w:r w:rsidRPr="009E0E3F">
        <w:rPr>
          <w:rFonts w:ascii="PT Sans" w:hAnsi="PT Sans"/>
          <w:color w:val="000000" w:themeColor="text1"/>
          <w:sz w:val="16"/>
          <w:szCs w:val="16"/>
        </w:rPr>
        <w:lastRenderedPageBreak/>
        <w:t>Mačkova 587/42</w:t>
      </w:r>
    </w:p>
    <w:p w14:paraId="07D356BF" w14:textId="77777777" w:rsidR="009E0E3F" w:rsidRPr="009E0E3F" w:rsidRDefault="009E0E3F" w:rsidP="009E0E3F">
      <w:pPr>
        <w:spacing w:after="0" w:line="240" w:lineRule="auto"/>
        <w:jc w:val="both"/>
        <w:rPr>
          <w:rFonts w:ascii="PT Sans" w:hAnsi="PT Sans"/>
          <w:color w:val="000000" w:themeColor="text1"/>
          <w:sz w:val="16"/>
          <w:szCs w:val="16"/>
        </w:rPr>
      </w:pPr>
      <w:r w:rsidRPr="009E0E3F">
        <w:rPr>
          <w:rFonts w:ascii="PT Sans" w:hAnsi="PT Sans"/>
          <w:color w:val="000000" w:themeColor="text1"/>
          <w:sz w:val="16"/>
          <w:szCs w:val="16"/>
        </w:rPr>
        <w:t>CZ-500 11, Hradec Králové 11 - Třebeš</w:t>
      </w:r>
    </w:p>
    <w:p w14:paraId="43D59DDF" w14:textId="2176C8FE" w:rsidR="009E0E3F" w:rsidRDefault="009E0E3F" w:rsidP="009E0E3F">
      <w:pPr>
        <w:spacing w:after="0" w:line="240" w:lineRule="auto"/>
        <w:jc w:val="both"/>
        <w:rPr>
          <w:rFonts w:ascii="PT Sans" w:hAnsi="PT Sans"/>
          <w:color w:val="000000" w:themeColor="text1"/>
          <w:sz w:val="16"/>
          <w:szCs w:val="16"/>
        </w:rPr>
      </w:pPr>
      <w:r w:rsidRPr="009E0E3F">
        <w:rPr>
          <w:rFonts w:ascii="PT Sans" w:hAnsi="PT Sans"/>
          <w:color w:val="000000" w:themeColor="text1"/>
          <w:sz w:val="16"/>
          <w:szCs w:val="16"/>
        </w:rPr>
        <w:t>ČEKIJOS RESPUBLIKA</w:t>
      </w:r>
    </w:p>
    <w:p w14:paraId="65097018" w14:textId="361E2EEC" w:rsidR="009E0E3F" w:rsidRDefault="009E0E3F" w:rsidP="009E0E3F">
      <w:pPr>
        <w:spacing w:after="0" w:line="240" w:lineRule="auto"/>
        <w:jc w:val="both"/>
        <w:rPr>
          <w:rFonts w:ascii="PT Sans" w:hAnsi="PT Sans"/>
          <w:color w:val="000000" w:themeColor="text1"/>
          <w:sz w:val="16"/>
          <w:szCs w:val="16"/>
        </w:rPr>
      </w:pPr>
    </w:p>
    <w:p w14:paraId="6CBE44FF" w14:textId="77777777" w:rsidR="009E0E3F" w:rsidRPr="009E0E3F" w:rsidRDefault="009E0E3F" w:rsidP="009E0E3F">
      <w:pPr>
        <w:spacing w:after="0" w:line="240" w:lineRule="auto"/>
        <w:jc w:val="both"/>
        <w:rPr>
          <w:rFonts w:ascii="PT Sans" w:hAnsi="PT Sans"/>
          <w:b/>
          <w:bCs/>
          <w:color w:val="AA113F"/>
          <w:sz w:val="16"/>
          <w:szCs w:val="16"/>
        </w:rPr>
      </w:pPr>
      <w:r w:rsidRPr="009E0E3F">
        <w:rPr>
          <w:rFonts w:ascii="PT Sans" w:hAnsi="PT Sans"/>
          <w:b/>
          <w:bCs/>
          <w:color w:val="AA113F"/>
          <w:sz w:val="16"/>
          <w:szCs w:val="16"/>
        </w:rPr>
        <w:t>www.generi-biotech.com</w:t>
      </w:r>
    </w:p>
    <w:p w14:paraId="5A69E6F1" w14:textId="0C3A1DF0" w:rsidR="009E0E3F" w:rsidRPr="009E0E3F" w:rsidRDefault="009E0E3F" w:rsidP="009E0E3F">
      <w:pPr>
        <w:spacing w:after="0" w:line="240" w:lineRule="auto"/>
        <w:jc w:val="both"/>
        <w:rPr>
          <w:rFonts w:ascii="PT Sans" w:hAnsi="PT Sans"/>
          <w:color w:val="000000" w:themeColor="text1"/>
          <w:sz w:val="16"/>
          <w:szCs w:val="16"/>
        </w:rPr>
      </w:pPr>
      <w:r>
        <w:rPr>
          <w:rFonts w:ascii="PT Sans" w:hAnsi="PT Sans"/>
          <w:color w:val="000000" w:themeColor="text1"/>
          <w:sz w:val="16"/>
          <w:szCs w:val="16"/>
        </w:rPr>
        <w:t>T</w:t>
      </w:r>
      <w:r w:rsidRPr="009E0E3F">
        <w:rPr>
          <w:rFonts w:ascii="PT Sans" w:hAnsi="PT Sans"/>
          <w:color w:val="000000" w:themeColor="text1"/>
          <w:sz w:val="16"/>
          <w:szCs w:val="16"/>
        </w:rPr>
        <w:t>el.: +420 495 056 314</w:t>
      </w:r>
    </w:p>
    <w:p w14:paraId="2BCD9294" w14:textId="77777777" w:rsidR="009E0E3F" w:rsidRPr="009E0E3F" w:rsidRDefault="009E0E3F" w:rsidP="009E0E3F">
      <w:pPr>
        <w:spacing w:after="0" w:line="240" w:lineRule="auto"/>
        <w:jc w:val="both"/>
        <w:rPr>
          <w:rFonts w:ascii="PT Sans" w:hAnsi="PT Sans"/>
          <w:color w:val="000000" w:themeColor="text1"/>
          <w:sz w:val="16"/>
          <w:szCs w:val="16"/>
        </w:rPr>
      </w:pPr>
      <w:r w:rsidRPr="009E0E3F">
        <w:rPr>
          <w:rFonts w:ascii="PT Sans" w:hAnsi="PT Sans"/>
          <w:color w:val="000000" w:themeColor="text1"/>
          <w:sz w:val="16"/>
          <w:szCs w:val="16"/>
        </w:rPr>
        <w:t xml:space="preserve">paštas: </w:t>
      </w:r>
      <w:r w:rsidRPr="009E0E3F">
        <w:rPr>
          <w:rFonts w:ascii="PT Sans" w:hAnsi="PT Sans"/>
          <w:b/>
          <w:bCs/>
          <w:color w:val="AA113F"/>
          <w:sz w:val="16"/>
          <w:szCs w:val="16"/>
        </w:rPr>
        <w:t>info@generi-biotech.com</w:t>
      </w:r>
    </w:p>
    <w:p w14:paraId="225462AC" w14:textId="5D63FEB7" w:rsidR="00E46441" w:rsidRDefault="009E0E3F" w:rsidP="00E46441">
      <w:pPr>
        <w:spacing w:after="0" w:line="240" w:lineRule="auto"/>
        <w:jc w:val="both"/>
        <w:rPr>
          <w:rFonts w:ascii="PT Sans" w:hAnsi="PT Sans"/>
          <w:b/>
          <w:bCs/>
          <w:color w:val="AA113F"/>
          <w:sz w:val="16"/>
          <w:szCs w:val="16"/>
        </w:rPr>
      </w:pPr>
      <w:r w:rsidRPr="009E0E3F">
        <w:rPr>
          <w:rFonts w:ascii="PT Sans" w:hAnsi="PT Sans"/>
          <w:b/>
          <w:bCs/>
          <w:color w:val="AA113F"/>
          <w:sz w:val="16"/>
          <w:szCs w:val="16"/>
        </w:rPr>
        <w:t>ĮSPĖJIMAI IR ATSARGUMO PRIEMONĖS</w:t>
      </w:r>
    </w:p>
    <w:p w14:paraId="602F8E91" w14:textId="377B2497" w:rsidR="009E0E3F" w:rsidRDefault="009E0E3F" w:rsidP="00E46441">
      <w:pPr>
        <w:spacing w:after="0" w:line="240" w:lineRule="auto"/>
        <w:jc w:val="both"/>
        <w:rPr>
          <w:rFonts w:ascii="PT Sans" w:hAnsi="PT Sans"/>
          <w:b/>
          <w:bCs/>
          <w:sz w:val="16"/>
          <w:szCs w:val="16"/>
        </w:rPr>
      </w:pPr>
      <w:r w:rsidRPr="009E0E3F">
        <w:rPr>
          <w:rFonts w:ascii="PT Sans" w:hAnsi="PT Sans"/>
          <w:b/>
          <w:bCs/>
          <w:sz w:val="16"/>
          <w:szCs w:val="16"/>
        </w:rPr>
        <w:t>Siuntimo ir sandėliavimo sąlygos</w:t>
      </w:r>
    </w:p>
    <w:p w14:paraId="0A37831F" w14:textId="5597AEA3" w:rsidR="009E0E3F" w:rsidRDefault="0084554D" w:rsidP="00E46441">
      <w:pPr>
        <w:spacing w:after="0" w:line="240" w:lineRule="auto"/>
        <w:jc w:val="both"/>
        <w:rPr>
          <w:rFonts w:ascii="PT Sans" w:hAnsi="PT Sans"/>
          <w:sz w:val="16"/>
          <w:szCs w:val="16"/>
        </w:rPr>
      </w:pPr>
      <w:r w:rsidRPr="0084554D">
        <w:rPr>
          <w:rFonts w:ascii="PT Sans" w:hAnsi="PT Sans"/>
          <w:sz w:val="16"/>
          <w:szCs w:val="16"/>
        </w:rPr>
        <w:t xml:space="preserve">Realaus laiko PGR rinkinys siunčiamas </w:t>
      </w:r>
      <w:r>
        <w:rPr>
          <w:rFonts w:ascii="PT Sans" w:hAnsi="PT Sans"/>
          <w:sz w:val="16"/>
          <w:szCs w:val="16"/>
        </w:rPr>
        <w:t>sausame lede</w:t>
      </w:r>
      <w:r w:rsidRPr="0084554D">
        <w:rPr>
          <w:rFonts w:ascii="PT Sans" w:hAnsi="PT Sans"/>
          <w:sz w:val="16"/>
          <w:szCs w:val="16"/>
        </w:rPr>
        <w:t xml:space="preserve"> ir iškart gavus turi būti laikomas žemesnėje nei –20 °C temperatūroje pastovios temperatūros šaldiklyje ir tamsoje (</w:t>
      </w:r>
      <w:r>
        <w:rPr>
          <w:rFonts w:ascii="PT Sans" w:hAnsi="PT Sans"/>
          <w:sz w:val="16"/>
          <w:szCs w:val="16"/>
        </w:rPr>
        <w:t>rinkinys</w:t>
      </w:r>
      <w:r w:rsidRPr="0084554D">
        <w:rPr>
          <w:rFonts w:ascii="PT Sans" w:hAnsi="PT Sans"/>
          <w:sz w:val="16"/>
          <w:szCs w:val="16"/>
        </w:rPr>
        <w:t xml:space="preserve"> yra jautrus šviesai). Laikant tokiomis sąlygomis ir tinkamai naudojant šį produktą galima naudoti</w:t>
      </w:r>
      <w:r>
        <w:rPr>
          <w:rFonts w:ascii="PT Sans" w:hAnsi="PT Sans"/>
          <w:sz w:val="16"/>
          <w:szCs w:val="16"/>
        </w:rPr>
        <w:t xml:space="preserve"> </w:t>
      </w:r>
      <w:r w:rsidRPr="0084554D">
        <w:rPr>
          <w:rFonts w:ascii="PT Sans" w:hAnsi="PT Sans"/>
          <w:sz w:val="16"/>
          <w:szCs w:val="16"/>
        </w:rPr>
        <w:t>iki galiojimo datos (žr. etiketę ant dėžutės ir buteliuko), nesumažinant jo veikimo. Jei numatomas dažnas naudojimas (daugiau nei 5 užšaldymo-atšildymo ciklai), rekomenduojame paruošti atitinkamas alikvotas.</w:t>
      </w:r>
    </w:p>
    <w:p w14:paraId="37138B71" w14:textId="03D93AEE" w:rsidR="0084554D" w:rsidRDefault="0084554D" w:rsidP="00E46441">
      <w:pPr>
        <w:spacing w:after="0" w:line="240" w:lineRule="auto"/>
        <w:jc w:val="both"/>
        <w:rPr>
          <w:rFonts w:ascii="PT Sans" w:hAnsi="PT Sans"/>
          <w:sz w:val="16"/>
          <w:szCs w:val="16"/>
        </w:rPr>
      </w:pPr>
    </w:p>
    <w:p w14:paraId="3FB67DE0" w14:textId="522BBC45" w:rsidR="0084554D" w:rsidRPr="005D2F85" w:rsidRDefault="0084554D" w:rsidP="00E46441">
      <w:pPr>
        <w:spacing w:after="0" w:line="240" w:lineRule="auto"/>
        <w:jc w:val="both"/>
        <w:rPr>
          <w:rFonts w:ascii="PT Sans" w:hAnsi="PT Sans"/>
          <w:b/>
          <w:bCs/>
          <w:sz w:val="16"/>
          <w:szCs w:val="16"/>
        </w:rPr>
      </w:pPr>
      <w:r w:rsidRPr="005D2F85">
        <w:rPr>
          <w:rFonts w:ascii="PT Sans" w:hAnsi="PT Sans"/>
          <w:b/>
          <w:bCs/>
          <w:sz w:val="16"/>
          <w:szCs w:val="16"/>
        </w:rPr>
        <w:t>Saugos priemonės</w:t>
      </w:r>
    </w:p>
    <w:p w14:paraId="72E272CA" w14:textId="17748D5C" w:rsidR="0084554D" w:rsidRDefault="005D2F85" w:rsidP="005D2F85">
      <w:pPr>
        <w:pStyle w:val="ListParagraph"/>
        <w:numPr>
          <w:ilvl w:val="0"/>
          <w:numId w:val="3"/>
        </w:numPr>
        <w:spacing w:after="0" w:line="240" w:lineRule="auto"/>
        <w:ind w:left="426"/>
        <w:jc w:val="both"/>
        <w:rPr>
          <w:rFonts w:ascii="PT Sans" w:hAnsi="PT Sans"/>
          <w:sz w:val="16"/>
          <w:szCs w:val="16"/>
        </w:rPr>
      </w:pPr>
      <w:r w:rsidRPr="005D2F85">
        <w:rPr>
          <w:rFonts w:ascii="PT Sans" w:hAnsi="PT Sans"/>
          <w:sz w:val="16"/>
          <w:szCs w:val="16"/>
        </w:rPr>
        <w:t>Tik profesionaliam naudojimui</w:t>
      </w:r>
      <w:r>
        <w:rPr>
          <w:rFonts w:ascii="PT Sans" w:hAnsi="PT Sans"/>
          <w:sz w:val="16"/>
          <w:szCs w:val="16"/>
        </w:rPr>
        <w:t>.</w:t>
      </w:r>
    </w:p>
    <w:p w14:paraId="507B4423" w14:textId="77777777" w:rsidR="005D2F85" w:rsidRPr="005D2F85" w:rsidRDefault="005D2F85" w:rsidP="005D2F85">
      <w:pPr>
        <w:pStyle w:val="ListParagraph"/>
        <w:numPr>
          <w:ilvl w:val="0"/>
          <w:numId w:val="3"/>
        </w:numPr>
        <w:spacing w:after="0" w:line="240" w:lineRule="auto"/>
        <w:ind w:left="426"/>
        <w:jc w:val="both"/>
        <w:rPr>
          <w:rFonts w:ascii="PT Sans" w:hAnsi="PT Sans"/>
          <w:sz w:val="16"/>
          <w:szCs w:val="16"/>
        </w:rPr>
      </w:pPr>
      <w:r w:rsidRPr="005D2F85">
        <w:rPr>
          <w:rFonts w:ascii="PT Sans" w:hAnsi="PT Sans"/>
          <w:sz w:val="16"/>
          <w:szCs w:val="16"/>
        </w:rPr>
        <w:t>Dirbdami su šiais reagentais visada mūvėkite pirštines ir venkite sąlyčio su oda. Patekus į akis ar odą, nedelsiant praplaukite dideliu kiekiu vandens.</w:t>
      </w:r>
    </w:p>
    <w:p w14:paraId="23F1DD7D" w14:textId="118928A3" w:rsidR="005D2F85" w:rsidRPr="005D2F85" w:rsidRDefault="005D2F85" w:rsidP="005D2F85">
      <w:pPr>
        <w:pStyle w:val="ListParagraph"/>
        <w:numPr>
          <w:ilvl w:val="0"/>
          <w:numId w:val="3"/>
        </w:numPr>
        <w:spacing w:after="0" w:line="240" w:lineRule="auto"/>
        <w:ind w:left="426"/>
        <w:jc w:val="both"/>
        <w:rPr>
          <w:rFonts w:ascii="PT Sans" w:hAnsi="PT Sans"/>
          <w:sz w:val="16"/>
          <w:szCs w:val="16"/>
        </w:rPr>
      </w:pPr>
      <w:r>
        <w:rPr>
          <w:rFonts w:ascii="PT Sans" w:hAnsi="PT Sans"/>
          <w:sz w:val="16"/>
          <w:szCs w:val="16"/>
        </w:rPr>
        <w:t>Dirbant</w:t>
      </w:r>
      <w:r w:rsidRPr="005D2F85">
        <w:rPr>
          <w:rFonts w:ascii="PT Sans" w:hAnsi="PT Sans"/>
          <w:sz w:val="16"/>
          <w:szCs w:val="16"/>
        </w:rPr>
        <w:t xml:space="preserve"> su </w:t>
      </w:r>
      <w:r w:rsidR="001E6370">
        <w:rPr>
          <w:rFonts w:ascii="PT Sans" w:hAnsi="PT Sans"/>
          <w:sz w:val="16"/>
          <w:szCs w:val="16"/>
        </w:rPr>
        <w:t xml:space="preserve">kiekybinės </w:t>
      </w:r>
      <w:r w:rsidRPr="005D2F85">
        <w:rPr>
          <w:rFonts w:ascii="PT Sans" w:hAnsi="PT Sans"/>
          <w:sz w:val="16"/>
          <w:szCs w:val="16"/>
        </w:rPr>
        <w:t>P</w:t>
      </w:r>
      <w:r w:rsidR="0053798C">
        <w:rPr>
          <w:rFonts w:ascii="PT Sans" w:hAnsi="PT Sans"/>
          <w:sz w:val="16"/>
          <w:szCs w:val="16"/>
        </w:rPr>
        <w:t>G</w:t>
      </w:r>
      <w:r w:rsidRPr="005D2F85">
        <w:rPr>
          <w:rFonts w:ascii="PT Sans" w:hAnsi="PT Sans"/>
          <w:sz w:val="16"/>
          <w:szCs w:val="16"/>
        </w:rPr>
        <w:t>R</w:t>
      </w:r>
      <w:r w:rsidR="001E6370">
        <w:rPr>
          <w:rFonts w:ascii="PT Sans" w:hAnsi="PT Sans"/>
          <w:sz w:val="16"/>
          <w:szCs w:val="16"/>
        </w:rPr>
        <w:t xml:space="preserve"> (angl. </w:t>
      </w:r>
      <w:r w:rsidR="001E6370" w:rsidRPr="001E6370">
        <w:rPr>
          <w:rFonts w:ascii="PT Sans" w:hAnsi="PT Sans"/>
          <w:i/>
          <w:iCs/>
          <w:sz w:val="16"/>
          <w:szCs w:val="16"/>
        </w:rPr>
        <w:t>qPCR</w:t>
      </w:r>
      <w:r w:rsidR="001E6370">
        <w:rPr>
          <w:rFonts w:ascii="PT Sans" w:hAnsi="PT Sans"/>
          <w:sz w:val="16"/>
          <w:szCs w:val="16"/>
        </w:rPr>
        <w:t>) reakcijos</w:t>
      </w:r>
      <w:r w:rsidRPr="005D2F85">
        <w:rPr>
          <w:rFonts w:ascii="PT Sans" w:hAnsi="PT Sans"/>
          <w:sz w:val="16"/>
          <w:szCs w:val="16"/>
        </w:rPr>
        <w:t xml:space="preserve"> reagentais draudžiama valgyti, gerti ir rūkyti.</w:t>
      </w:r>
    </w:p>
    <w:p w14:paraId="6D5FC2B5" w14:textId="71A76018" w:rsidR="005D2F85" w:rsidRDefault="005D2F85" w:rsidP="005D2F85">
      <w:pPr>
        <w:pStyle w:val="ListParagraph"/>
        <w:numPr>
          <w:ilvl w:val="0"/>
          <w:numId w:val="3"/>
        </w:numPr>
        <w:spacing w:after="0" w:line="240" w:lineRule="auto"/>
        <w:ind w:left="426"/>
        <w:jc w:val="both"/>
        <w:rPr>
          <w:rFonts w:ascii="PT Sans" w:hAnsi="PT Sans"/>
          <w:sz w:val="16"/>
          <w:szCs w:val="16"/>
        </w:rPr>
      </w:pPr>
      <w:r w:rsidRPr="005D2F85">
        <w:rPr>
          <w:rFonts w:ascii="PT Sans" w:hAnsi="PT Sans"/>
          <w:sz w:val="16"/>
          <w:szCs w:val="16"/>
        </w:rPr>
        <w:t>Naudokite tik automatines mikropipetes.</w:t>
      </w:r>
    </w:p>
    <w:p w14:paraId="3D1E69A3" w14:textId="12285499" w:rsidR="001A213A" w:rsidRDefault="001A213A" w:rsidP="001A213A">
      <w:pPr>
        <w:spacing w:after="0" w:line="240" w:lineRule="auto"/>
        <w:jc w:val="both"/>
        <w:rPr>
          <w:rFonts w:ascii="PT Sans" w:hAnsi="PT Sans"/>
          <w:sz w:val="16"/>
          <w:szCs w:val="16"/>
        </w:rPr>
      </w:pPr>
    </w:p>
    <w:p w14:paraId="304230BF" w14:textId="3EA3B661" w:rsidR="001A213A" w:rsidRPr="001A213A" w:rsidRDefault="001A213A" w:rsidP="001A213A">
      <w:pPr>
        <w:spacing w:after="0" w:line="240" w:lineRule="auto"/>
        <w:jc w:val="both"/>
        <w:rPr>
          <w:rFonts w:ascii="PT Sans" w:hAnsi="PT Sans"/>
          <w:b/>
          <w:bCs/>
          <w:sz w:val="16"/>
          <w:szCs w:val="16"/>
        </w:rPr>
      </w:pPr>
      <w:r w:rsidRPr="001A213A">
        <w:rPr>
          <w:rFonts w:ascii="PT Sans" w:hAnsi="PT Sans"/>
          <w:b/>
          <w:bCs/>
          <w:sz w:val="16"/>
          <w:szCs w:val="16"/>
        </w:rPr>
        <w:t>Techninės atsargumo priemonės</w:t>
      </w:r>
    </w:p>
    <w:p w14:paraId="6ED7D0D3" w14:textId="77777777" w:rsidR="001A213A" w:rsidRPr="001A213A" w:rsidRDefault="001A213A" w:rsidP="001A213A">
      <w:pPr>
        <w:pStyle w:val="ListParagraph"/>
        <w:numPr>
          <w:ilvl w:val="0"/>
          <w:numId w:val="4"/>
        </w:numPr>
        <w:spacing w:after="0" w:line="240" w:lineRule="auto"/>
        <w:ind w:left="426"/>
        <w:jc w:val="both"/>
        <w:rPr>
          <w:rFonts w:ascii="PT Sans" w:hAnsi="PT Sans"/>
          <w:sz w:val="16"/>
          <w:szCs w:val="16"/>
        </w:rPr>
      </w:pPr>
      <w:r w:rsidRPr="001A213A">
        <w:rPr>
          <w:rFonts w:ascii="PT Sans" w:hAnsi="PT Sans"/>
          <w:sz w:val="16"/>
          <w:szCs w:val="16"/>
        </w:rPr>
        <w:t>Prieš pradėdami, iki galo ir atidžiai perskaitykite instrukcijas (naudokite galiojančią versiją). Įsitikinkite, kad visa ten parašyta informacija suprantama.</w:t>
      </w:r>
    </w:p>
    <w:p w14:paraId="68731A52" w14:textId="77777777" w:rsidR="001A213A" w:rsidRPr="001A213A" w:rsidRDefault="001A213A" w:rsidP="001A213A">
      <w:pPr>
        <w:pStyle w:val="ListParagraph"/>
        <w:numPr>
          <w:ilvl w:val="0"/>
          <w:numId w:val="4"/>
        </w:numPr>
        <w:spacing w:after="0" w:line="240" w:lineRule="auto"/>
        <w:ind w:left="426"/>
        <w:jc w:val="both"/>
        <w:rPr>
          <w:rFonts w:ascii="PT Sans" w:hAnsi="PT Sans"/>
          <w:sz w:val="16"/>
          <w:szCs w:val="16"/>
        </w:rPr>
      </w:pPr>
      <w:r w:rsidRPr="001A213A">
        <w:rPr>
          <w:rFonts w:ascii="PT Sans" w:hAnsi="PT Sans"/>
          <w:sz w:val="16"/>
          <w:szCs w:val="16"/>
        </w:rPr>
        <w:t>Netinkamas tvarkymas arba darbo tvarkos pakeitimai gali turėti įtakos rezultatams. Todėl griežtai laikykitės pipetės tūrio, inkubacijos laiko ir temperatūros pagal instrukcijas.</w:t>
      </w:r>
    </w:p>
    <w:p w14:paraId="22C5BCBE" w14:textId="77777777" w:rsidR="001A213A" w:rsidRPr="001A213A" w:rsidRDefault="001A213A" w:rsidP="001A213A">
      <w:pPr>
        <w:pStyle w:val="ListParagraph"/>
        <w:numPr>
          <w:ilvl w:val="0"/>
          <w:numId w:val="4"/>
        </w:numPr>
        <w:spacing w:after="0" w:line="240" w:lineRule="auto"/>
        <w:ind w:left="426"/>
        <w:jc w:val="both"/>
        <w:rPr>
          <w:rFonts w:ascii="PT Sans" w:hAnsi="PT Sans"/>
          <w:sz w:val="16"/>
          <w:szCs w:val="16"/>
        </w:rPr>
      </w:pPr>
      <w:r w:rsidRPr="001A213A">
        <w:rPr>
          <w:rFonts w:ascii="PT Sans" w:hAnsi="PT Sans"/>
          <w:sz w:val="16"/>
          <w:szCs w:val="16"/>
        </w:rPr>
        <w:t>Laikykitės galiojimo datos, nenaudokite pasibaigusio galiojimo reagentų.</w:t>
      </w:r>
    </w:p>
    <w:p w14:paraId="16E68FA8" w14:textId="77777777" w:rsidR="001A213A" w:rsidRPr="001A213A" w:rsidRDefault="001A213A" w:rsidP="001A213A">
      <w:pPr>
        <w:pStyle w:val="ListParagraph"/>
        <w:numPr>
          <w:ilvl w:val="0"/>
          <w:numId w:val="4"/>
        </w:numPr>
        <w:spacing w:after="0" w:line="240" w:lineRule="auto"/>
        <w:ind w:left="426"/>
        <w:jc w:val="both"/>
        <w:rPr>
          <w:rFonts w:ascii="PT Sans" w:hAnsi="PT Sans"/>
          <w:sz w:val="16"/>
          <w:szCs w:val="16"/>
        </w:rPr>
      </w:pPr>
      <w:r w:rsidRPr="001A213A">
        <w:rPr>
          <w:rFonts w:ascii="PT Sans" w:hAnsi="PT Sans"/>
          <w:sz w:val="16"/>
          <w:szCs w:val="16"/>
        </w:rPr>
        <w:t>Jei pakuotė pažeista, nedelsdami kreipkitės į gamintoją. Nenaudokite sugadintų komponentų, bet saugokite juos dėl problemų, susijusių su skundais.</w:t>
      </w:r>
    </w:p>
    <w:p w14:paraId="2621D036" w14:textId="77777777" w:rsidR="001A213A" w:rsidRPr="001A213A" w:rsidRDefault="001A213A" w:rsidP="001A213A">
      <w:pPr>
        <w:pStyle w:val="ListParagraph"/>
        <w:numPr>
          <w:ilvl w:val="0"/>
          <w:numId w:val="4"/>
        </w:numPr>
        <w:spacing w:after="0" w:line="240" w:lineRule="auto"/>
        <w:ind w:left="426"/>
        <w:jc w:val="both"/>
        <w:rPr>
          <w:rFonts w:ascii="PT Sans" w:hAnsi="PT Sans"/>
          <w:sz w:val="16"/>
          <w:szCs w:val="16"/>
        </w:rPr>
      </w:pPr>
      <w:r w:rsidRPr="001A213A">
        <w:rPr>
          <w:rFonts w:ascii="PT Sans" w:hAnsi="PT Sans"/>
          <w:sz w:val="16"/>
          <w:szCs w:val="16"/>
        </w:rPr>
        <w:t>Naudokite dejonizuotą vandenį (įtrauktą).</w:t>
      </w:r>
    </w:p>
    <w:p w14:paraId="7A3D7996" w14:textId="77777777" w:rsidR="001A213A" w:rsidRPr="001A213A" w:rsidRDefault="001A213A" w:rsidP="001A213A">
      <w:pPr>
        <w:pStyle w:val="ListParagraph"/>
        <w:numPr>
          <w:ilvl w:val="0"/>
          <w:numId w:val="4"/>
        </w:numPr>
        <w:spacing w:after="0" w:line="240" w:lineRule="auto"/>
        <w:ind w:left="426"/>
        <w:jc w:val="both"/>
        <w:rPr>
          <w:rFonts w:ascii="PT Sans" w:hAnsi="PT Sans"/>
          <w:sz w:val="16"/>
          <w:szCs w:val="16"/>
        </w:rPr>
      </w:pPr>
      <w:r w:rsidRPr="001A213A">
        <w:rPr>
          <w:rFonts w:ascii="PT Sans" w:hAnsi="PT Sans"/>
          <w:sz w:val="16"/>
          <w:szCs w:val="16"/>
        </w:rPr>
        <w:t>Paruošti arba panaudoti reagentai turi būti apdorojami pagal nacionalines saugos gaires arba taisykles.</w:t>
      </w:r>
    </w:p>
    <w:p w14:paraId="29987730" w14:textId="2D58D3D0" w:rsidR="001A213A" w:rsidRDefault="001A213A" w:rsidP="001A213A">
      <w:pPr>
        <w:pStyle w:val="ListParagraph"/>
        <w:numPr>
          <w:ilvl w:val="0"/>
          <w:numId w:val="4"/>
        </w:numPr>
        <w:spacing w:after="0" w:line="240" w:lineRule="auto"/>
        <w:ind w:left="426"/>
        <w:jc w:val="both"/>
        <w:rPr>
          <w:rFonts w:ascii="PT Sans" w:hAnsi="PT Sans"/>
          <w:sz w:val="16"/>
          <w:szCs w:val="16"/>
        </w:rPr>
      </w:pPr>
      <w:r w:rsidRPr="001A213A">
        <w:rPr>
          <w:rFonts w:ascii="PT Sans" w:hAnsi="PT Sans"/>
          <w:sz w:val="16"/>
          <w:szCs w:val="16"/>
        </w:rPr>
        <w:t>Naudokite kalibruotas pipetes ir instrumentus.</w:t>
      </w:r>
    </w:p>
    <w:p w14:paraId="43C2AAE7" w14:textId="320AB176" w:rsidR="001A213A" w:rsidRDefault="001A213A" w:rsidP="001A213A">
      <w:pPr>
        <w:spacing w:after="0" w:line="240" w:lineRule="auto"/>
        <w:jc w:val="both"/>
        <w:rPr>
          <w:rFonts w:ascii="PT Sans" w:hAnsi="PT Sans"/>
          <w:sz w:val="16"/>
          <w:szCs w:val="16"/>
        </w:rPr>
      </w:pPr>
    </w:p>
    <w:p w14:paraId="5F46D1F5" w14:textId="12B0015E" w:rsidR="001A213A" w:rsidRPr="00ED405B" w:rsidRDefault="00ED405B" w:rsidP="001A213A">
      <w:pPr>
        <w:spacing w:after="0" w:line="240" w:lineRule="auto"/>
        <w:jc w:val="both"/>
        <w:rPr>
          <w:rFonts w:ascii="PT Sans" w:hAnsi="PT Sans"/>
          <w:b/>
          <w:bCs/>
          <w:sz w:val="16"/>
          <w:szCs w:val="16"/>
        </w:rPr>
      </w:pPr>
      <w:r w:rsidRPr="00ED405B">
        <w:rPr>
          <w:rFonts w:ascii="PT Sans" w:hAnsi="PT Sans"/>
          <w:b/>
          <w:bCs/>
          <w:sz w:val="16"/>
          <w:szCs w:val="16"/>
        </w:rPr>
        <w:t>Užteršimo prevencija</w:t>
      </w:r>
    </w:p>
    <w:p w14:paraId="6D5F2029" w14:textId="77777777" w:rsidR="00ED405B" w:rsidRPr="00ED405B" w:rsidRDefault="00ED405B" w:rsidP="00ED405B">
      <w:pPr>
        <w:spacing w:after="0" w:line="240" w:lineRule="auto"/>
        <w:jc w:val="both"/>
        <w:rPr>
          <w:rFonts w:ascii="PT Sans" w:hAnsi="PT Sans"/>
          <w:sz w:val="16"/>
          <w:szCs w:val="16"/>
        </w:rPr>
      </w:pPr>
      <w:r w:rsidRPr="00ED405B">
        <w:rPr>
          <w:rFonts w:ascii="PT Sans" w:hAnsi="PT Sans"/>
          <w:sz w:val="16"/>
          <w:szCs w:val="16"/>
        </w:rPr>
        <w:t>Laikykitės šių rekomendacijų:</w:t>
      </w:r>
    </w:p>
    <w:p w14:paraId="6D973FEC" w14:textId="2FF8F373" w:rsidR="00ED405B" w:rsidRDefault="00ED405B" w:rsidP="00ED405B">
      <w:pPr>
        <w:pStyle w:val="ListParagraph"/>
        <w:numPr>
          <w:ilvl w:val="0"/>
          <w:numId w:val="5"/>
        </w:numPr>
        <w:spacing w:after="0" w:line="240" w:lineRule="auto"/>
        <w:ind w:left="426"/>
        <w:jc w:val="both"/>
        <w:rPr>
          <w:rFonts w:ascii="PT Sans" w:hAnsi="PT Sans"/>
          <w:sz w:val="16"/>
          <w:szCs w:val="16"/>
        </w:rPr>
      </w:pPr>
      <w:r w:rsidRPr="00ED405B">
        <w:rPr>
          <w:rFonts w:ascii="PT Sans" w:hAnsi="PT Sans"/>
          <w:sz w:val="16"/>
          <w:szCs w:val="16"/>
        </w:rPr>
        <w:t xml:space="preserve">Ruošdami </w:t>
      </w:r>
      <w:r>
        <w:rPr>
          <w:rFonts w:ascii="PT Sans" w:hAnsi="PT Sans"/>
          <w:sz w:val="16"/>
          <w:szCs w:val="16"/>
        </w:rPr>
        <w:t xml:space="preserve">PGR </w:t>
      </w:r>
      <w:r w:rsidRPr="00ED405B">
        <w:rPr>
          <w:rFonts w:ascii="PT Sans" w:hAnsi="PT Sans"/>
          <w:sz w:val="16"/>
          <w:szCs w:val="16"/>
        </w:rPr>
        <w:t>mišinius, dėvėkite švarų laboratorinį chalatą ir vienkartines pirštines (anksčiau nedėvė</w:t>
      </w:r>
      <w:r>
        <w:rPr>
          <w:rFonts w:ascii="PT Sans" w:hAnsi="PT Sans"/>
          <w:sz w:val="16"/>
          <w:szCs w:val="16"/>
        </w:rPr>
        <w:t>ta</w:t>
      </w:r>
      <w:r w:rsidRPr="00ED405B">
        <w:rPr>
          <w:rFonts w:ascii="PT Sans" w:hAnsi="PT Sans"/>
          <w:sz w:val="16"/>
          <w:szCs w:val="16"/>
        </w:rPr>
        <w:t xml:space="preserve"> ruošiant mėginį).</w:t>
      </w:r>
    </w:p>
    <w:p w14:paraId="0D890FED" w14:textId="77777777" w:rsidR="00ED405B" w:rsidRDefault="00ED405B" w:rsidP="00ED405B">
      <w:pPr>
        <w:pStyle w:val="ListParagraph"/>
        <w:numPr>
          <w:ilvl w:val="0"/>
          <w:numId w:val="5"/>
        </w:numPr>
        <w:spacing w:after="0" w:line="240" w:lineRule="auto"/>
        <w:ind w:left="426"/>
        <w:jc w:val="both"/>
        <w:rPr>
          <w:rFonts w:ascii="PT Sans" w:hAnsi="PT Sans"/>
          <w:sz w:val="16"/>
          <w:szCs w:val="16"/>
        </w:rPr>
      </w:pPr>
      <w:r w:rsidRPr="00ED405B">
        <w:rPr>
          <w:rFonts w:ascii="PT Sans" w:hAnsi="PT Sans"/>
          <w:sz w:val="16"/>
          <w:szCs w:val="16"/>
        </w:rPr>
        <w:lastRenderedPageBreak/>
        <w:t>Pakeiskite pirštines, kai įtariate, kad jos užterštos.</w:t>
      </w:r>
    </w:p>
    <w:p w14:paraId="77612605" w14:textId="77777777" w:rsidR="00ED405B" w:rsidRDefault="00ED405B" w:rsidP="00ED405B">
      <w:pPr>
        <w:pStyle w:val="ListParagraph"/>
        <w:numPr>
          <w:ilvl w:val="0"/>
          <w:numId w:val="5"/>
        </w:numPr>
        <w:spacing w:after="0" w:line="240" w:lineRule="auto"/>
        <w:ind w:left="426"/>
        <w:jc w:val="both"/>
        <w:rPr>
          <w:rFonts w:ascii="PT Sans" w:hAnsi="PT Sans"/>
          <w:sz w:val="16"/>
          <w:szCs w:val="16"/>
        </w:rPr>
      </w:pPr>
      <w:r w:rsidRPr="00ED405B">
        <w:rPr>
          <w:rFonts w:ascii="PT Sans" w:hAnsi="PT Sans"/>
          <w:sz w:val="16"/>
          <w:szCs w:val="16"/>
        </w:rPr>
        <w:t>Išlaikykite atskiras zonas, specialią įrangą ir reikmenis mėginiams paruošti ir PGR nustatymui.</w:t>
      </w:r>
    </w:p>
    <w:p w14:paraId="7665919C" w14:textId="77777777" w:rsidR="00ED405B" w:rsidRDefault="00ED405B" w:rsidP="00ED405B">
      <w:pPr>
        <w:pStyle w:val="ListParagraph"/>
        <w:numPr>
          <w:ilvl w:val="0"/>
          <w:numId w:val="5"/>
        </w:numPr>
        <w:spacing w:after="0" w:line="240" w:lineRule="auto"/>
        <w:ind w:left="426"/>
        <w:jc w:val="both"/>
        <w:rPr>
          <w:rFonts w:ascii="PT Sans" w:hAnsi="PT Sans"/>
          <w:sz w:val="16"/>
          <w:szCs w:val="16"/>
        </w:rPr>
      </w:pPr>
      <w:r w:rsidRPr="00ED405B">
        <w:rPr>
          <w:rFonts w:ascii="PT Sans" w:hAnsi="PT Sans"/>
          <w:sz w:val="16"/>
          <w:szCs w:val="16"/>
        </w:rPr>
        <w:t>Niekada neatidarykite amplifikuotų PGR produktų PGR nustatymo srityje.</w:t>
      </w:r>
    </w:p>
    <w:p w14:paraId="558EADE2" w14:textId="77777777" w:rsidR="00ED405B" w:rsidRDefault="00ED405B" w:rsidP="00ED405B">
      <w:pPr>
        <w:pStyle w:val="ListParagraph"/>
        <w:numPr>
          <w:ilvl w:val="0"/>
          <w:numId w:val="5"/>
        </w:numPr>
        <w:spacing w:after="0" w:line="240" w:lineRule="auto"/>
        <w:ind w:left="426"/>
        <w:jc w:val="both"/>
        <w:rPr>
          <w:rFonts w:ascii="PT Sans" w:hAnsi="PT Sans"/>
          <w:sz w:val="16"/>
          <w:szCs w:val="16"/>
        </w:rPr>
      </w:pPr>
      <w:r w:rsidRPr="00ED405B">
        <w:rPr>
          <w:rFonts w:ascii="PT Sans" w:hAnsi="PT Sans"/>
          <w:sz w:val="16"/>
          <w:szCs w:val="16"/>
        </w:rPr>
        <w:t>Reakcijų mišinius ir jų komponentus laikykite kiek įmanoma uždarytus.</w:t>
      </w:r>
    </w:p>
    <w:p w14:paraId="0531364A" w14:textId="7CA049BB" w:rsidR="00ED405B" w:rsidRDefault="00ED405B" w:rsidP="00ED405B">
      <w:pPr>
        <w:pStyle w:val="ListParagraph"/>
        <w:numPr>
          <w:ilvl w:val="0"/>
          <w:numId w:val="5"/>
        </w:numPr>
        <w:spacing w:after="0" w:line="240" w:lineRule="auto"/>
        <w:ind w:left="426"/>
        <w:jc w:val="both"/>
        <w:rPr>
          <w:rFonts w:ascii="PT Sans" w:hAnsi="PT Sans"/>
          <w:sz w:val="16"/>
          <w:szCs w:val="16"/>
        </w:rPr>
      </w:pPr>
      <w:r w:rsidRPr="00ED405B">
        <w:rPr>
          <w:rFonts w:ascii="PT Sans" w:hAnsi="PT Sans"/>
          <w:sz w:val="16"/>
          <w:szCs w:val="16"/>
        </w:rPr>
        <w:t>Naudokite vienkartinius pipetės antgalius su filtrais, kad sumažintumėte kryžminį užteršimą.</w:t>
      </w:r>
    </w:p>
    <w:p w14:paraId="2C398BA9" w14:textId="3C516FB1" w:rsidR="00ED405B" w:rsidRDefault="00ED405B" w:rsidP="00ED405B">
      <w:pPr>
        <w:spacing w:after="0" w:line="240" w:lineRule="auto"/>
        <w:jc w:val="both"/>
        <w:rPr>
          <w:rFonts w:ascii="PT Sans" w:hAnsi="PT Sans"/>
          <w:sz w:val="16"/>
          <w:szCs w:val="16"/>
        </w:rPr>
      </w:pPr>
    </w:p>
    <w:p w14:paraId="1B369D30" w14:textId="193903A5" w:rsidR="00ED405B" w:rsidRDefault="00ED405B" w:rsidP="00ED405B">
      <w:pPr>
        <w:spacing w:after="0" w:line="240" w:lineRule="auto"/>
        <w:jc w:val="both"/>
        <w:rPr>
          <w:rFonts w:ascii="PT Sans" w:hAnsi="PT Sans"/>
          <w:sz w:val="16"/>
          <w:szCs w:val="16"/>
        </w:rPr>
      </w:pPr>
    </w:p>
    <w:p w14:paraId="3B4D962D" w14:textId="63C410E3" w:rsidR="00ED405B" w:rsidRDefault="00ED405B" w:rsidP="00ED405B">
      <w:pPr>
        <w:spacing w:after="0" w:line="240" w:lineRule="auto"/>
        <w:jc w:val="both"/>
        <w:rPr>
          <w:rFonts w:ascii="PT Sans" w:hAnsi="PT Sans"/>
          <w:sz w:val="16"/>
          <w:szCs w:val="16"/>
        </w:rPr>
      </w:pPr>
    </w:p>
    <w:p w14:paraId="73C8CB4C" w14:textId="1D32805E" w:rsidR="00FB28AB" w:rsidRDefault="005458DC" w:rsidP="00ED405B">
      <w:pPr>
        <w:spacing w:after="0" w:line="240" w:lineRule="auto"/>
        <w:jc w:val="both"/>
        <w:rPr>
          <w:rFonts w:ascii="PT Sans" w:hAnsi="PT Sans"/>
          <w:b/>
          <w:bCs/>
          <w:color w:val="AA113F"/>
          <w:sz w:val="16"/>
          <w:szCs w:val="16"/>
        </w:rPr>
      </w:pPr>
      <w:r w:rsidRPr="005458DC">
        <w:rPr>
          <w:rFonts w:ascii="PT Sans" w:hAnsi="PT Sans"/>
          <w:b/>
          <w:bCs/>
          <w:color w:val="AA113F"/>
          <w:sz w:val="16"/>
          <w:szCs w:val="16"/>
        </w:rPr>
        <w:t>TIKSLAS IR TURINYS</w:t>
      </w:r>
    </w:p>
    <w:p w14:paraId="21A82270" w14:textId="77777777" w:rsidR="005458DC" w:rsidRPr="005458DC" w:rsidRDefault="005458DC" w:rsidP="005458DC">
      <w:pPr>
        <w:spacing w:after="0" w:line="240" w:lineRule="auto"/>
        <w:jc w:val="both"/>
        <w:rPr>
          <w:rFonts w:ascii="PT Sans" w:hAnsi="PT Sans"/>
          <w:b/>
          <w:bCs/>
          <w:sz w:val="16"/>
          <w:szCs w:val="16"/>
        </w:rPr>
      </w:pPr>
      <w:r w:rsidRPr="005458DC">
        <w:rPr>
          <w:rFonts w:ascii="PT Sans" w:hAnsi="PT Sans"/>
          <w:b/>
          <w:bCs/>
          <w:sz w:val="16"/>
          <w:szCs w:val="16"/>
        </w:rPr>
        <w:t>Prekės paskirtis</w:t>
      </w:r>
    </w:p>
    <w:p w14:paraId="3573455B" w14:textId="23F96A29" w:rsidR="005458DC" w:rsidRDefault="005458DC" w:rsidP="005458DC">
      <w:pPr>
        <w:spacing w:after="0" w:line="240" w:lineRule="auto"/>
        <w:jc w:val="both"/>
        <w:rPr>
          <w:rFonts w:ascii="PT Sans" w:hAnsi="PT Sans"/>
          <w:sz w:val="16"/>
          <w:szCs w:val="16"/>
        </w:rPr>
      </w:pPr>
      <w:r w:rsidRPr="005458DC">
        <w:rPr>
          <w:rFonts w:ascii="PT Sans" w:hAnsi="PT Sans"/>
          <w:sz w:val="16"/>
          <w:szCs w:val="16"/>
        </w:rPr>
        <w:t xml:space="preserve">Rinkinys skirtas žmogaus genominėje DNR geno UGT1A1 polimorfizmui TA (alelis 7TA) aptikti realaus laiko PGR metodu. Naudoti </w:t>
      </w:r>
      <w:r w:rsidRPr="005458DC">
        <w:rPr>
          <w:rFonts w:ascii="PT Sans" w:hAnsi="PT Sans"/>
          <w:i/>
          <w:iCs/>
          <w:sz w:val="16"/>
          <w:szCs w:val="16"/>
        </w:rPr>
        <w:t>in vitro</w:t>
      </w:r>
      <w:r w:rsidRPr="005458DC">
        <w:rPr>
          <w:rFonts w:ascii="PT Sans" w:hAnsi="PT Sans"/>
          <w:sz w:val="16"/>
          <w:szCs w:val="16"/>
        </w:rPr>
        <w:t xml:space="preserve"> diagnostikai.</w:t>
      </w:r>
    </w:p>
    <w:p w14:paraId="326A671C" w14:textId="37026A33" w:rsidR="005458DC" w:rsidRDefault="005458DC" w:rsidP="005458DC">
      <w:pPr>
        <w:spacing w:after="0" w:line="240" w:lineRule="auto"/>
        <w:jc w:val="both"/>
        <w:rPr>
          <w:rFonts w:ascii="PT Sans" w:hAnsi="PT Sans"/>
          <w:sz w:val="16"/>
          <w:szCs w:val="16"/>
        </w:rPr>
      </w:pPr>
    </w:p>
    <w:p w14:paraId="0DB52428" w14:textId="1F534D1A" w:rsidR="002622CB" w:rsidRPr="002622CB" w:rsidRDefault="002622CB" w:rsidP="002622CB">
      <w:pPr>
        <w:spacing w:after="0" w:line="240" w:lineRule="auto"/>
        <w:jc w:val="both"/>
        <w:rPr>
          <w:rFonts w:ascii="PT Sans" w:hAnsi="PT Sans"/>
          <w:b/>
          <w:bCs/>
          <w:sz w:val="16"/>
          <w:szCs w:val="16"/>
        </w:rPr>
      </w:pPr>
      <w:r w:rsidRPr="002622CB">
        <w:rPr>
          <w:rFonts w:ascii="PT Sans" w:hAnsi="PT Sans"/>
          <w:b/>
          <w:bCs/>
          <w:sz w:val="16"/>
          <w:szCs w:val="16"/>
        </w:rPr>
        <w:t>Tyrimo principas</w:t>
      </w:r>
    </w:p>
    <w:p w14:paraId="72B0F5E0" w14:textId="61F78C1E" w:rsidR="005458DC" w:rsidRDefault="002622CB" w:rsidP="002622CB">
      <w:pPr>
        <w:spacing w:after="0" w:line="240" w:lineRule="auto"/>
        <w:jc w:val="both"/>
        <w:rPr>
          <w:rFonts w:ascii="PT Sans" w:hAnsi="PT Sans"/>
          <w:sz w:val="16"/>
          <w:szCs w:val="16"/>
        </w:rPr>
      </w:pPr>
      <w:r w:rsidRPr="002622CB">
        <w:rPr>
          <w:rFonts w:ascii="PT Sans" w:hAnsi="PT Sans"/>
          <w:sz w:val="16"/>
          <w:szCs w:val="16"/>
        </w:rPr>
        <w:t>Rinkinys pagrįstas polimerazės grandinine reakcija (PGR) su lydymosi kreivių analize naudojant fluorescenciniu būdu pažymėtą zondą. Rinkinyje yra visi komponentai, reikalingi analizei.</w:t>
      </w:r>
    </w:p>
    <w:p w14:paraId="70C751CF" w14:textId="299A5628" w:rsidR="004C7456" w:rsidRDefault="004C7456" w:rsidP="002622CB">
      <w:pPr>
        <w:spacing w:after="0" w:line="240" w:lineRule="auto"/>
        <w:jc w:val="both"/>
        <w:rPr>
          <w:rFonts w:ascii="PT Sans" w:hAnsi="PT Sans"/>
          <w:sz w:val="16"/>
          <w:szCs w:val="16"/>
        </w:rPr>
      </w:pPr>
    </w:p>
    <w:p w14:paraId="20E7FBFF" w14:textId="25098951" w:rsidR="004C7456" w:rsidRPr="002F70A4" w:rsidRDefault="004C7456" w:rsidP="002622CB">
      <w:pPr>
        <w:spacing w:after="0" w:line="240" w:lineRule="auto"/>
        <w:jc w:val="both"/>
        <w:rPr>
          <w:rFonts w:ascii="PT Sans" w:hAnsi="PT Sans"/>
          <w:b/>
          <w:bCs/>
          <w:sz w:val="16"/>
          <w:szCs w:val="16"/>
        </w:rPr>
      </w:pPr>
      <w:r w:rsidRPr="002F70A4">
        <w:rPr>
          <w:rFonts w:ascii="PT Sans" w:hAnsi="PT Sans"/>
          <w:b/>
          <w:bCs/>
          <w:sz w:val="16"/>
          <w:szCs w:val="16"/>
        </w:rPr>
        <w:t>Turinys</w:t>
      </w:r>
    </w:p>
    <w:tbl>
      <w:tblPr>
        <w:tblStyle w:val="TableGrid"/>
        <w:tblW w:w="4668" w:type="dxa"/>
        <w:tblLayout w:type="fixed"/>
        <w:tblLook w:val="04A0" w:firstRow="1" w:lastRow="0" w:firstColumn="1" w:lastColumn="0" w:noHBand="0" w:noVBand="1"/>
      </w:tblPr>
      <w:tblGrid>
        <w:gridCol w:w="279"/>
        <w:gridCol w:w="137"/>
        <w:gridCol w:w="1134"/>
        <w:gridCol w:w="713"/>
        <w:gridCol w:w="1276"/>
        <w:gridCol w:w="1129"/>
      </w:tblGrid>
      <w:tr w:rsidR="008C49B3" w14:paraId="17BEA0AB" w14:textId="77777777" w:rsidTr="008C49B3">
        <w:tc>
          <w:tcPr>
            <w:tcW w:w="416" w:type="dxa"/>
            <w:gridSpan w:val="2"/>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00525B57" w14:textId="1ECAC3DE" w:rsidR="008C49B3" w:rsidRPr="00B75647" w:rsidRDefault="008C49B3" w:rsidP="00B75647">
            <w:pPr>
              <w:jc w:val="center"/>
              <w:rPr>
                <w:rFonts w:ascii="PT Sans" w:hAnsi="PT Sans"/>
                <w:b/>
                <w:bCs/>
                <w:color w:val="AA113F"/>
                <w:sz w:val="16"/>
                <w:szCs w:val="16"/>
              </w:rPr>
            </w:pPr>
            <w:r w:rsidRPr="00B75647">
              <w:rPr>
                <w:rFonts w:ascii="PT Sans" w:hAnsi="PT Sans"/>
                <w:b/>
                <w:bCs/>
                <w:color w:val="AA113F"/>
                <w:sz w:val="16"/>
                <w:szCs w:val="16"/>
              </w:rPr>
              <w:t xml:space="preserve">** </w:t>
            </w:r>
          </w:p>
        </w:tc>
        <w:tc>
          <w:tcPr>
            <w:tcW w:w="1134" w:type="dxa"/>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43FDCE3B" w14:textId="35873360" w:rsidR="008C49B3" w:rsidRPr="00B75647" w:rsidRDefault="008C49B3" w:rsidP="008C49B3">
            <w:pPr>
              <w:rPr>
                <w:rFonts w:ascii="PT Sans" w:hAnsi="PT Sans"/>
                <w:b/>
                <w:bCs/>
                <w:color w:val="AA113F"/>
                <w:sz w:val="16"/>
                <w:szCs w:val="16"/>
              </w:rPr>
            </w:pPr>
            <w:r w:rsidRPr="00B75647">
              <w:rPr>
                <w:rFonts w:ascii="PT Sans" w:hAnsi="PT Sans"/>
                <w:b/>
                <w:bCs/>
                <w:color w:val="AA113F"/>
                <w:sz w:val="16"/>
                <w:szCs w:val="16"/>
              </w:rPr>
              <w:t>Aprašymas</w:t>
            </w:r>
          </w:p>
        </w:tc>
        <w:tc>
          <w:tcPr>
            <w:tcW w:w="713" w:type="dxa"/>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7ADD75E3" w14:textId="6EEF37D1" w:rsidR="008C49B3" w:rsidRPr="00B75647" w:rsidRDefault="008C49B3" w:rsidP="00B75647">
            <w:pPr>
              <w:jc w:val="center"/>
              <w:rPr>
                <w:rFonts w:ascii="PT Sans" w:hAnsi="PT Sans"/>
                <w:b/>
                <w:bCs/>
                <w:color w:val="AA113F"/>
                <w:sz w:val="16"/>
                <w:szCs w:val="16"/>
              </w:rPr>
            </w:pPr>
            <w:r w:rsidRPr="00B75647">
              <w:rPr>
                <w:rFonts w:ascii="PT Sans" w:hAnsi="PT Sans"/>
                <w:b/>
                <w:bCs/>
                <w:color w:val="AA113F"/>
                <w:sz w:val="16"/>
                <w:szCs w:val="16"/>
              </w:rPr>
              <w:t>Kiekis</w:t>
            </w:r>
          </w:p>
        </w:tc>
        <w:tc>
          <w:tcPr>
            <w:tcW w:w="1276" w:type="dxa"/>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1D00781C" w14:textId="6BE42D81" w:rsidR="008C49B3" w:rsidRPr="00B75647" w:rsidRDefault="008C49B3" w:rsidP="00B75647">
            <w:pPr>
              <w:jc w:val="center"/>
              <w:rPr>
                <w:rFonts w:ascii="PT Sans" w:hAnsi="PT Sans"/>
                <w:b/>
                <w:bCs/>
                <w:color w:val="AA113F"/>
                <w:sz w:val="16"/>
                <w:szCs w:val="16"/>
              </w:rPr>
            </w:pPr>
            <w:r w:rsidRPr="00B75647">
              <w:rPr>
                <w:rFonts w:ascii="PT Sans" w:hAnsi="PT Sans"/>
                <w:b/>
                <w:bCs/>
                <w:color w:val="AA113F"/>
                <w:sz w:val="16"/>
                <w:szCs w:val="16"/>
              </w:rPr>
              <w:t>Koncentracija</w:t>
            </w:r>
          </w:p>
        </w:tc>
        <w:tc>
          <w:tcPr>
            <w:tcW w:w="1129" w:type="dxa"/>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360C7A5A" w14:textId="209B2784" w:rsidR="008C49B3" w:rsidRPr="00B75647" w:rsidRDefault="008C49B3" w:rsidP="00B75647">
            <w:pPr>
              <w:jc w:val="center"/>
              <w:rPr>
                <w:rFonts w:ascii="PT Sans" w:hAnsi="PT Sans"/>
                <w:b/>
                <w:bCs/>
                <w:color w:val="AA113F"/>
                <w:sz w:val="16"/>
                <w:szCs w:val="16"/>
              </w:rPr>
            </w:pPr>
            <w:r w:rsidRPr="00B75647">
              <w:rPr>
                <w:rFonts w:ascii="PT Sans" w:hAnsi="PT Sans"/>
                <w:b/>
                <w:bCs/>
                <w:color w:val="AA113F"/>
                <w:sz w:val="16"/>
                <w:szCs w:val="16"/>
              </w:rPr>
              <w:t>Tikslas</w:t>
            </w:r>
          </w:p>
        </w:tc>
      </w:tr>
      <w:tr w:rsidR="008C49B3" w14:paraId="00D20689" w14:textId="77777777" w:rsidTr="008C49B3">
        <w:trPr>
          <w:trHeight w:val="382"/>
        </w:trPr>
        <w:tc>
          <w:tcPr>
            <w:tcW w:w="279" w:type="dxa"/>
            <w:vMerge w:val="restart"/>
            <w:tcBorders>
              <w:top w:val="single" w:sz="8" w:space="0" w:color="AA113F"/>
              <w:left w:val="single" w:sz="8" w:space="0" w:color="FFFFFF" w:themeColor="background1"/>
              <w:right w:val="single" w:sz="8" w:space="0" w:color="FFFFFF" w:themeColor="background1"/>
            </w:tcBorders>
          </w:tcPr>
          <w:p w14:paraId="6BEFE92E" w14:textId="259171D6" w:rsidR="00B75647" w:rsidRDefault="005923CC" w:rsidP="005923CC">
            <w:pPr>
              <w:ind w:left="-130" w:right="-1"/>
            </w:pPr>
            <w:r>
              <w:object w:dxaOrig="300" w:dyaOrig="300" w14:anchorId="007BB9BF">
                <v:shape id="_x0000_i1029" type="#_x0000_t75" style="width:15pt;height:15pt" o:ole="">
                  <v:imagedata r:id="rId22" o:title=""/>
                </v:shape>
                <o:OLEObject Type="Embed" ProgID="PBrush" ShapeID="_x0000_i1029" DrawAspect="Content" ObjectID="_1759330037" r:id="rId23"/>
              </w:object>
            </w:r>
          </w:p>
        </w:tc>
        <w:tc>
          <w:tcPr>
            <w:tcW w:w="1271" w:type="dxa"/>
            <w:gridSpan w:val="2"/>
            <w:vMerge w:val="restart"/>
            <w:tcBorders>
              <w:top w:val="single" w:sz="8" w:space="0" w:color="AA113F"/>
              <w:left w:val="single" w:sz="8" w:space="0" w:color="FFFFFF" w:themeColor="background1"/>
              <w:right w:val="single" w:sz="8" w:space="0" w:color="FFFFFF" w:themeColor="background1"/>
            </w:tcBorders>
          </w:tcPr>
          <w:p w14:paraId="07268F06" w14:textId="6BE70CEB" w:rsidR="00B75647" w:rsidRDefault="001E6370" w:rsidP="001E6370">
            <w:pPr>
              <w:ind w:right="-22"/>
              <w:rPr>
                <w:rFonts w:ascii="PT Sans" w:hAnsi="PT Sans"/>
                <w:sz w:val="16"/>
                <w:szCs w:val="16"/>
              </w:rPr>
            </w:pPr>
            <w:r>
              <w:rPr>
                <w:rFonts w:ascii="PT Sans" w:hAnsi="PT Sans"/>
                <w:sz w:val="16"/>
                <w:szCs w:val="16"/>
              </w:rPr>
              <w:t xml:space="preserve">Assay </w:t>
            </w:r>
            <w:r w:rsidR="00B75647" w:rsidRPr="002F70A4">
              <w:rPr>
                <w:rFonts w:ascii="PT Sans" w:hAnsi="PT Sans"/>
                <w:sz w:val="16"/>
                <w:szCs w:val="16"/>
              </w:rPr>
              <w:t xml:space="preserve">CQ UGT1A1 6TA/7TA </w:t>
            </w:r>
            <w:r w:rsidR="00C45AC8">
              <w:rPr>
                <w:rFonts w:ascii="PT Sans" w:hAnsi="PT Sans"/>
                <w:sz w:val="16"/>
                <w:szCs w:val="16"/>
              </w:rPr>
              <w:t>mišinys</w:t>
            </w:r>
          </w:p>
        </w:tc>
        <w:tc>
          <w:tcPr>
            <w:tcW w:w="713" w:type="dxa"/>
            <w:tcBorders>
              <w:top w:val="single" w:sz="8" w:space="0" w:color="AA113F"/>
              <w:left w:val="single" w:sz="8" w:space="0" w:color="FFFFFF" w:themeColor="background1"/>
              <w:bottom w:val="single" w:sz="8" w:space="0" w:color="FFFFFF" w:themeColor="background1"/>
              <w:right w:val="single" w:sz="8" w:space="0" w:color="FFFFFF" w:themeColor="background1"/>
            </w:tcBorders>
            <w:vAlign w:val="center"/>
          </w:tcPr>
          <w:p w14:paraId="6D4996EB" w14:textId="3D9E32D6" w:rsidR="00B75647" w:rsidRDefault="00B75647" w:rsidP="005923CC">
            <w:pPr>
              <w:jc w:val="center"/>
              <w:rPr>
                <w:rFonts w:ascii="PT Sans" w:hAnsi="PT Sans"/>
                <w:sz w:val="16"/>
                <w:szCs w:val="16"/>
              </w:rPr>
            </w:pPr>
            <w:r>
              <w:rPr>
                <w:rFonts w:ascii="PT Sans" w:hAnsi="PT Sans"/>
                <w:sz w:val="16"/>
                <w:szCs w:val="16"/>
              </w:rPr>
              <w:t>1x0,4 ml*</w:t>
            </w:r>
          </w:p>
        </w:tc>
        <w:tc>
          <w:tcPr>
            <w:tcW w:w="1276" w:type="dxa"/>
            <w:vMerge w:val="restart"/>
            <w:tcBorders>
              <w:top w:val="single" w:sz="8" w:space="0" w:color="AA113F"/>
              <w:left w:val="single" w:sz="8" w:space="0" w:color="FFFFFF" w:themeColor="background1"/>
              <w:bottom w:val="single" w:sz="8" w:space="0" w:color="FFFFFF" w:themeColor="background1"/>
              <w:right w:val="single" w:sz="8" w:space="0" w:color="FFFFFF" w:themeColor="background1"/>
            </w:tcBorders>
            <w:vAlign w:val="center"/>
          </w:tcPr>
          <w:p w14:paraId="3B2FA8FC" w14:textId="042493D5" w:rsidR="00B75647" w:rsidRDefault="00B75647" w:rsidP="00B75647">
            <w:pPr>
              <w:jc w:val="center"/>
              <w:rPr>
                <w:rFonts w:ascii="PT Sans" w:hAnsi="PT Sans"/>
                <w:sz w:val="16"/>
                <w:szCs w:val="16"/>
              </w:rPr>
            </w:pPr>
            <w:r>
              <w:rPr>
                <w:rFonts w:ascii="PT Sans" w:hAnsi="PT Sans"/>
                <w:sz w:val="16"/>
                <w:szCs w:val="16"/>
              </w:rPr>
              <w:t>1,25x</w:t>
            </w:r>
          </w:p>
        </w:tc>
        <w:tc>
          <w:tcPr>
            <w:tcW w:w="1129" w:type="dxa"/>
            <w:tcBorders>
              <w:top w:val="single" w:sz="8" w:space="0" w:color="AA113F"/>
              <w:left w:val="single" w:sz="8" w:space="0" w:color="FFFFFF" w:themeColor="background1"/>
              <w:bottom w:val="single" w:sz="8" w:space="0" w:color="FFFFFF" w:themeColor="background1"/>
              <w:right w:val="single" w:sz="8" w:space="0" w:color="FFFFFF" w:themeColor="background1"/>
            </w:tcBorders>
          </w:tcPr>
          <w:p w14:paraId="2E72AFE1" w14:textId="030D7D3E" w:rsidR="00B75647" w:rsidRDefault="00B75647" w:rsidP="002622CB">
            <w:pPr>
              <w:jc w:val="both"/>
              <w:rPr>
                <w:rFonts w:ascii="PT Sans" w:hAnsi="PT Sans"/>
                <w:sz w:val="16"/>
                <w:szCs w:val="16"/>
              </w:rPr>
            </w:pPr>
            <w:r>
              <w:rPr>
                <w:rFonts w:ascii="PT Sans" w:hAnsi="PT Sans"/>
                <w:sz w:val="16"/>
                <w:szCs w:val="16"/>
              </w:rPr>
              <w:t>Aptikimo tyrimas – 25 reakcijos</w:t>
            </w:r>
          </w:p>
        </w:tc>
      </w:tr>
      <w:tr w:rsidR="008C49B3" w14:paraId="1A6632CB" w14:textId="77777777" w:rsidTr="008C49B3">
        <w:tc>
          <w:tcPr>
            <w:tcW w:w="279" w:type="dxa"/>
            <w:vMerge/>
            <w:tcBorders>
              <w:left w:val="single" w:sz="8" w:space="0" w:color="FFFFFF" w:themeColor="background1"/>
              <w:bottom w:val="single" w:sz="8" w:space="0" w:color="AA113F"/>
              <w:right w:val="single" w:sz="8" w:space="0" w:color="FFFFFF" w:themeColor="background1"/>
            </w:tcBorders>
          </w:tcPr>
          <w:p w14:paraId="176E8CBF" w14:textId="77777777" w:rsidR="00B75647" w:rsidRDefault="00B75647" w:rsidP="005923CC">
            <w:pPr>
              <w:ind w:left="-130" w:right="-1"/>
              <w:rPr>
                <w:rFonts w:ascii="PT Sans" w:hAnsi="PT Sans"/>
                <w:sz w:val="16"/>
                <w:szCs w:val="16"/>
              </w:rPr>
            </w:pPr>
          </w:p>
        </w:tc>
        <w:tc>
          <w:tcPr>
            <w:tcW w:w="1271" w:type="dxa"/>
            <w:gridSpan w:val="2"/>
            <w:vMerge/>
            <w:tcBorders>
              <w:left w:val="single" w:sz="8" w:space="0" w:color="FFFFFF" w:themeColor="background1"/>
              <w:bottom w:val="single" w:sz="8" w:space="0" w:color="AA113F"/>
              <w:right w:val="single" w:sz="8" w:space="0" w:color="FFFFFF" w:themeColor="background1"/>
            </w:tcBorders>
          </w:tcPr>
          <w:p w14:paraId="1451674D" w14:textId="6DD1747B" w:rsidR="00B75647" w:rsidRDefault="00B75647" w:rsidP="002622CB">
            <w:pPr>
              <w:jc w:val="both"/>
              <w:rPr>
                <w:rFonts w:ascii="PT Sans" w:hAnsi="PT Sans"/>
                <w:sz w:val="16"/>
                <w:szCs w:val="16"/>
              </w:rPr>
            </w:pPr>
          </w:p>
        </w:tc>
        <w:tc>
          <w:tcPr>
            <w:tcW w:w="713" w:type="dxa"/>
            <w:tcBorders>
              <w:top w:val="single" w:sz="8" w:space="0" w:color="FFFFFF" w:themeColor="background1"/>
              <w:left w:val="single" w:sz="8" w:space="0" w:color="FFFFFF" w:themeColor="background1"/>
              <w:bottom w:val="single" w:sz="8" w:space="0" w:color="AA113F"/>
              <w:right w:val="single" w:sz="8" w:space="0" w:color="FFFFFF" w:themeColor="background1"/>
            </w:tcBorders>
            <w:vAlign w:val="center"/>
          </w:tcPr>
          <w:p w14:paraId="11F4AAED" w14:textId="73913781" w:rsidR="00B75647" w:rsidRDefault="00B75647" w:rsidP="005923CC">
            <w:pPr>
              <w:jc w:val="center"/>
              <w:rPr>
                <w:rFonts w:ascii="PT Sans" w:hAnsi="PT Sans"/>
                <w:sz w:val="16"/>
                <w:szCs w:val="16"/>
              </w:rPr>
            </w:pPr>
            <w:r>
              <w:rPr>
                <w:rFonts w:ascii="PT Sans" w:hAnsi="PT Sans"/>
                <w:sz w:val="16"/>
                <w:szCs w:val="16"/>
              </w:rPr>
              <w:t>2x0,4 ml</w:t>
            </w:r>
          </w:p>
        </w:tc>
        <w:tc>
          <w:tcPr>
            <w:tcW w:w="1276" w:type="dxa"/>
            <w:vMerge/>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724DFCAE" w14:textId="77777777" w:rsidR="00B75647" w:rsidRDefault="00B75647" w:rsidP="002622CB">
            <w:pPr>
              <w:jc w:val="both"/>
              <w:rPr>
                <w:rFonts w:ascii="PT Sans" w:hAnsi="PT Sans"/>
                <w:sz w:val="16"/>
                <w:szCs w:val="16"/>
              </w:rPr>
            </w:pPr>
          </w:p>
        </w:tc>
        <w:tc>
          <w:tcPr>
            <w:tcW w:w="1129" w:type="dxa"/>
            <w:tcBorders>
              <w:top w:val="single" w:sz="8" w:space="0" w:color="FFFFFF" w:themeColor="background1"/>
              <w:left w:val="single" w:sz="8" w:space="0" w:color="FFFFFF" w:themeColor="background1"/>
              <w:bottom w:val="single" w:sz="8" w:space="0" w:color="AA113F"/>
              <w:right w:val="single" w:sz="8" w:space="0" w:color="FFFFFF" w:themeColor="background1"/>
            </w:tcBorders>
          </w:tcPr>
          <w:p w14:paraId="34E398B5" w14:textId="7D206327" w:rsidR="00B75647" w:rsidRDefault="00B75647" w:rsidP="002622CB">
            <w:pPr>
              <w:jc w:val="both"/>
              <w:rPr>
                <w:rFonts w:ascii="PT Sans" w:hAnsi="PT Sans"/>
                <w:sz w:val="16"/>
                <w:szCs w:val="16"/>
              </w:rPr>
            </w:pPr>
            <w:r>
              <w:rPr>
                <w:rFonts w:ascii="PT Sans" w:hAnsi="PT Sans"/>
                <w:sz w:val="16"/>
                <w:szCs w:val="16"/>
              </w:rPr>
              <w:t>Aptikimo tyrimas – 50 reakcijos</w:t>
            </w:r>
          </w:p>
        </w:tc>
      </w:tr>
      <w:tr w:rsidR="005923CC" w14:paraId="2E17AD3A" w14:textId="77777777" w:rsidTr="008C49B3">
        <w:tc>
          <w:tcPr>
            <w:tcW w:w="279" w:type="dxa"/>
            <w:tcBorders>
              <w:top w:val="single" w:sz="8" w:space="0" w:color="AA113F"/>
              <w:left w:val="single" w:sz="8" w:space="0" w:color="FFFFFF" w:themeColor="background1"/>
              <w:bottom w:val="single" w:sz="8" w:space="0" w:color="AA113F"/>
              <w:right w:val="single" w:sz="8" w:space="0" w:color="FFFFFF" w:themeColor="background1"/>
            </w:tcBorders>
          </w:tcPr>
          <w:p w14:paraId="11E96CF2" w14:textId="37ECAD14" w:rsidR="00B75647" w:rsidRDefault="005923CC" w:rsidP="005923CC">
            <w:pPr>
              <w:ind w:left="-130" w:right="-1"/>
              <w:rPr>
                <w:rFonts w:ascii="PT Sans" w:hAnsi="PT Sans"/>
                <w:sz w:val="16"/>
                <w:szCs w:val="16"/>
              </w:rPr>
            </w:pPr>
            <w:r>
              <w:object w:dxaOrig="360" w:dyaOrig="330" w14:anchorId="3BFFA6BB">
                <v:shape id="_x0000_i1030" type="#_x0000_t75" style="width:16.5pt;height:15pt" o:ole="">
                  <v:imagedata r:id="rId24" o:title=""/>
                </v:shape>
                <o:OLEObject Type="Embed" ProgID="PBrush" ShapeID="_x0000_i1030" DrawAspect="Content" ObjectID="_1759330038" r:id="rId25"/>
              </w:object>
            </w:r>
          </w:p>
        </w:tc>
        <w:tc>
          <w:tcPr>
            <w:tcW w:w="1271" w:type="dxa"/>
            <w:gridSpan w:val="2"/>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5DB763D2" w14:textId="414DD1A9" w:rsidR="00B75647" w:rsidRDefault="00B75647" w:rsidP="00B75647">
            <w:pPr>
              <w:rPr>
                <w:rFonts w:ascii="PT Sans" w:hAnsi="PT Sans"/>
                <w:sz w:val="16"/>
                <w:szCs w:val="16"/>
              </w:rPr>
            </w:pPr>
            <w:r>
              <w:rPr>
                <w:rFonts w:ascii="PT Sans" w:hAnsi="PT Sans"/>
                <w:sz w:val="16"/>
                <w:szCs w:val="16"/>
              </w:rPr>
              <w:t>Dejonizuotas vanduo</w:t>
            </w:r>
          </w:p>
        </w:tc>
        <w:tc>
          <w:tcPr>
            <w:tcW w:w="713"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5F7D5377" w14:textId="6F110B67" w:rsidR="00B75647" w:rsidRDefault="00B75647" w:rsidP="005923CC">
            <w:pPr>
              <w:jc w:val="center"/>
              <w:rPr>
                <w:rFonts w:ascii="PT Sans" w:hAnsi="PT Sans"/>
                <w:sz w:val="16"/>
                <w:szCs w:val="16"/>
              </w:rPr>
            </w:pPr>
            <w:r>
              <w:rPr>
                <w:rFonts w:ascii="PT Sans" w:hAnsi="PT Sans"/>
                <w:sz w:val="16"/>
                <w:szCs w:val="16"/>
              </w:rPr>
              <w:t>1x1,0 ml</w:t>
            </w:r>
          </w:p>
        </w:tc>
        <w:tc>
          <w:tcPr>
            <w:tcW w:w="1276"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65F7F6D0" w14:textId="77777777" w:rsidR="00B75647" w:rsidRDefault="00B75647" w:rsidP="00B75647">
            <w:pPr>
              <w:jc w:val="center"/>
              <w:rPr>
                <w:rFonts w:ascii="PT Sans" w:hAnsi="PT Sans"/>
                <w:sz w:val="16"/>
                <w:szCs w:val="16"/>
              </w:rPr>
            </w:pPr>
          </w:p>
        </w:tc>
        <w:tc>
          <w:tcPr>
            <w:tcW w:w="1129"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74C469B1" w14:textId="0E736D73" w:rsidR="00B75647" w:rsidRDefault="00B75647" w:rsidP="00B75647">
            <w:pPr>
              <w:jc w:val="center"/>
              <w:rPr>
                <w:rFonts w:ascii="PT Sans" w:hAnsi="PT Sans"/>
                <w:sz w:val="16"/>
                <w:szCs w:val="16"/>
              </w:rPr>
            </w:pPr>
            <w:r>
              <w:rPr>
                <w:rFonts w:ascii="PT Sans" w:hAnsi="PT Sans"/>
                <w:sz w:val="16"/>
                <w:szCs w:val="16"/>
              </w:rPr>
              <w:t>Neigiama kontrolė</w:t>
            </w:r>
          </w:p>
        </w:tc>
      </w:tr>
      <w:tr w:rsidR="005923CC" w14:paraId="4C582904" w14:textId="77777777" w:rsidTr="008C49B3">
        <w:tc>
          <w:tcPr>
            <w:tcW w:w="279" w:type="dxa"/>
            <w:tcBorders>
              <w:top w:val="single" w:sz="8" w:space="0" w:color="AA113F"/>
              <w:left w:val="single" w:sz="8" w:space="0" w:color="FFFFFF" w:themeColor="background1"/>
              <w:bottom w:val="single" w:sz="8" w:space="0" w:color="AA113F"/>
              <w:right w:val="single" w:sz="8" w:space="0" w:color="FFFFFF" w:themeColor="background1"/>
            </w:tcBorders>
          </w:tcPr>
          <w:p w14:paraId="385AE2F8" w14:textId="024867B4" w:rsidR="00B75647" w:rsidRDefault="005923CC" w:rsidP="005923CC">
            <w:pPr>
              <w:ind w:left="-130" w:right="-1"/>
              <w:rPr>
                <w:rFonts w:ascii="PT Sans" w:hAnsi="PT Sans"/>
                <w:sz w:val="16"/>
                <w:szCs w:val="16"/>
              </w:rPr>
            </w:pPr>
            <w:r>
              <w:object w:dxaOrig="345" w:dyaOrig="315" w14:anchorId="70FCAE4F">
                <v:shape id="_x0000_i1031" type="#_x0000_t75" style="width:16.5pt;height:15pt" o:ole="">
                  <v:imagedata r:id="rId26" o:title=""/>
                </v:shape>
                <o:OLEObject Type="Embed" ProgID="PBrush" ShapeID="_x0000_i1031" DrawAspect="Content" ObjectID="_1759330039" r:id="rId27"/>
              </w:object>
            </w:r>
          </w:p>
        </w:tc>
        <w:tc>
          <w:tcPr>
            <w:tcW w:w="1271" w:type="dxa"/>
            <w:gridSpan w:val="2"/>
            <w:tcBorders>
              <w:top w:val="single" w:sz="8" w:space="0" w:color="AA113F"/>
              <w:left w:val="single" w:sz="8" w:space="0" w:color="FFFFFF" w:themeColor="background1"/>
              <w:bottom w:val="single" w:sz="8" w:space="0" w:color="AA113F"/>
              <w:right w:val="single" w:sz="8" w:space="0" w:color="FFFFFF" w:themeColor="background1"/>
            </w:tcBorders>
          </w:tcPr>
          <w:p w14:paraId="5D5D62B6" w14:textId="477D4157" w:rsidR="00B75647" w:rsidRPr="00B75647" w:rsidRDefault="00B75647" w:rsidP="00B75647">
            <w:pPr>
              <w:jc w:val="both"/>
              <w:rPr>
                <w:rFonts w:ascii="PT Sans" w:hAnsi="PT Sans"/>
                <w:sz w:val="16"/>
                <w:szCs w:val="16"/>
              </w:rPr>
            </w:pPr>
            <w:r w:rsidRPr="00B75647">
              <w:rPr>
                <w:rFonts w:ascii="PT Sans" w:hAnsi="PT Sans"/>
                <w:sz w:val="16"/>
                <w:szCs w:val="16"/>
              </w:rPr>
              <w:t>WT UGT1A1 6TA</w:t>
            </w:r>
            <w:r>
              <w:rPr>
                <w:rFonts w:ascii="PT Sans" w:hAnsi="PT Sans"/>
                <w:sz w:val="16"/>
                <w:szCs w:val="16"/>
              </w:rPr>
              <w:t xml:space="preserve"> Standartas</w:t>
            </w:r>
          </w:p>
        </w:tc>
        <w:tc>
          <w:tcPr>
            <w:tcW w:w="713"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62A0B562" w14:textId="53B8B2E9" w:rsidR="00B75647" w:rsidRDefault="005923CC" w:rsidP="005923CC">
            <w:pPr>
              <w:jc w:val="center"/>
              <w:rPr>
                <w:rFonts w:ascii="PT Sans" w:hAnsi="PT Sans"/>
                <w:sz w:val="16"/>
                <w:szCs w:val="16"/>
              </w:rPr>
            </w:pPr>
            <w:r>
              <w:rPr>
                <w:rFonts w:ascii="PT Sans" w:hAnsi="PT Sans"/>
                <w:sz w:val="16"/>
                <w:szCs w:val="16"/>
              </w:rPr>
              <w:t>1x0,2 ml</w:t>
            </w:r>
          </w:p>
        </w:tc>
        <w:tc>
          <w:tcPr>
            <w:tcW w:w="1276"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4A5B6590" w14:textId="019ED7F6" w:rsidR="00B75647" w:rsidRDefault="005923CC" w:rsidP="005923CC">
            <w:pPr>
              <w:jc w:val="center"/>
              <w:rPr>
                <w:rFonts w:ascii="PT Sans" w:hAnsi="PT Sans"/>
                <w:sz w:val="16"/>
                <w:szCs w:val="16"/>
              </w:rPr>
            </w:pPr>
            <w:r>
              <w:rPr>
                <w:rFonts w:ascii="PT Sans" w:hAnsi="PT Sans"/>
                <w:sz w:val="16"/>
                <w:szCs w:val="16"/>
              </w:rPr>
              <w:t>1x10</w:t>
            </w:r>
            <w:r w:rsidRPr="005923CC">
              <w:rPr>
                <w:rFonts w:ascii="PT Sans" w:hAnsi="PT Sans"/>
                <w:sz w:val="16"/>
                <w:szCs w:val="16"/>
                <w:vertAlign w:val="superscript"/>
              </w:rPr>
              <w:t>4</w:t>
            </w:r>
            <w:r>
              <w:rPr>
                <w:rFonts w:ascii="PT Sans" w:hAnsi="PT Sans"/>
                <w:sz w:val="16"/>
                <w:szCs w:val="16"/>
              </w:rPr>
              <w:t xml:space="preserve"> kopijų/µl</w:t>
            </w:r>
          </w:p>
        </w:tc>
        <w:tc>
          <w:tcPr>
            <w:tcW w:w="1129"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2F5433E8" w14:textId="6DF0646E" w:rsidR="00B75647" w:rsidRDefault="005923CC" w:rsidP="005923CC">
            <w:pPr>
              <w:jc w:val="center"/>
              <w:rPr>
                <w:rFonts w:ascii="PT Sans" w:hAnsi="PT Sans"/>
                <w:sz w:val="16"/>
                <w:szCs w:val="16"/>
              </w:rPr>
            </w:pPr>
            <w:r>
              <w:rPr>
                <w:rFonts w:ascii="PT Sans" w:hAnsi="PT Sans"/>
                <w:sz w:val="16"/>
                <w:szCs w:val="16"/>
              </w:rPr>
              <w:t>Teigiama kontrolė</w:t>
            </w:r>
          </w:p>
        </w:tc>
      </w:tr>
      <w:tr w:rsidR="005923CC" w14:paraId="035717BC" w14:textId="77777777" w:rsidTr="008C49B3">
        <w:tc>
          <w:tcPr>
            <w:tcW w:w="279" w:type="dxa"/>
            <w:tcBorders>
              <w:top w:val="single" w:sz="8" w:space="0" w:color="AA113F"/>
              <w:left w:val="single" w:sz="8" w:space="0" w:color="FFFFFF" w:themeColor="background1"/>
              <w:bottom w:val="single" w:sz="8" w:space="0" w:color="AA113F"/>
              <w:right w:val="single" w:sz="8" w:space="0" w:color="FFFFFF" w:themeColor="background1"/>
            </w:tcBorders>
          </w:tcPr>
          <w:p w14:paraId="5CA786A7" w14:textId="6A32C951" w:rsidR="005923CC" w:rsidRDefault="005923CC" w:rsidP="005923CC">
            <w:pPr>
              <w:ind w:left="-130" w:right="-1"/>
              <w:rPr>
                <w:rFonts w:ascii="PT Sans" w:hAnsi="PT Sans"/>
                <w:sz w:val="16"/>
                <w:szCs w:val="16"/>
              </w:rPr>
            </w:pPr>
            <w:r>
              <w:object w:dxaOrig="330" w:dyaOrig="330" w14:anchorId="165FB0B7">
                <v:shape id="_x0000_i1032" type="#_x0000_t75" style="width:15pt;height:15pt" o:ole="">
                  <v:imagedata r:id="rId28" o:title=""/>
                </v:shape>
                <o:OLEObject Type="Embed" ProgID="PBrush" ShapeID="_x0000_i1032" DrawAspect="Content" ObjectID="_1759330040" r:id="rId29"/>
              </w:object>
            </w:r>
          </w:p>
        </w:tc>
        <w:tc>
          <w:tcPr>
            <w:tcW w:w="1271" w:type="dxa"/>
            <w:gridSpan w:val="2"/>
            <w:tcBorders>
              <w:top w:val="single" w:sz="8" w:space="0" w:color="AA113F"/>
              <w:left w:val="single" w:sz="8" w:space="0" w:color="FFFFFF" w:themeColor="background1"/>
              <w:bottom w:val="single" w:sz="8" w:space="0" w:color="AA113F"/>
              <w:right w:val="single" w:sz="8" w:space="0" w:color="FFFFFF" w:themeColor="background1"/>
            </w:tcBorders>
          </w:tcPr>
          <w:p w14:paraId="6D2A6135" w14:textId="57AC9898" w:rsidR="005923CC" w:rsidRPr="00B75647" w:rsidRDefault="005923CC" w:rsidP="005923CC">
            <w:pPr>
              <w:jc w:val="both"/>
              <w:rPr>
                <w:rFonts w:ascii="PT Sans" w:hAnsi="PT Sans"/>
                <w:sz w:val="16"/>
                <w:szCs w:val="16"/>
              </w:rPr>
            </w:pPr>
            <w:r w:rsidRPr="00B75647">
              <w:rPr>
                <w:rFonts w:ascii="PT Sans" w:hAnsi="PT Sans"/>
                <w:sz w:val="16"/>
                <w:szCs w:val="16"/>
              </w:rPr>
              <w:t>MUT UGT1A1 7TA</w:t>
            </w:r>
            <w:r>
              <w:rPr>
                <w:rFonts w:ascii="PT Sans" w:hAnsi="PT Sans"/>
                <w:sz w:val="16"/>
                <w:szCs w:val="16"/>
              </w:rPr>
              <w:t xml:space="preserve"> Standartas</w:t>
            </w:r>
          </w:p>
        </w:tc>
        <w:tc>
          <w:tcPr>
            <w:tcW w:w="713"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0DE01788" w14:textId="5AFC81C0" w:rsidR="005923CC" w:rsidRDefault="005923CC" w:rsidP="005923CC">
            <w:pPr>
              <w:jc w:val="center"/>
              <w:rPr>
                <w:rFonts w:ascii="PT Sans" w:hAnsi="PT Sans"/>
                <w:sz w:val="16"/>
                <w:szCs w:val="16"/>
              </w:rPr>
            </w:pPr>
            <w:r w:rsidRPr="0022121F">
              <w:rPr>
                <w:rFonts w:ascii="PT Sans" w:hAnsi="PT Sans"/>
                <w:sz w:val="16"/>
                <w:szCs w:val="16"/>
              </w:rPr>
              <w:t>1x0,2 ml</w:t>
            </w:r>
          </w:p>
        </w:tc>
        <w:tc>
          <w:tcPr>
            <w:tcW w:w="1276"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68F377D2" w14:textId="4EB8F4D8" w:rsidR="005923CC" w:rsidRDefault="005923CC" w:rsidP="005923CC">
            <w:pPr>
              <w:jc w:val="center"/>
              <w:rPr>
                <w:rFonts w:ascii="PT Sans" w:hAnsi="PT Sans"/>
                <w:sz w:val="16"/>
                <w:szCs w:val="16"/>
              </w:rPr>
            </w:pPr>
            <w:r>
              <w:rPr>
                <w:rFonts w:ascii="PT Sans" w:hAnsi="PT Sans"/>
                <w:sz w:val="16"/>
                <w:szCs w:val="16"/>
              </w:rPr>
              <w:t>1x10</w:t>
            </w:r>
            <w:r w:rsidRPr="005923CC">
              <w:rPr>
                <w:rFonts w:ascii="PT Sans" w:hAnsi="PT Sans"/>
                <w:sz w:val="16"/>
                <w:szCs w:val="16"/>
                <w:vertAlign w:val="superscript"/>
              </w:rPr>
              <w:t>4</w:t>
            </w:r>
            <w:r>
              <w:rPr>
                <w:rFonts w:ascii="PT Sans" w:hAnsi="PT Sans"/>
                <w:sz w:val="16"/>
                <w:szCs w:val="16"/>
              </w:rPr>
              <w:t xml:space="preserve"> kopijų/µl</w:t>
            </w:r>
          </w:p>
        </w:tc>
        <w:tc>
          <w:tcPr>
            <w:tcW w:w="1129"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5F48B510" w14:textId="6581384A" w:rsidR="005923CC" w:rsidRDefault="005923CC" w:rsidP="005923CC">
            <w:pPr>
              <w:jc w:val="center"/>
              <w:rPr>
                <w:rFonts w:ascii="PT Sans" w:hAnsi="PT Sans"/>
                <w:sz w:val="16"/>
                <w:szCs w:val="16"/>
              </w:rPr>
            </w:pPr>
            <w:r w:rsidRPr="006E1113">
              <w:rPr>
                <w:rFonts w:ascii="PT Sans" w:hAnsi="PT Sans"/>
                <w:sz w:val="16"/>
                <w:szCs w:val="16"/>
              </w:rPr>
              <w:t>Teigiama kontrolė</w:t>
            </w:r>
          </w:p>
        </w:tc>
      </w:tr>
      <w:tr w:rsidR="005923CC" w14:paraId="58FFE1C7" w14:textId="77777777" w:rsidTr="008C49B3">
        <w:tc>
          <w:tcPr>
            <w:tcW w:w="279" w:type="dxa"/>
            <w:tcBorders>
              <w:top w:val="single" w:sz="8" w:space="0" w:color="AA113F"/>
              <w:left w:val="single" w:sz="8" w:space="0" w:color="FFFFFF" w:themeColor="background1"/>
              <w:bottom w:val="single" w:sz="8" w:space="0" w:color="AA113F"/>
              <w:right w:val="single" w:sz="8" w:space="0" w:color="FFFFFF" w:themeColor="background1"/>
            </w:tcBorders>
          </w:tcPr>
          <w:p w14:paraId="5AB82018" w14:textId="0BB0C874" w:rsidR="005923CC" w:rsidRDefault="005923CC" w:rsidP="005923CC">
            <w:pPr>
              <w:ind w:left="-130" w:right="-1"/>
              <w:rPr>
                <w:rFonts w:ascii="PT Sans" w:hAnsi="PT Sans"/>
                <w:sz w:val="16"/>
                <w:szCs w:val="16"/>
              </w:rPr>
            </w:pPr>
            <w:r>
              <w:object w:dxaOrig="345" w:dyaOrig="315" w14:anchorId="459E36B1">
                <v:shape id="_x0000_i1033" type="#_x0000_t75" style="width:16.5pt;height:15pt" o:ole="">
                  <v:imagedata r:id="rId30" o:title=""/>
                </v:shape>
                <o:OLEObject Type="Embed" ProgID="PBrush" ShapeID="_x0000_i1033" DrawAspect="Content" ObjectID="_1759330041" r:id="rId31"/>
              </w:object>
            </w:r>
          </w:p>
        </w:tc>
        <w:tc>
          <w:tcPr>
            <w:tcW w:w="1271" w:type="dxa"/>
            <w:gridSpan w:val="2"/>
            <w:tcBorders>
              <w:top w:val="single" w:sz="8" w:space="0" w:color="AA113F"/>
              <w:left w:val="single" w:sz="8" w:space="0" w:color="FFFFFF" w:themeColor="background1"/>
              <w:bottom w:val="single" w:sz="8" w:space="0" w:color="AA113F"/>
              <w:right w:val="single" w:sz="8" w:space="0" w:color="FFFFFF" w:themeColor="background1"/>
            </w:tcBorders>
          </w:tcPr>
          <w:p w14:paraId="64B40E5C" w14:textId="242519C1" w:rsidR="005923CC" w:rsidRPr="00B75647" w:rsidRDefault="005923CC" w:rsidP="005923CC">
            <w:pPr>
              <w:jc w:val="both"/>
              <w:rPr>
                <w:rFonts w:ascii="PT Sans" w:hAnsi="PT Sans"/>
                <w:sz w:val="16"/>
                <w:szCs w:val="16"/>
              </w:rPr>
            </w:pPr>
            <w:r w:rsidRPr="00B75647">
              <w:rPr>
                <w:rFonts w:ascii="PT Sans" w:hAnsi="PT Sans"/>
                <w:sz w:val="16"/>
                <w:szCs w:val="16"/>
              </w:rPr>
              <w:t>HET UGT1A1 6TA/7TA</w:t>
            </w:r>
            <w:r>
              <w:rPr>
                <w:rFonts w:ascii="PT Sans" w:hAnsi="PT Sans"/>
                <w:sz w:val="16"/>
                <w:szCs w:val="16"/>
              </w:rPr>
              <w:t xml:space="preserve"> Standartas</w:t>
            </w:r>
          </w:p>
        </w:tc>
        <w:tc>
          <w:tcPr>
            <w:tcW w:w="713"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6A97D0DC" w14:textId="240A874E" w:rsidR="005923CC" w:rsidRDefault="005923CC" w:rsidP="005923CC">
            <w:pPr>
              <w:jc w:val="center"/>
              <w:rPr>
                <w:rFonts w:ascii="PT Sans" w:hAnsi="PT Sans"/>
                <w:sz w:val="16"/>
                <w:szCs w:val="16"/>
              </w:rPr>
            </w:pPr>
            <w:r w:rsidRPr="0022121F">
              <w:rPr>
                <w:rFonts w:ascii="PT Sans" w:hAnsi="PT Sans"/>
                <w:sz w:val="16"/>
                <w:szCs w:val="16"/>
              </w:rPr>
              <w:t>1x0,2 ml</w:t>
            </w:r>
          </w:p>
        </w:tc>
        <w:tc>
          <w:tcPr>
            <w:tcW w:w="1276"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5D348846" w14:textId="2895E2FA" w:rsidR="005923CC" w:rsidRDefault="005923CC" w:rsidP="005923CC">
            <w:pPr>
              <w:jc w:val="center"/>
              <w:rPr>
                <w:rFonts w:ascii="PT Sans" w:hAnsi="PT Sans"/>
                <w:sz w:val="16"/>
                <w:szCs w:val="16"/>
              </w:rPr>
            </w:pPr>
            <w:r>
              <w:rPr>
                <w:rFonts w:ascii="PT Sans" w:hAnsi="PT Sans"/>
                <w:sz w:val="16"/>
                <w:szCs w:val="16"/>
              </w:rPr>
              <w:t>1x10</w:t>
            </w:r>
            <w:r w:rsidRPr="005923CC">
              <w:rPr>
                <w:rFonts w:ascii="PT Sans" w:hAnsi="PT Sans"/>
                <w:sz w:val="16"/>
                <w:szCs w:val="16"/>
                <w:vertAlign w:val="superscript"/>
              </w:rPr>
              <w:t>4</w:t>
            </w:r>
            <w:r>
              <w:rPr>
                <w:rFonts w:ascii="PT Sans" w:hAnsi="PT Sans"/>
                <w:sz w:val="16"/>
                <w:szCs w:val="16"/>
              </w:rPr>
              <w:t xml:space="preserve"> kopijų/µl</w:t>
            </w:r>
          </w:p>
        </w:tc>
        <w:tc>
          <w:tcPr>
            <w:tcW w:w="1129" w:type="dxa"/>
            <w:tcBorders>
              <w:top w:val="single" w:sz="8" w:space="0" w:color="AA113F"/>
              <w:left w:val="single" w:sz="8" w:space="0" w:color="FFFFFF" w:themeColor="background1"/>
              <w:bottom w:val="single" w:sz="8" w:space="0" w:color="AA113F"/>
              <w:right w:val="single" w:sz="8" w:space="0" w:color="FFFFFF" w:themeColor="background1"/>
            </w:tcBorders>
            <w:vAlign w:val="center"/>
          </w:tcPr>
          <w:p w14:paraId="435CC50A" w14:textId="29596EB6" w:rsidR="005923CC" w:rsidRDefault="005923CC" w:rsidP="005923CC">
            <w:pPr>
              <w:jc w:val="center"/>
              <w:rPr>
                <w:rFonts w:ascii="PT Sans" w:hAnsi="PT Sans"/>
                <w:sz w:val="16"/>
                <w:szCs w:val="16"/>
              </w:rPr>
            </w:pPr>
            <w:r w:rsidRPr="006E1113">
              <w:rPr>
                <w:rFonts w:ascii="PT Sans" w:hAnsi="PT Sans"/>
                <w:sz w:val="16"/>
                <w:szCs w:val="16"/>
              </w:rPr>
              <w:t>Teigiama kontrolė</w:t>
            </w:r>
          </w:p>
        </w:tc>
      </w:tr>
    </w:tbl>
    <w:p w14:paraId="36C7DC9A" w14:textId="77777777" w:rsidR="0053798C" w:rsidRPr="0053798C" w:rsidRDefault="0053798C" w:rsidP="0053798C">
      <w:pPr>
        <w:spacing w:after="0" w:line="240" w:lineRule="auto"/>
        <w:jc w:val="both"/>
        <w:rPr>
          <w:rFonts w:ascii="PT Sans" w:hAnsi="PT Sans"/>
          <w:sz w:val="16"/>
          <w:szCs w:val="16"/>
        </w:rPr>
      </w:pPr>
      <w:r w:rsidRPr="0053798C">
        <w:rPr>
          <w:rFonts w:ascii="PT Sans" w:hAnsi="PT Sans"/>
          <w:sz w:val="16"/>
          <w:szCs w:val="16"/>
        </w:rPr>
        <w:t>* 25 rxn – reakcijų skaičius skaičiuojamas 20 µl tūriui / PGR reakcijai</w:t>
      </w:r>
    </w:p>
    <w:p w14:paraId="79E5B9A5" w14:textId="7DB2C8BC" w:rsidR="004C7456" w:rsidRDefault="0053798C" w:rsidP="0053798C">
      <w:pPr>
        <w:spacing w:after="0" w:line="240" w:lineRule="auto"/>
        <w:jc w:val="both"/>
        <w:rPr>
          <w:rFonts w:ascii="PT Sans" w:hAnsi="PT Sans"/>
          <w:sz w:val="16"/>
          <w:szCs w:val="16"/>
        </w:rPr>
      </w:pPr>
      <w:r w:rsidRPr="0053798C">
        <w:rPr>
          <w:rFonts w:ascii="PT Sans" w:hAnsi="PT Sans"/>
          <w:sz w:val="16"/>
          <w:szCs w:val="16"/>
        </w:rPr>
        <w:t>** Dangčio spalva</w:t>
      </w:r>
    </w:p>
    <w:p w14:paraId="4ECBD852" w14:textId="7D369DB9" w:rsidR="0053798C" w:rsidRDefault="0053798C" w:rsidP="0053798C">
      <w:pPr>
        <w:spacing w:after="0" w:line="240" w:lineRule="auto"/>
        <w:jc w:val="both"/>
        <w:rPr>
          <w:rFonts w:ascii="PT Sans" w:hAnsi="PT Sans"/>
          <w:sz w:val="16"/>
          <w:szCs w:val="16"/>
        </w:rPr>
      </w:pPr>
    </w:p>
    <w:p w14:paraId="334DBD8A" w14:textId="690D84F3" w:rsidR="0053798C" w:rsidRDefault="0053798C" w:rsidP="0053798C">
      <w:pPr>
        <w:spacing w:after="0" w:line="240" w:lineRule="auto"/>
        <w:jc w:val="both"/>
        <w:rPr>
          <w:rFonts w:ascii="PT Sans" w:hAnsi="PT Sans"/>
          <w:b/>
          <w:bCs/>
          <w:sz w:val="16"/>
          <w:szCs w:val="16"/>
        </w:rPr>
      </w:pPr>
      <w:r w:rsidRPr="0053798C">
        <w:rPr>
          <w:rFonts w:ascii="PT Sans" w:hAnsi="PT Sans"/>
          <w:b/>
          <w:bCs/>
          <w:sz w:val="16"/>
          <w:szCs w:val="16"/>
        </w:rPr>
        <w:t xml:space="preserve">CQ tyrimas </w:t>
      </w:r>
      <w:r w:rsidRPr="00F15BC0">
        <w:rPr>
          <w:rFonts w:ascii="PT Sans" w:hAnsi="PT Sans"/>
          <w:b/>
          <w:bCs/>
          <w:sz w:val="16"/>
          <w:szCs w:val="16"/>
        </w:rPr>
        <w:t>(angl. contact quenching)</w:t>
      </w:r>
    </w:p>
    <w:p w14:paraId="3111532A" w14:textId="1D8FF22A" w:rsidR="00F15BC0" w:rsidRPr="00F15BC0" w:rsidRDefault="001E6370" w:rsidP="00F15BC0">
      <w:pPr>
        <w:spacing w:after="0" w:line="240" w:lineRule="auto"/>
        <w:jc w:val="both"/>
        <w:rPr>
          <w:rFonts w:ascii="PT Sans" w:hAnsi="PT Sans"/>
          <w:sz w:val="16"/>
          <w:szCs w:val="16"/>
        </w:rPr>
      </w:pPr>
      <w:r>
        <w:rPr>
          <w:rFonts w:ascii="PT Sans" w:hAnsi="PT Sans"/>
          <w:sz w:val="16"/>
          <w:szCs w:val="16"/>
        </w:rPr>
        <w:lastRenderedPageBreak/>
        <w:t xml:space="preserve">„Assay </w:t>
      </w:r>
      <w:r w:rsidR="00C45AC8" w:rsidRPr="00F15BC0">
        <w:rPr>
          <w:rFonts w:ascii="PT Sans" w:hAnsi="PT Sans"/>
          <w:sz w:val="16"/>
          <w:szCs w:val="16"/>
        </w:rPr>
        <w:t>qP</w:t>
      </w:r>
      <w:r>
        <w:rPr>
          <w:rFonts w:ascii="PT Sans" w:hAnsi="PT Sans"/>
          <w:sz w:val="16"/>
          <w:szCs w:val="16"/>
        </w:rPr>
        <w:t>C</w:t>
      </w:r>
      <w:r w:rsidR="00C45AC8" w:rsidRPr="00F15BC0">
        <w:rPr>
          <w:rFonts w:ascii="PT Sans" w:hAnsi="PT Sans"/>
          <w:sz w:val="16"/>
          <w:szCs w:val="16"/>
        </w:rPr>
        <w:t xml:space="preserve">R </w:t>
      </w:r>
      <w:r w:rsidR="00F15BC0" w:rsidRPr="00F15BC0">
        <w:rPr>
          <w:rFonts w:ascii="PT Sans" w:hAnsi="PT Sans"/>
          <w:sz w:val="16"/>
          <w:szCs w:val="16"/>
        </w:rPr>
        <w:t>CQ UGT1A1</w:t>
      </w:r>
      <w:r>
        <w:rPr>
          <w:rFonts w:ascii="PT Sans" w:hAnsi="PT Sans"/>
          <w:sz w:val="16"/>
          <w:szCs w:val="16"/>
        </w:rPr>
        <w:t>“</w:t>
      </w:r>
      <w:r w:rsidR="00C45AC8">
        <w:rPr>
          <w:rFonts w:ascii="PT Sans" w:hAnsi="PT Sans"/>
          <w:sz w:val="16"/>
          <w:szCs w:val="16"/>
        </w:rPr>
        <w:t xml:space="preserve"> </w:t>
      </w:r>
      <w:r w:rsidR="00F15BC0" w:rsidRPr="00F15BC0">
        <w:rPr>
          <w:rFonts w:ascii="PT Sans" w:hAnsi="PT Sans"/>
          <w:sz w:val="16"/>
          <w:szCs w:val="16"/>
        </w:rPr>
        <w:t>yra amplifikacinių pradmenų, fluorescenciniu būdu pažymėto zondo, buferio, nukleotidų ir polimerazės mišinys.</w:t>
      </w:r>
    </w:p>
    <w:p w14:paraId="410E9F99" w14:textId="225C5D3C" w:rsidR="0053798C" w:rsidRDefault="00F15BC0" w:rsidP="00F15BC0">
      <w:pPr>
        <w:spacing w:after="0" w:line="240" w:lineRule="auto"/>
        <w:jc w:val="both"/>
        <w:rPr>
          <w:rFonts w:ascii="PT Sans" w:hAnsi="PT Sans"/>
          <w:sz w:val="16"/>
          <w:szCs w:val="16"/>
        </w:rPr>
      </w:pPr>
      <w:r w:rsidRPr="00F15BC0">
        <w:rPr>
          <w:rFonts w:ascii="PT Sans" w:hAnsi="PT Sans"/>
          <w:sz w:val="16"/>
          <w:szCs w:val="16"/>
        </w:rPr>
        <w:t>DNR amplifikuojama pradmenimis. Reagentų mišinyje taip pat yra DNR zond</w:t>
      </w:r>
      <w:r w:rsidR="00C45AC8">
        <w:rPr>
          <w:rFonts w:ascii="PT Sans" w:hAnsi="PT Sans"/>
          <w:sz w:val="16"/>
          <w:szCs w:val="16"/>
        </w:rPr>
        <w:t>ų</w:t>
      </w:r>
      <w:r w:rsidRPr="00F15BC0">
        <w:rPr>
          <w:rFonts w:ascii="PT Sans" w:hAnsi="PT Sans"/>
          <w:sz w:val="16"/>
          <w:szCs w:val="16"/>
        </w:rPr>
        <w:t>. Hibridizuotoje būsenoje fluorescencinis zondas nutildomas, lydymosi kreivės analizės metu zondo ir šablono dupleksas atsiskiria ir padidėja fluorescencinis signalas. Šis pokytis diagramoje dF/dT parodo smailę su maksimumu esant temperatūrai, kai disocijuoja lygiai pusė duplekso (lydymosi temperatūra – Tm). Dvipusio zondo ir visiškai vienas kitą papildančio šablono (tobulas atitikimas) lydymosi temperatūra yra aukštesnė nei dvipusio zondo ir šablono, kuriame yra mutacija (neatitikimas). Remiantis dvipusio zondo šablono lydymosi temperatūros analize, nustatomas genotipas.</w:t>
      </w:r>
    </w:p>
    <w:p w14:paraId="4C719120" w14:textId="3BD959A8" w:rsidR="00C45AC8" w:rsidRDefault="00C45AC8" w:rsidP="00F15BC0">
      <w:pPr>
        <w:spacing w:after="0" w:line="240" w:lineRule="auto"/>
        <w:jc w:val="both"/>
        <w:rPr>
          <w:rFonts w:ascii="PT Sans" w:hAnsi="PT Sans"/>
          <w:sz w:val="16"/>
          <w:szCs w:val="16"/>
        </w:rPr>
      </w:pPr>
    </w:p>
    <w:p w14:paraId="1C51647D" w14:textId="25E54B26" w:rsidR="00C45AC8" w:rsidRPr="00216232" w:rsidRDefault="00C45AC8" w:rsidP="00F15BC0">
      <w:pPr>
        <w:spacing w:after="0" w:line="240" w:lineRule="auto"/>
        <w:jc w:val="both"/>
        <w:rPr>
          <w:rFonts w:ascii="PT Sans" w:hAnsi="PT Sans"/>
          <w:b/>
          <w:bCs/>
          <w:sz w:val="16"/>
          <w:szCs w:val="16"/>
        </w:rPr>
      </w:pPr>
      <w:r w:rsidRPr="00216232">
        <w:rPr>
          <w:rFonts w:ascii="PT Sans" w:hAnsi="PT Sans"/>
          <w:b/>
          <w:bCs/>
          <w:sz w:val="16"/>
          <w:szCs w:val="16"/>
        </w:rPr>
        <w:t>UGT1A1 Standartai (Teigiamos Kontrolės)</w:t>
      </w:r>
    </w:p>
    <w:p w14:paraId="7FC1E1C5" w14:textId="77777777" w:rsidR="00C45AC8" w:rsidRPr="00C45AC8" w:rsidRDefault="00C45AC8" w:rsidP="00C45AC8">
      <w:pPr>
        <w:spacing w:after="0" w:line="240" w:lineRule="auto"/>
        <w:jc w:val="both"/>
        <w:rPr>
          <w:rFonts w:ascii="PT Sans" w:hAnsi="PT Sans"/>
          <w:sz w:val="16"/>
          <w:szCs w:val="16"/>
        </w:rPr>
      </w:pPr>
      <w:r w:rsidRPr="00C45AC8">
        <w:rPr>
          <w:rFonts w:ascii="PT Sans" w:hAnsi="PT Sans"/>
          <w:sz w:val="16"/>
          <w:szCs w:val="16"/>
        </w:rPr>
        <w:t>Rinkinyje yra kiekvieno genotipo teigiamos kontrolės:</w:t>
      </w:r>
    </w:p>
    <w:p w14:paraId="4BFF464A" w14:textId="4D694AC0" w:rsidR="00C45AC8" w:rsidRPr="00C45AC8" w:rsidRDefault="00C45AC8" w:rsidP="00C45AC8">
      <w:pPr>
        <w:pStyle w:val="ListParagraph"/>
        <w:numPr>
          <w:ilvl w:val="0"/>
          <w:numId w:val="6"/>
        </w:numPr>
        <w:spacing w:after="0" w:line="240" w:lineRule="auto"/>
        <w:ind w:left="426"/>
        <w:jc w:val="both"/>
        <w:rPr>
          <w:rFonts w:ascii="PT Sans" w:hAnsi="PT Sans"/>
          <w:sz w:val="16"/>
          <w:szCs w:val="16"/>
        </w:rPr>
      </w:pPr>
      <w:r w:rsidRPr="00B75647">
        <w:rPr>
          <w:rFonts w:ascii="PT Sans" w:hAnsi="PT Sans"/>
          <w:sz w:val="16"/>
          <w:szCs w:val="16"/>
        </w:rPr>
        <w:t>WT UGT1A1 6TA</w:t>
      </w:r>
      <w:r>
        <w:rPr>
          <w:rFonts w:ascii="PT Sans" w:hAnsi="PT Sans"/>
          <w:sz w:val="16"/>
          <w:szCs w:val="16"/>
        </w:rPr>
        <w:t xml:space="preserve"> Standartas</w:t>
      </w:r>
      <w:r w:rsidRPr="00C45AC8">
        <w:rPr>
          <w:rFonts w:ascii="PT Sans" w:hAnsi="PT Sans"/>
          <w:sz w:val="16"/>
          <w:szCs w:val="16"/>
        </w:rPr>
        <w:t xml:space="preserve"> (laukinio tipo homozigotas)</w:t>
      </w:r>
    </w:p>
    <w:p w14:paraId="211FA2E3" w14:textId="77777777" w:rsidR="00D9111C" w:rsidRDefault="00C45AC8" w:rsidP="00C45AC8">
      <w:pPr>
        <w:pStyle w:val="ListParagraph"/>
        <w:numPr>
          <w:ilvl w:val="0"/>
          <w:numId w:val="6"/>
        </w:numPr>
        <w:spacing w:after="0" w:line="240" w:lineRule="auto"/>
        <w:ind w:left="426"/>
        <w:jc w:val="both"/>
        <w:rPr>
          <w:rFonts w:ascii="PT Sans" w:hAnsi="PT Sans"/>
          <w:sz w:val="16"/>
          <w:szCs w:val="16"/>
        </w:rPr>
      </w:pPr>
      <w:r w:rsidRPr="00B75647">
        <w:rPr>
          <w:rFonts w:ascii="PT Sans" w:hAnsi="PT Sans"/>
          <w:sz w:val="16"/>
          <w:szCs w:val="16"/>
        </w:rPr>
        <w:t>MUT UGT1A1 7TA</w:t>
      </w:r>
      <w:r>
        <w:rPr>
          <w:rFonts w:ascii="PT Sans" w:hAnsi="PT Sans"/>
          <w:sz w:val="16"/>
          <w:szCs w:val="16"/>
        </w:rPr>
        <w:t xml:space="preserve"> Standartas</w:t>
      </w:r>
      <w:r w:rsidRPr="00C45AC8">
        <w:rPr>
          <w:rFonts w:ascii="PT Sans" w:hAnsi="PT Sans"/>
          <w:sz w:val="16"/>
          <w:szCs w:val="16"/>
        </w:rPr>
        <w:t xml:space="preserve"> (mutuotas homozigotas)</w:t>
      </w:r>
    </w:p>
    <w:p w14:paraId="6880B609" w14:textId="6B1554B5" w:rsidR="00C45AC8" w:rsidRDefault="00D9111C" w:rsidP="00C45AC8">
      <w:pPr>
        <w:pStyle w:val="ListParagraph"/>
        <w:numPr>
          <w:ilvl w:val="0"/>
          <w:numId w:val="6"/>
        </w:numPr>
        <w:spacing w:after="0" w:line="240" w:lineRule="auto"/>
        <w:ind w:left="426"/>
        <w:jc w:val="both"/>
        <w:rPr>
          <w:rFonts w:ascii="PT Sans" w:hAnsi="PT Sans"/>
          <w:sz w:val="16"/>
          <w:szCs w:val="16"/>
        </w:rPr>
      </w:pPr>
      <w:r w:rsidRPr="00B75647">
        <w:rPr>
          <w:rFonts w:ascii="PT Sans" w:hAnsi="PT Sans"/>
          <w:sz w:val="16"/>
          <w:szCs w:val="16"/>
        </w:rPr>
        <w:t>HET UGT1A1 6TA/7TA</w:t>
      </w:r>
      <w:r>
        <w:rPr>
          <w:rFonts w:ascii="PT Sans" w:hAnsi="PT Sans"/>
          <w:sz w:val="16"/>
          <w:szCs w:val="16"/>
        </w:rPr>
        <w:t xml:space="preserve"> Standartas</w:t>
      </w:r>
      <w:r w:rsidRPr="00D9111C">
        <w:rPr>
          <w:rFonts w:ascii="PT Sans" w:hAnsi="PT Sans"/>
          <w:sz w:val="16"/>
          <w:szCs w:val="16"/>
        </w:rPr>
        <w:t xml:space="preserve"> </w:t>
      </w:r>
      <w:r w:rsidR="00C45AC8" w:rsidRPr="00D9111C">
        <w:rPr>
          <w:rFonts w:ascii="PT Sans" w:hAnsi="PT Sans"/>
          <w:sz w:val="16"/>
          <w:szCs w:val="16"/>
        </w:rPr>
        <w:t>(heterozigotas)</w:t>
      </w:r>
    </w:p>
    <w:p w14:paraId="2C5F9B57" w14:textId="0CDE80F2" w:rsidR="00216232" w:rsidRDefault="00216232" w:rsidP="00216232">
      <w:pPr>
        <w:spacing w:after="0" w:line="240" w:lineRule="auto"/>
        <w:jc w:val="both"/>
        <w:rPr>
          <w:rFonts w:ascii="PT Sans" w:hAnsi="PT Sans"/>
          <w:sz w:val="16"/>
          <w:szCs w:val="16"/>
        </w:rPr>
      </w:pPr>
    </w:p>
    <w:p w14:paraId="4F057777" w14:textId="2D462AE0" w:rsidR="00216232" w:rsidRDefault="00216232" w:rsidP="00216232">
      <w:pPr>
        <w:spacing w:after="0" w:line="240" w:lineRule="auto"/>
        <w:jc w:val="both"/>
        <w:rPr>
          <w:rFonts w:ascii="PT Sans" w:hAnsi="PT Sans"/>
          <w:sz w:val="16"/>
          <w:szCs w:val="16"/>
        </w:rPr>
      </w:pPr>
      <w:r w:rsidRPr="00216232">
        <w:rPr>
          <w:rFonts w:ascii="PT Sans" w:hAnsi="PT Sans"/>
          <w:sz w:val="16"/>
          <w:szCs w:val="16"/>
        </w:rPr>
        <w:t xml:space="preserve">Kiekvienai analizei reikia pridėti bent vieną teigiamą kontrolę kiekvienam genotipui. Teigiamas standarto rezultatas reiškia teisingą analizę (pirmavimas ir zondas veikia tinkamai). Jei rezultatas yra neigiamas, analizė yra neteisinga ir būtina iš naujo išanalizuoti visus įtrauktus mėginius. Atkreipkite dėmesį į kitų rinkinio komponentų užteršimą </w:t>
      </w:r>
      <w:r>
        <w:rPr>
          <w:rFonts w:ascii="PT Sans" w:hAnsi="PT Sans"/>
          <w:sz w:val="16"/>
          <w:szCs w:val="16"/>
        </w:rPr>
        <w:t>teigiamomis kontrolėmis</w:t>
      </w:r>
      <w:r w:rsidRPr="00216232">
        <w:rPr>
          <w:rFonts w:ascii="PT Sans" w:hAnsi="PT Sans"/>
          <w:sz w:val="16"/>
          <w:szCs w:val="16"/>
        </w:rPr>
        <w:t>, nes tai gali sukelti klaidingą pozityvumą. Rekomenduojama teigiama</w:t>
      </w:r>
      <w:r>
        <w:rPr>
          <w:rFonts w:ascii="PT Sans" w:hAnsi="PT Sans"/>
          <w:sz w:val="16"/>
          <w:szCs w:val="16"/>
        </w:rPr>
        <w:t>s</w:t>
      </w:r>
      <w:r w:rsidRPr="00216232">
        <w:rPr>
          <w:rFonts w:ascii="PT Sans" w:hAnsi="PT Sans"/>
          <w:sz w:val="16"/>
          <w:szCs w:val="16"/>
        </w:rPr>
        <w:t xml:space="preserve"> kontrole</w:t>
      </w:r>
      <w:r>
        <w:rPr>
          <w:rFonts w:ascii="PT Sans" w:hAnsi="PT Sans"/>
          <w:sz w:val="16"/>
          <w:szCs w:val="16"/>
        </w:rPr>
        <w:t>s</w:t>
      </w:r>
      <w:r w:rsidRPr="00216232">
        <w:rPr>
          <w:rFonts w:ascii="PT Sans" w:hAnsi="PT Sans"/>
          <w:sz w:val="16"/>
          <w:szCs w:val="16"/>
        </w:rPr>
        <w:t xml:space="preserve"> (standart</w:t>
      </w:r>
      <w:r>
        <w:rPr>
          <w:rFonts w:ascii="PT Sans" w:hAnsi="PT Sans"/>
          <w:sz w:val="16"/>
          <w:szCs w:val="16"/>
        </w:rPr>
        <w:t>us</w:t>
      </w:r>
      <w:r w:rsidRPr="00216232">
        <w:rPr>
          <w:rFonts w:ascii="PT Sans" w:hAnsi="PT Sans"/>
          <w:sz w:val="16"/>
          <w:szCs w:val="16"/>
        </w:rPr>
        <w:t>)</w:t>
      </w:r>
      <w:r>
        <w:rPr>
          <w:rFonts w:ascii="PT Sans" w:hAnsi="PT Sans"/>
          <w:sz w:val="16"/>
          <w:szCs w:val="16"/>
        </w:rPr>
        <w:t xml:space="preserve"> naudoti</w:t>
      </w:r>
      <w:r w:rsidRPr="00216232">
        <w:rPr>
          <w:rFonts w:ascii="PT Sans" w:hAnsi="PT Sans"/>
          <w:sz w:val="16"/>
          <w:szCs w:val="16"/>
        </w:rPr>
        <w:t xml:space="preserve"> vietoje, atskirtoje nuo vietos, kurioje ruošiami PGR mišiniai. Prieš dedant teigiamą kontrolę, patariama uždaryti mėgintuvėlius su mėginiais ir neigiam</w:t>
      </w:r>
      <w:r>
        <w:rPr>
          <w:rFonts w:ascii="PT Sans" w:hAnsi="PT Sans"/>
          <w:sz w:val="16"/>
          <w:szCs w:val="16"/>
        </w:rPr>
        <w:t>ą</w:t>
      </w:r>
      <w:r w:rsidRPr="00216232">
        <w:rPr>
          <w:rFonts w:ascii="PT Sans" w:hAnsi="PT Sans"/>
          <w:sz w:val="16"/>
          <w:szCs w:val="16"/>
        </w:rPr>
        <w:t xml:space="preserve"> kontrolę. Tai apsaugo nuo kitų mėginių / neigiamos kontrolės kryžminio užteršimo, kai pridedama teigiamos kontrolės.</w:t>
      </w:r>
    </w:p>
    <w:p w14:paraId="77E79682" w14:textId="0A85EFD7" w:rsidR="00216232" w:rsidRDefault="00216232" w:rsidP="00216232">
      <w:pPr>
        <w:spacing w:after="0" w:line="240" w:lineRule="auto"/>
        <w:jc w:val="both"/>
        <w:rPr>
          <w:rFonts w:ascii="PT Sans" w:hAnsi="PT Sans"/>
          <w:sz w:val="16"/>
          <w:szCs w:val="16"/>
        </w:rPr>
      </w:pPr>
    </w:p>
    <w:p w14:paraId="4F4ED343" w14:textId="50531855" w:rsidR="00216232" w:rsidRPr="00B048D3" w:rsidRDefault="00B048D3" w:rsidP="00216232">
      <w:pPr>
        <w:spacing w:after="0" w:line="240" w:lineRule="auto"/>
        <w:jc w:val="both"/>
        <w:rPr>
          <w:rFonts w:ascii="PT Sans" w:hAnsi="PT Sans"/>
          <w:b/>
          <w:bCs/>
          <w:sz w:val="16"/>
          <w:szCs w:val="16"/>
        </w:rPr>
      </w:pPr>
      <w:r w:rsidRPr="00B048D3">
        <w:rPr>
          <w:rFonts w:ascii="PT Sans" w:hAnsi="PT Sans"/>
          <w:b/>
          <w:bCs/>
          <w:sz w:val="16"/>
          <w:szCs w:val="16"/>
        </w:rPr>
        <w:t>Dejonizuotas vanduo (neigiama kontrolė)</w:t>
      </w:r>
    </w:p>
    <w:p w14:paraId="1ED94EA5" w14:textId="3DE2C130" w:rsidR="00B048D3" w:rsidRDefault="00B048D3" w:rsidP="00216232">
      <w:pPr>
        <w:spacing w:after="0" w:line="240" w:lineRule="auto"/>
        <w:jc w:val="both"/>
        <w:rPr>
          <w:rFonts w:ascii="PT Sans" w:hAnsi="PT Sans"/>
          <w:sz w:val="16"/>
          <w:szCs w:val="16"/>
        </w:rPr>
      </w:pPr>
      <w:r w:rsidRPr="00B048D3">
        <w:rPr>
          <w:rFonts w:ascii="PT Sans" w:hAnsi="PT Sans"/>
          <w:sz w:val="16"/>
          <w:szCs w:val="16"/>
        </w:rPr>
        <w:t xml:space="preserve">Kad būtų išvengta užteršimo, kiekviena analizė turi apimti neigiamą kontrolinę reakciją kiekvienam aptikimo tyrimui. Vietoj mėginio įpilkite dejonizuoto vandens kaip šabloną. Neigiami rezultatai rodo, kad ruošiant </w:t>
      </w:r>
      <w:r w:rsidR="001E6370" w:rsidRPr="001E6370">
        <w:rPr>
          <w:rFonts w:ascii="PT Sans" w:hAnsi="PT Sans"/>
          <w:sz w:val="16"/>
          <w:szCs w:val="16"/>
        </w:rPr>
        <w:t>kiekybin</w:t>
      </w:r>
      <w:r w:rsidR="001E6370">
        <w:rPr>
          <w:rFonts w:ascii="PT Sans" w:hAnsi="PT Sans"/>
          <w:sz w:val="16"/>
          <w:szCs w:val="16"/>
        </w:rPr>
        <w:t xml:space="preserve">ės </w:t>
      </w:r>
      <w:r w:rsidRPr="00B048D3">
        <w:rPr>
          <w:rFonts w:ascii="PT Sans" w:hAnsi="PT Sans"/>
          <w:sz w:val="16"/>
          <w:szCs w:val="16"/>
        </w:rPr>
        <w:t>P</w:t>
      </w:r>
      <w:r w:rsidR="0003678E">
        <w:rPr>
          <w:rFonts w:ascii="PT Sans" w:hAnsi="PT Sans"/>
          <w:sz w:val="16"/>
          <w:szCs w:val="16"/>
        </w:rPr>
        <w:t>G</w:t>
      </w:r>
      <w:r w:rsidRPr="00B048D3">
        <w:rPr>
          <w:rFonts w:ascii="PT Sans" w:hAnsi="PT Sans"/>
          <w:sz w:val="16"/>
          <w:szCs w:val="16"/>
        </w:rPr>
        <w:t>R</w:t>
      </w:r>
      <w:r w:rsidR="001E6370">
        <w:rPr>
          <w:rFonts w:ascii="PT Sans" w:hAnsi="PT Sans"/>
          <w:sz w:val="16"/>
          <w:szCs w:val="16"/>
        </w:rPr>
        <w:t xml:space="preserve"> reakcijos</w:t>
      </w:r>
      <w:r w:rsidRPr="00B048D3">
        <w:rPr>
          <w:rFonts w:ascii="PT Sans" w:hAnsi="PT Sans"/>
          <w:sz w:val="16"/>
          <w:szCs w:val="16"/>
        </w:rPr>
        <w:t xml:space="preserve"> mišinį nėra užteršimo. Jei neigiamos kontrolės analizės rezultatas yra teigiamas, tokia analizė yra neteisinga ir nepatikima, todėl būtina iš naujo išanalizuoti visus įtrauktus mėginius. Prieš atlikdami naują analizę, pabandykite surasti ir pašalinti galimas užteršimo priežastis.</w:t>
      </w:r>
    </w:p>
    <w:p w14:paraId="0FB60A5C" w14:textId="55B837C6" w:rsidR="002B372F" w:rsidRDefault="002B372F" w:rsidP="00216232">
      <w:pPr>
        <w:spacing w:after="0" w:line="240" w:lineRule="auto"/>
        <w:jc w:val="both"/>
        <w:rPr>
          <w:rFonts w:ascii="PT Sans" w:hAnsi="PT Sans"/>
          <w:sz w:val="16"/>
          <w:szCs w:val="16"/>
        </w:rPr>
      </w:pPr>
    </w:p>
    <w:p w14:paraId="1740844B" w14:textId="18501FFD" w:rsidR="002B372F" w:rsidRPr="002B372F" w:rsidRDefault="002B372F" w:rsidP="00216232">
      <w:pPr>
        <w:spacing w:after="0" w:line="240" w:lineRule="auto"/>
        <w:jc w:val="both"/>
        <w:rPr>
          <w:rFonts w:ascii="PT Sans" w:hAnsi="PT Sans"/>
          <w:b/>
          <w:bCs/>
          <w:sz w:val="16"/>
          <w:szCs w:val="16"/>
        </w:rPr>
      </w:pPr>
      <w:r w:rsidRPr="002B372F">
        <w:rPr>
          <w:rFonts w:ascii="PT Sans" w:hAnsi="PT Sans"/>
          <w:b/>
          <w:bCs/>
          <w:sz w:val="16"/>
          <w:szCs w:val="16"/>
        </w:rPr>
        <w:t>Papildomi reagentai ir instrumentai</w:t>
      </w:r>
    </w:p>
    <w:p w14:paraId="23331E97" w14:textId="0485B62D" w:rsidR="002B372F" w:rsidRPr="002B372F" w:rsidRDefault="002B372F" w:rsidP="002B372F">
      <w:pPr>
        <w:pStyle w:val="ListParagraph"/>
        <w:numPr>
          <w:ilvl w:val="0"/>
          <w:numId w:val="7"/>
        </w:numPr>
        <w:spacing w:after="0" w:line="240" w:lineRule="auto"/>
        <w:ind w:left="426"/>
        <w:jc w:val="both"/>
        <w:rPr>
          <w:rFonts w:ascii="PT Sans" w:hAnsi="PT Sans"/>
          <w:sz w:val="16"/>
          <w:szCs w:val="16"/>
        </w:rPr>
      </w:pPr>
      <w:r w:rsidRPr="002B372F">
        <w:rPr>
          <w:rFonts w:ascii="PT Sans" w:hAnsi="PT Sans"/>
          <w:sz w:val="16"/>
          <w:szCs w:val="16"/>
        </w:rPr>
        <w:t>DNR išskyrimo rinkinys arba reagentai</w:t>
      </w:r>
      <w:r>
        <w:rPr>
          <w:rFonts w:ascii="PT Sans" w:hAnsi="PT Sans"/>
          <w:sz w:val="16"/>
          <w:szCs w:val="16"/>
        </w:rPr>
        <w:t>.</w:t>
      </w:r>
    </w:p>
    <w:p w14:paraId="7B2955D4" w14:textId="612AC931" w:rsidR="002B372F" w:rsidRPr="002B372F" w:rsidRDefault="002B372F" w:rsidP="002B372F">
      <w:pPr>
        <w:pStyle w:val="ListParagraph"/>
        <w:numPr>
          <w:ilvl w:val="0"/>
          <w:numId w:val="7"/>
        </w:numPr>
        <w:spacing w:after="0" w:line="240" w:lineRule="auto"/>
        <w:ind w:left="426"/>
        <w:jc w:val="both"/>
        <w:rPr>
          <w:rFonts w:ascii="PT Sans" w:hAnsi="PT Sans"/>
          <w:sz w:val="16"/>
          <w:szCs w:val="16"/>
        </w:rPr>
      </w:pPr>
      <w:r>
        <w:rPr>
          <w:rFonts w:ascii="PT Sans" w:hAnsi="PT Sans"/>
          <w:sz w:val="16"/>
          <w:szCs w:val="16"/>
        </w:rPr>
        <w:t xml:space="preserve">Mėgintuvėliai </w:t>
      </w:r>
      <w:r w:rsidRPr="002B372F">
        <w:rPr>
          <w:rFonts w:ascii="PT Sans" w:hAnsi="PT Sans"/>
          <w:sz w:val="16"/>
          <w:szCs w:val="16"/>
        </w:rPr>
        <w:t>reagentams maišyti, realaus laiko PGR mėgintuvėliai, juostelės arba plokštelės, suderinamos su realaus laiko PGR cikleriu</w:t>
      </w:r>
      <w:r>
        <w:rPr>
          <w:rFonts w:ascii="PT Sans" w:hAnsi="PT Sans"/>
          <w:sz w:val="16"/>
          <w:szCs w:val="16"/>
        </w:rPr>
        <w:t>.</w:t>
      </w:r>
    </w:p>
    <w:p w14:paraId="54E7F2BE" w14:textId="51DE407D" w:rsidR="002B372F" w:rsidRDefault="002B372F" w:rsidP="002B372F">
      <w:pPr>
        <w:pStyle w:val="ListParagraph"/>
        <w:numPr>
          <w:ilvl w:val="0"/>
          <w:numId w:val="7"/>
        </w:numPr>
        <w:spacing w:after="0" w:line="240" w:lineRule="auto"/>
        <w:ind w:left="426"/>
        <w:jc w:val="both"/>
        <w:rPr>
          <w:rFonts w:ascii="PT Sans" w:hAnsi="PT Sans"/>
          <w:sz w:val="16"/>
          <w:szCs w:val="16"/>
        </w:rPr>
      </w:pPr>
      <w:r w:rsidRPr="002B372F">
        <w:rPr>
          <w:rFonts w:ascii="PT Sans" w:hAnsi="PT Sans"/>
          <w:sz w:val="16"/>
          <w:szCs w:val="16"/>
        </w:rPr>
        <w:t>Reguliuojamos automatinės mikropipetės (10–1000 µl)</w:t>
      </w:r>
      <w:r>
        <w:rPr>
          <w:rFonts w:ascii="PT Sans" w:hAnsi="PT Sans"/>
          <w:sz w:val="16"/>
          <w:szCs w:val="16"/>
        </w:rPr>
        <w:t>.</w:t>
      </w:r>
    </w:p>
    <w:p w14:paraId="153C17D2" w14:textId="64D4C6DF" w:rsidR="002B372F" w:rsidRPr="002B372F" w:rsidRDefault="002B372F" w:rsidP="002B372F">
      <w:pPr>
        <w:pStyle w:val="ListParagraph"/>
        <w:numPr>
          <w:ilvl w:val="0"/>
          <w:numId w:val="7"/>
        </w:numPr>
        <w:spacing w:after="0" w:line="240" w:lineRule="auto"/>
        <w:ind w:left="426"/>
        <w:jc w:val="both"/>
        <w:rPr>
          <w:rFonts w:ascii="PT Sans" w:hAnsi="PT Sans"/>
          <w:sz w:val="16"/>
          <w:szCs w:val="16"/>
        </w:rPr>
      </w:pPr>
      <w:r w:rsidRPr="002B372F">
        <w:rPr>
          <w:rFonts w:ascii="PT Sans" w:hAnsi="PT Sans"/>
          <w:sz w:val="16"/>
          <w:szCs w:val="16"/>
        </w:rPr>
        <w:t>Sterilūs vienkartiniai pipetės antgaliai su filtrais</w:t>
      </w:r>
      <w:r>
        <w:rPr>
          <w:rFonts w:ascii="PT Sans" w:hAnsi="PT Sans"/>
          <w:sz w:val="16"/>
          <w:szCs w:val="16"/>
        </w:rPr>
        <w:t>.</w:t>
      </w:r>
    </w:p>
    <w:p w14:paraId="3D6A83C5" w14:textId="62863C88" w:rsidR="002B372F" w:rsidRPr="002B372F" w:rsidRDefault="002B372F" w:rsidP="002B372F">
      <w:pPr>
        <w:pStyle w:val="ListParagraph"/>
        <w:numPr>
          <w:ilvl w:val="0"/>
          <w:numId w:val="7"/>
        </w:numPr>
        <w:spacing w:after="0" w:line="240" w:lineRule="auto"/>
        <w:ind w:left="426"/>
        <w:jc w:val="both"/>
        <w:rPr>
          <w:rFonts w:ascii="PT Sans" w:hAnsi="PT Sans"/>
          <w:sz w:val="16"/>
          <w:szCs w:val="16"/>
        </w:rPr>
      </w:pPr>
      <w:r w:rsidRPr="002B372F">
        <w:rPr>
          <w:rFonts w:ascii="PT Sans" w:hAnsi="PT Sans"/>
          <w:sz w:val="16"/>
          <w:szCs w:val="16"/>
        </w:rPr>
        <w:t>Sūkurys</w:t>
      </w:r>
      <w:r>
        <w:rPr>
          <w:rFonts w:ascii="PT Sans" w:hAnsi="PT Sans"/>
          <w:sz w:val="16"/>
          <w:szCs w:val="16"/>
        </w:rPr>
        <w:t xml:space="preserve"> (vorteksas)</w:t>
      </w:r>
      <w:r w:rsidRPr="002B372F">
        <w:rPr>
          <w:rFonts w:ascii="PT Sans" w:hAnsi="PT Sans"/>
          <w:sz w:val="16"/>
          <w:szCs w:val="16"/>
        </w:rPr>
        <w:t xml:space="preserve"> ir laboratorinė centrifuga</w:t>
      </w:r>
      <w:r>
        <w:rPr>
          <w:rFonts w:ascii="PT Sans" w:hAnsi="PT Sans"/>
          <w:sz w:val="16"/>
          <w:szCs w:val="16"/>
        </w:rPr>
        <w:t>.</w:t>
      </w:r>
    </w:p>
    <w:p w14:paraId="3A4DE40C" w14:textId="418AB424" w:rsidR="002B372F" w:rsidRPr="002B372F" w:rsidRDefault="002B372F" w:rsidP="002B372F">
      <w:pPr>
        <w:pStyle w:val="ListParagraph"/>
        <w:numPr>
          <w:ilvl w:val="0"/>
          <w:numId w:val="7"/>
        </w:numPr>
        <w:spacing w:after="0" w:line="240" w:lineRule="auto"/>
        <w:ind w:left="426"/>
        <w:jc w:val="both"/>
        <w:rPr>
          <w:rFonts w:ascii="PT Sans" w:hAnsi="PT Sans"/>
          <w:sz w:val="16"/>
          <w:szCs w:val="16"/>
        </w:rPr>
      </w:pPr>
      <w:r w:rsidRPr="002B372F">
        <w:rPr>
          <w:rFonts w:ascii="PT Sans" w:hAnsi="PT Sans"/>
          <w:sz w:val="16"/>
          <w:szCs w:val="16"/>
        </w:rPr>
        <w:t>Realaus laiko PGR cikleris su programine įranga</w:t>
      </w:r>
      <w:r>
        <w:rPr>
          <w:rFonts w:ascii="PT Sans" w:hAnsi="PT Sans"/>
          <w:sz w:val="16"/>
          <w:szCs w:val="16"/>
        </w:rPr>
        <w:t>.</w:t>
      </w:r>
    </w:p>
    <w:p w14:paraId="4565ECDE" w14:textId="21F746E4" w:rsidR="002B372F" w:rsidRDefault="002B372F" w:rsidP="002B372F">
      <w:pPr>
        <w:spacing w:after="0" w:line="240" w:lineRule="auto"/>
        <w:ind w:left="66"/>
        <w:jc w:val="both"/>
        <w:rPr>
          <w:rFonts w:ascii="PT Sans" w:hAnsi="PT Sans"/>
          <w:sz w:val="16"/>
          <w:szCs w:val="16"/>
        </w:rPr>
      </w:pPr>
      <w:r w:rsidRPr="002B372F">
        <w:rPr>
          <w:rFonts w:ascii="PT Sans" w:hAnsi="PT Sans"/>
          <w:sz w:val="16"/>
          <w:szCs w:val="16"/>
        </w:rPr>
        <w:lastRenderedPageBreak/>
        <w:t>Realaus laiko ciklo nustatymų instrukcijas rasite mūsų GENERI BIOTECH svetainėje (</w:t>
      </w:r>
      <w:r w:rsidRPr="002B372F">
        <w:rPr>
          <w:rFonts w:ascii="PT Sans" w:hAnsi="PT Sans"/>
          <w:color w:val="AA113F"/>
          <w:sz w:val="16"/>
          <w:szCs w:val="16"/>
        </w:rPr>
        <w:t>Real-time PCR cycler Settings</w:t>
      </w:r>
      <w:r w:rsidRPr="002B372F">
        <w:rPr>
          <w:rFonts w:ascii="PT Sans" w:hAnsi="PT Sans"/>
          <w:sz w:val="16"/>
          <w:szCs w:val="16"/>
        </w:rPr>
        <w:t>)</w:t>
      </w:r>
      <w:r>
        <w:rPr>
          <w:rFonts w:ascii="PT Sans" w:hAnsi="PT Sans"/>
          <w:sz w:val="16"/>
          <w:szCs w:val="16"/>
        </w:rPr>
        <w:t>.</w:t>
      </w:r>
    </w:p>
    <w:p w14:paraId="26676DA6" w14:textId="68E64475" w:rsidR="002B372F" w:rsidRDefault="002B372F" w:rsidP="002B372F">
      <w:pPr>
        <w:spacing w:after="0" w:line="240" w:lineRule="auto"/>
        <w:ind w:left="66"/>
        <w:jc w:val="both"/>
        <w:rPr>
          <w:rFonts w:ascii="PT Sans" w:hAnsi="PT Sans"/>
          <w:sz w:val="16"/>
          <w:szCs w:val="16"/>
        </w:rPr>
      </w:pPr>
    </w:p>
    <w:p w14:paraId="64DD1D76" w14:textId="0D4CB5B8" w:rsidR="002B372F" w:rsidRPr="00CA1C38" w:rsidRDefault="00CA1C38" w:rsidP="002B372F">
      <w:pPr>
        <w:spacing w:after="0" w:line="240" w:lineRule="auto"/>
        <w:ind w:left="66"/>
        <w:jc w:val="both"/>
        <w:rPr>
          <w:rFonts w:ascii="PT Sans" w:hAnsi="PT Sans"/>
          <w:b/>
          <w:bCs/>
          <w:color w:val="AA113F"/>
          <w:sz w:val="16"/>
          <w:szCs w:val="16"/>
        </w:rPr>
      </w:pPr>
      <w:r w:rsidRPr="00CA1C38">
        <w:rPr>
          <w:rFonts w:ascii="PT Sans" w:hAnsi="PT Sans"/>
          <w:b/>
          <w:bCs/>
          <w:color w:val="AA113F"/>
          <w:sz w:val="16"/>
          <w:szCs w:val="16"/>
        </w:rPr>
        <w:t>DARBO TVARKA</w:t>
      </w:r>
    </w:p>
    <w:p w14:paraId="52E4145B" w14:textId="6C943029" w:rsidR="00CA1C38" w:rsidRPr="00CA1C38" w:rsidRDefault="00CA1C38" w:rsidP="002B372F">
      <w:pPr>
        <w:spacing w:after="0" w:line="240" w:lineRule="auto"/>
        <w:ind w:left="66"/>
        <w:jc w:val="both"/>
        <w:rPr>
          <w:rFonts w:ascii="PT Sans" w:hAnsi="PT Sans"/>
          <w:b/>
          <w:bCs/>
          <w:sz w:val="16"/>
          <w:szCs w:val="16"/>
        </w:rPr>
      </w:pPr>
      <w:r w:rsidRPr="00CA1C38">
        <w:rPr>
          <w:rFonts w:ascii="PT Sans" w:hAnsi="PT Sans"/>
          <w:b/>
          <w:bCs/>
          <w:sz w:val="16"/>
          <w:szCs w:val="16"/>
        </w:rPr>
        <w:t>Reagento paruošimas</w:t>
      </w:r>
    </w:p>
    <w:p w14:paraId="0F8EA179" w14:textId="77777777" w:rsidR="00CA1C38" w:rsidRPr="00CA1C38" w:rsidRDefault="00CA1C38" w:rsidP="00CA1C38">
      <w:pPr>
        <w:pStyle w:val="ListParagraph"/>
        <w:numPr>
          <w:ilvl w:val="0"/>
          <w:numId w:val="8"/>
        </w:numPr>
        <w:spacing w:after="0" w:line="240" w:lineRule="auto"/>
        <w:ind w:left="426"/>
        <w:jc w:val="both"/>
        <w:rPr>
          <w:rFonts w:ascii="PT Sans" w:hAnsi="PT Sans"/>
          <w:sz w:val="16"/>
          <w:szCs w:val="16"/>
        </w:rPr>
      </w:pPr>
      <w:r w:rsidRPr="00CA1C38">
        <w:rPr>
          <w:rFonts w:ascii="PT Sans" w:hAnsi="PT Sans"/>
          <w:sz w:val="16"/>
          <w:szCs w:val="16"/>
        </w:rPr>
        <w:t>Reagentų koncentracijos paruoštos tiesioginiam naudojimui.</w:t>
      </w:r>
    </w:p>
    <w:p w14:paraId="6DD56443" w14:textId="77777777" w:rsidR="00CA1C38" w:rsidRPr="00CA1C38" w:rsidRDefault="00CA1C38" w:rsidP="00CA1C38">
      <w:pPr>
        <w:pStyle w:val="ListParagraph"/>
        <w:numPr>
          <w:ilvl w:val="0"/>
          <w:numId w:val="8"/>
        </w:numPr>
        <w:spacing w:after="0" w:line="240" w:lineRule="auto"/>
        <w:ind w:left="426"/>
        <w:jc w:val="both"/>
        <w:rPr>
          <w:rFonts w:ascii="PT Sans" w:hAnsi="PT Sans"/>
          <w:sz w:val="16"/>
          <w:szCs w:val="16"/>
        </w:rPr>
      </w:pPr>
      <w:r w:rsidRPr="00CA1C38">
        <w:rPr>
          <w:rFonts w:ascii="PT Sans" w:hAnsi="PT Sans"/>
          <w:sz w:val="16"/>
          <w:szCs w:val="16"/>
        </w:rPr>
        <w:t>Prieš naudojimą atšildykite visus reagentus.</w:t>
      </w:r>
    </w:p>
    <w:p w14:paraId="2E745F38" w14:textId="77777777" w:rsidR="00CA1C38" w:rsidRPr="00CA1C38" w:rsidRDefault="00CA1C38" w:rsidP="00CA1C38">
      <w:pPr>
        <w:pStyle w:val="ListParagraph"/>
        <w:numPr>
          <w:ilvl w:val="0"/>
          <w:numId w:val="8"/>
        </w:numPr>
        <w:spacing w:after="0" w:line="240" w:lineRule="auto"/>
        <w:ind w:left="426"/>
        <w:jc w:val="both"/>
        <w:rPr>
          <w:rFonts w:ascii="PT Sans" w:hAnsi="PT Sans"/>
          <w:sz w:val="16"/>
          <w:szCs w:val="16"/>
        </w:rPr>
      </w:pPr>
      <w:r w:rsidRPr="00CA1C38">
        <w:rPr>
          <w:rFonts w:ascii="PT Sans" w:hAnsi="PT Sans"/>
          <w:sz w:val="16"/>
          <w:szCs w:val="16"/>
        </w:rPr>
        <w:t>Darbo metu reagentus, kurių tuo metu nenaudojate, laikykite šaldytuve ir tamsoje.</w:t>
      </w:r>
    </w:p>
    <w:p w14:paraId="4175AB01" w14:textId="68214321" w:rsidR="00CA1C38" w:rsidRPr="00CA1C38" w:rsidRDefault="00CA1C38" w:rsidP="00CA1C38">
      <w:pPr>
        <w:pStyle w:val="ListParagraph"/>
        <w:numPr>
          <w:ilvl w:val="0"/>
          <w:numId w:val="8"/>
        </w:numPr>
        <w:spacing w:after="0" w:line="240" w:lineRule="auto"/>
        <w:ind w:left="426"/>
        <w:jc w:val="both"/>
        <w:rPr>
          <w:rFonts w:ascii="PT Sans" w:hAnsi="PT Sans"/>
          <w:sz w:val="16"/>
          <w:szCs w:val="16"/>
        </w:rPr>
      </w:pPr>
      <w:r w:rsidRPr="00CA1C38">
        <w:rPr>
          <w:rFonts w:ascii="PT Sans" w:hAnsi="PT Sans"/>
          <w:sz w:val="16"/>
          <w:szCs w:val="16"/>
        </w:rPr>
        <w:t xml:space="preserve">Sumaišykite visus tirpalus ir prieš pat naudojimą </w:t>
      </w:r>
      <w:r>
        <w:rPr>
          <w:rFonts w:ascii="PT Sans" w:hAnsi="PT Sans"/>
          <w:sz w:val="16"/>
          <w:szCs w:val="16"/>
        </w:rPr>
        <w:t>nus</w:t>
      </w:r>
      <w:r w:rsidRPr="00CA1C38">
        <w:rPr>
          <w:rFonts w:ascii="PT Sans" w:hAnsi="PT Sans"/>
          <w:sz w:val="16"/>
          <w:szCs w:val="16"/>
        </w:rPr>
        <w:t>ukite</w:t>
      </w:r>
      <w:r>
        <w:rPr>
          <w:rFonts w:ascii="PT Sans" w:hAnsi="PT Sans"/>
          <w:sz w:val="16"/>
          <w:szCs w:val="16"/>
        </w:rPr>
        <w:t xml:space="preserve"> centrifugoje</w:t>
      </w:r>
      <w:r w:rsidRPr="00CA1C38">
        <w:rPr>
          <w:rFonts w:ascii="PT Sans" w:hAnsi="PT Sans"/>
          <w:sz w:val="16"/>
          <w:szCs w:val="16"/>
        </w:rPr>
        <w:t>.</w:t>
      </w:r>
    </w:p>
    <w:p w14:paraId="5A2E2006" w14:textId="77777777" w:rsidR="00CA1C38" w:rsidRPr="00CA1C38" w:rsidRDefault="00CA1C38" w:rsidP="00CA1C38">
      <w:pPr>
        <w:pStyle w:val="ListParagraph"/>
        <w:numPr>
          <w:ilvl w:val="0"/>
          <w:numId w:val="8"/>
        </w:numPr>
        <w:spacing w:after="0" w:line="240" w:lineRule="auto"/>
        <w:ind w:left="426"/>
        <w:jc w:val="both"/>
        <w:rPr>
          <w:rFonts w:ascii="PT Sans" w:hAnsi="PT Sans"/>
          <w:sz w:val="16"/>
          <w:szCs w:val="16"/>
        </w:rPr>
      </w:pPr>
      <w:r w:rsidRPr="00CA1C38">
        <w:rPr>
          <w:rFonts w:ascii="PT Sans" w:hAnsi="PT Sans"/>
          <w:sz w:val="16"/>
          <w:szCs w:val="16"/>
        </w:rPr>
        <w:t>Visada paruoškite tikslų reagentų kiekį, kurio pakanka kiekvienai analizei.</w:t>
      </w:r>
    </w:p>
    <w:p w14:paraId="0C08904E" w14:textId="5F1934F5" w:rsidR="00CA1C38" w:rsidRDefault="00CA1C38" w:rsidP="00CA1C38">
      <w:pPr>
        <w:pStyle w:val="ListParagraph"/>
        <w:numPr>
          <w:ilvl w:val="0"/>
          <w:numId w:val="8"/>
        </w:numPr>
        <w:spacing w:after="0" w:line="240" w:lineRule="auto"/>
        <w:ind w:left="426"/>
        <w:jc w:val="both"/>
        <w:rPr>
          <w:rFonts w:ascii="PT Sans" w:hAnsi="PT Sans"/>
          <w:sz w:val="16"/>
          <w:szCs w:val="16"/>
        </w:rPr>
      </w:pPr>
      <w:r w:rsidRPr="00CA1C38">
        <w:rPr>
          <w:rFonts w:ascii="PT Sans" w:hAnsi="PT Sans"/>
          <w:sz w:val="16"/>
          <w:szCs w:val="16"/>
        </w:rPr>
        <w:t>Jei naudojamas dažniau nei 5 užšaldymo atšildymo ciklai, rekomenduojame paruošti atitinkamas alikvotas.</w:t>
      </w:r>
    </w:p>
    <w:p w14:paraId="65119163" w14:textId="42298C98" w:rsidR="00CA1C38" w:rsidRDefault="00CA1C38" w:rsidP="00CA1C38">
      <w:pPr>
        <w:spacing w:after="0" w:line="240" w:lineRule="auto"/>
        <w:jc w:val="both"/>
        <w:rPr>
          <w:rFonts w:ascii="PT Sans" w:hAnsi="PT Sans"/>
          <w:sz w:val="16"/>
          <w:szCs w:val="16"/>
        </w:rPr>
      </w:pPr>
    </w:p>
    <w:p w14:paraId="4F037590" w14:textId="040A500C" w:rsidR="00CA1C38" w:rsidRDefault="00CA1C38" w:rsidP="00CA1C38">
      <w:pPr>
        <w:spacing w:after="0" w:line="240" w:lineRule="auto"/>
        <w:jc w:val="both"/>
        <w:rPr>
          <w:rFonts w:ascii="PT Sans" w:hAnsi="PT Sans"/>
          <w:b/>
          <w:bCs/>
          <w:sz w:val="16"/>
          <w:szCs w:val="16"/>
        </w:rPr>
      </w:pPr>
      <w:r w:rsidRPr="00CA1C38">
        <w:rPr>
          <w:rFonts w:ascii="PT Sans" w:hAnsi="PT Sans"/>
          <w:b/>
          <w:bCs/>
          <w:sz w:val="16"/>
          <w:szCs w:val="16"/>
        </w:rPr>
        <w:t>Mėginio paruošimas</w:t>
      </w:r>
    </w:p>
    <w:p w14:paraId="1AAD9D40" w14:textId="2B323C92" w:rsidR="00CA1C38" w:rsidRDefault="00AD551B" w:rsidP="00CA1C38">
      <w:pPr>
        <w:spacing w:after="0" w:line="240" w:lineRule="auto"/>
        <w:jc w:val="both"/>
        <w:rPr>
          <w:rFonts w:ascii="PT Sans" w:hAnsi="PT Sans"/>
          <w:sz w:val="16"/>
          <w:szCs w:val="16"/>
        </w:rPr>
      </w:pPr>
      <w:r w:rsidRPr="00AD551B">
        <w:rPr>
          <w:rFonts w:ascii="PT Sans" w:hAnsi="PT Sans"/>
          <w:sz w:val="16"/>
          <w:szCs w:val="16"/>
        </w:rPr>
        <w:t>Rinkinys skirtas žmogaus genominės DNR mutacijai aptikti. Bendras genominės DNR kiekis vienoje reakcijoje turi būti 10–400 ng, o tai atitinka 2,5–100 ng/µl mėginio koncentraciją.</w:t>
      </w:r>
    </w:p>
    <w:p w14:paraId="414A859B" w14:textId="62F4599B" w:rsidR="00D3446F" w:rsidRDefault="00D3446F" w:rsidP="00CA1C38">
      <w:pPr>
        <w:spacing w:after="0" w:line="240" w:lineRule="auto"/>
        <w:jc w:val="both"/>
        <w:rPr>
          <w:rFonts w:ascii="PT Sans" w:hAnsi="PT Sans"/>
          <w:sz w:val="16"/>
          <w:szCs w:val="16"/>
        </w:rPr>
      </w:pPr>
    </w:p>
    <w:p w14:paraId="531E8864" w14:textId="7B6A3474" w:rsidR="00D3446F" w:rsidRPr="001E6370" w:rsidRDefault="00D3446F" w:rsidP="00CA1C38">
      <w:pPr>
        <w:spacing w:after="0" w:line="240" w:lineRule="auto"/>
        <w:jc w:val="both"/>
        <w:rPr>
          <w:rFonts w:ascii="PT Sans" w:hAnsi="PT Sans"/>
          <w:b/>
          <w:bCs/>
          <w:sz w:val="16"/>
          <w:szCs w:val="16"/>
        </w:rPr>
      </w:pPr>
      <w:r w:rsidRPr="001E6370">
        <w:rPr>
          <w:rFonts w:ascii="PT Sans" w:hAnsi="PT Sans"/>
          <w:b/>
          <w:bCs/>
          <w:sz w:val="16"/>
          <w:szCs w:val="16"/>
        </w:rPr>
        <w:t>qPGR mišinio paruošimas</w:t>
      </w:r>
    </w:p>
    <w:p w14:paraId="1AC8FDCC" w14:textId="797794FE" w:rsidR="001E6370" w:rsidRPr="001E6370" w:rsidRDefault="001E6370" w:rsidP="001E6370">
      <w:pPr>
        <w:spacing w:after="0" w:line="240" w:lineRule="auto"/>
        <w:jc w:val="both"/>
        <w:rPr>
          <w:rFonts w:ascii="PT Sans" w:hAnsi="PT Sans"/>
          <w:sz w:val="16"/>
          <w:szCs w:val="16"/>
        </w:rPr>
      </w:pPr>
      <w:r w:rsidRPr="001E6370">
        <w:rPr>
          <w:rFonts w:ascii="PT Sans" w:hAnsi="PT Sans"/>
          <w:sz w:val="16"/>
          <w:szCs w:val="16"/>
        </w:rPr>
        <w:t>Atšildy</w:t>
      </w:r>
      <w:r>
        <w:rPr>
          <w:rFonts w:ascii="PT Sans" w:hAnsi="PT Sans"/>
          <w:sz w:val="16"/>
          <w:szCs w:val="16"/>
        </w:rPr>
        <w:t>kite</w:t>
      </w:r>
      <w:r w:rsidRPr="001E6370">
        <w:rPr>
          <w:rFonts w:ascii="PT Sans" w:hAnsi="PT Sans"/>
          <w:sz w:val="16"/>
          <w:szCs w:val="16"/>
        </w:rPr>
        <w:t xml:space="preserve"> </w:t>
      </w:r>
      <w:r>
        <w:rPr>
          <w:rFonts w:ascii="PT Sans" w:hAnsi="PT Sans"/>
          <w:sz w:val="16"/>
          <w:szCs w:val="16"/>
        </w:rPr>
        <w:t>„Assay qPCR“ mišinį</w:t>
      </w:r>
      <w:r w:rsidRPr="001E6370">
        <w:rPr>
          <w:rFonts w:ascii="PT Sans" w:hAnsi="PT Sans"/>
          <w:sz w:val="16"/>
          <w:szCs w:val="16"/>
        </w:rPr>
        <w:t>, prieš pat naudojimą gerai suplakite ir nusukite. Bendras kiekybinis</w:t>
      </w:r>
      <w:r>
        <w:rPr>
          <w:rFonts w:ascii="PT Sans" w:hAnsi="PT Sans"/>
          <w:sz w:val="16"/>
          <w:szCs w:val="16"/>
        </w:rPr>
        <w:t xml:space="preserve"> </w:t>
      </w:r>
      <w:r w:rsidRPr="001E6370">
        <w:rPr>
          <w:rFonts w:ascii="PT Sans" w:hAnsi="PT Sans"/>
          <w:sz w:val="16"/>
          <w:szCs w:val="16"/>
        </w:rPr>
        <w:t>P</w:t>
      </w:r>
      <w:r>
        <w:rPr>
          <w:rFonts w:ascii="PT Sans" w:hAnsi="PT Sans"/>
          <w:sz w:val="16"/>
          <w:szCs w:val="16"/>
        </w:rPr>
        <w:t>G</w:t>
      </w:r>
      <w:r w:rsidRPr="001E6370">
        <w:rPr>
          <w:rFonts w:ascii="PT Sans" w:hAnsi="PT Sans"/>
          <w:sz w:val="16"/>
          <w:szCs w:val="16"/>
        </w:rPr>
        <w:t xml:space="preserve">R reakcijos tūris yra 20 µl. Paskirstykite 16 µl </w:t>
      </w:r>
      <w:r>
        <w:rPr>
          <w:rFonts w:ascii="PT Sans" w:hAnsi="PT Sans"/>
          <w:sz w:val="16"/>
          <w:szCs w:val="16"/>
        </w:rPr>
        <w:t>„</w:t>
      </w:r>
      <w:r w:rsidRPr="001E6370">
        <w:rPr>
          <w:rFonts w:ascii="PT Sans" w:hAnsi="PT Sans"/>
          <w:sz w:val="16"/>
          <w:szCs w:val="16"/>
        </w:rPr>
        <w:t>Assay qP</w:t>
      </w:r>
      <w:r>
        <w:rPr>
          <w:rFonts w:ascii="PT Sans" w:hAnsi="PT Sans"/>
          <w:sz w:val="16"/>
          <w:szCs w:val="16"/>
        </w:rPr>
        <w:t>C</w:t>
      </w:r>
      <w:r w:rsidRPr="001E6370">
        <w:rPr>
          <w:rFonts w:ascii="PT Sans" w:hAnsi="PT Sans"/>
          <w:sz w:val="16"/>
          <w:szCs w:val="16"/>
        </w:rPr>
        <w:t>R (CQ UGT1A1)</w:t>
      </w:r>
      <w:r>
        <w:rPr>
          <w:rFonts w:ascii="PT Sans" w:hAnsi="PT Sans"/>
          <w:sz w:val="16"/>
          <w:szCs w:val="16"/>
        </w:rPr>
        <w:t>“ mišinį</w:t>
      </w:r>
      <w:r w:rsidRPr="001E6370">
        <w:rPr>
          <w:rFonts w:ascii="PT Sans" w:hAnsi="PT Sans"/>
          <w:sz w:val="16"/>
          <w:szCs w:val="16"/>
        </w:rPr>
        <w:t xml:space="preserve"> į reakcijos mėgintuvėlius. Įpilkite 4 µl šablono (DNR mėginio arba standart</w:t>
      </w:r>
      <w:r w:rsidR="00E5652A">
        <w:rPr>
          <w:rFonts w:ascii="PT Sans" w:hAnsi="PT Sans"/>
          <w:sz w:val="16"/>
          <w:szCs w:val="16"/>
        </w:rPr>
        <w:t>o</w:t>
      </w:r>
      <w:r w:rsidRPr="001E6370">
        <w:rPr>
          <w:rFonts w:ascii="PT Sans" w:hAnsi="PT Sans"/>
          <w:sz w:val="16"/>
          <w:szCs w:val="16"/>
        </w:rPr>
        <w:t xml:space="preserve"> UGT1A1). Jei mėginio tūris mažesnis, užpildykite reakciją dejonizuotu vandeniu iki 20 µl. Kaip neigiamą kontrolę naudokite 4 µl dejonizuot</w:t>
      </w:r>
      <w:r w:rsidR="00161FA9">
        <w:rPr>
          <w:rFonts w:ascii="PT Sans" w:hAnsi="PT Sans"/>
          <w:sz w:val="16"/>
          <w:szCs w:val="16"/>
        </w:rPr>
        <w:t>o</w:t>
      </w:r>
      <w:r w:rsidRPr="001E6370">
        <w:rPr>
          <w:rFonts w:ascii="PT Sans" w:hAnsi="PT Sans"/>
          <w:sz w:val="16"/>
          <w:szCs w:val="16"/>
        </w:rPr>
        <w:t xml:space="preserve"> vandens.</w:t>
      </w:r>
    </w:p>
    <w:p w14:paraId="2BBD37E1" w14:textId="480B7AF0" w:rsidR="001E6370" w:rsidRPr="001E6370" w:rsidRDefault="001E6370" w:rsidP="001E6370">
      <w:pPr>
        <w:spacing w:after="0" w:line="240" w:lineRule="auto"/>
        <w:jc w:val="both"/>
        <w:rPr>
          <w:rFonts w:ascii="PT Sans" w:hAnsi="PT Sans"/>
          <w:sz w:val="16"/>
          <w:szCs w:val="16"/>
        </w:rPr>
      </w:pPr>
      <w:r w:rsidRPr="001E6370">
        <w:rPr>
          <w:rFonts w:ascii="PT Sans" w:hAnsi="PT Sans"/>
          <w:sz w:val="16"/>
          <w:szCs w:val="16"/>
        </w:rPr>
        <w:t xml:space="preserve">Švelniai sumaišykite ir trumpai </w:t>
      </w:r>
      <w:r w:rsidR="007F6910">
        <w:rPr>
          <w:rFonts w:ascii="PT Sans" w:hAnsi="PT Sans"/>
          <w:sz w:val="16"/>
          <w:szCs w:val="16"/>
        </w:rPr>
        <w:t>centrifugoje nu</w:t>
      </w:r>
      <w:r w:rsidRPr="001E6370">
        <w:rPr>
          <w:rFonts w:ascii="PT Sans" w:hAnsi="PT Sans"/>
          <w:sz w:val="16"/>
          <w:szCs w:val="16"/>
        </w:rPr>
        <w:t xml:space="preserve">sukite galutinį </w:t>
      </w:r>
      <w:r w:rsidR="00E5652A">
        <w:rPr>
          <w:rFonts w:ascii="PT Sans" w:hAnsi="PT Sans"/>
          <w:sz w:val="16"/>
          <w:szCs w:val="16"/>
        </w:rPr>
        <w:t xml:space="preserve">kiekybinės </w:t>
      </w:r>
      <w:r w:rsidRPr="001E6370">
        <w:rPr>
          <w:rFonts w:ascii="PT Sans" w:hAnsi="PT Sans"/>
          <w:sz w:val="16"/>
          <w:szCs w:val="16"/>
        </w:rPr>
        <w:t>P</w:t>
      </w:r>
      <w:r w:rsidR="00E5652A">
        <w:rPr>
          <w:rFonts w:ascii="PT Sans" w:hAnsi="PT Sans"/>
          <w:sz w:val="16"/>
          <w:szCs w:val="16"/>
        </w:rPr>
        <w:t>G</w:t>
      </w:r>
      <w:r w:rsidRPr="001E6370">
        <w:rPr>
          <w:rFonts w:ascii="PT Sans" w:hAnsi="PT Sans"/>
          <w:sz w:val="16"/>
          <w:szCs w:val="16"/>
        </w:rPr>
        <w:t xml:space="preserve">R </w:t>
      </w:r>
      <w:r w:rsidR="00E5652A">
        <w:rPr>
          <w:rFonts w:ascii="PT Sans" w:hAnsi="PT Sans"/>
          <w:sz w:val="16"/>
          <w:szCs w:val="16"/>
        </w:rPr>
        <w:t xml:space="preserve">reakcijos </w:t>
      </w:r>
      <w:r w:rsidRPr="001E6370">
        <w:rPr>
          <w:rFonts w:ascii="PT Sans" w:hAnsi="PT Sans"/>
          <w:sz w:val="16"/>
          <w:szCs w:val="16"/>
        </w:rPr>
        <w:t>mišinį.</w:t>
      </w:r>
    </w:p>
    <w:p w14:paraId="3222312C" w14:textId="55DE13F1" w:rsidR="00D3446F" w:rsidRPr="00AD551B" w:rsidRDefault="001E6370" w:rsidP="001E6370">
      <w:pPr>
        <w:spacing w:after="0" w:line="240" w:lineRule="auto"/>
        <w:jc w:val="both"/>
        <w:rPr>
          <w:rFonts w:ascii="PT Sans" w:hAnsi="PT Sans"/>
          <w:sz w:val="16"/>
          <w:szCs w:val="16"/>
        </w:rPr>
      </w:pPr>
      <w:r w:rsidRPr="001E6370">
        <w:rPr>
          <w:rFonts w:ascii="PT Sans" w:hAnsi="PT Sans"/>
          <w:sz w:val="16"/>
          <w:szCs w:val="16"/>
        </w:rPr>
        <w:t xml:space="preserve">Geriau atlikti </w:t>
      </w:r>
      <w:r w:rsidR="007F6910" w:rsidRPr="001E6370">
        <w:rPr>
          <w:rFonts w:ascii="PT Sans" w:hAnsi="PT Sans"/>
          <w:sz w:val="16"/>
          <w:szCs w:val="16"/>
        </w:rPr>
        <w:t>kiekybin</w:t>
      </w:r>
      <w:r w:rsidR="007F6910">
        <w:rPr>
          <w:rFonts w:ascii="PT Sans" w:hAnsi="PT Sans"/>
          <w:sz w:val="16"/>
          <w:szCs w:val="16"/>
        </w:rPr>
        <w:t xml:space="preserve">ę </w:t>
      </w:r>
      <w:r w:rsidR="007F6910" w:rsidRPr="001E6370">
        <w:rPr>
          <w:rFonts w:ascii="PT Sans" w:hAnsi="PT Sans"/>
          <w:sz w:val="16"/>
          <w:szCs w:val="16"/>
        </w:rPr>
        <w:t>P</w:t>
      </w:r>
      <w:r w:rsidR="007F6910">
        <w:rPr>
          <w:rFonts w:ascii="PT Sans" w:hAnsi="PT Sans"/>
          <w:sz w:val="16"/>
          <w:szCs w:val="16"/>
        </w:rPr>
        <w:t>G</w:t>
      </w:r>
      <w:r w:rsidR="007F6910" w:rsidRPr="001E6370">
        <w:rPr>
          <w:rFonts w:ascii="PT Sans" w:hAnsi="PT Sans"/>
          <w:sz w:val="16"/>
          <w:szCs w:val="16"/>
        </w:rPr>
        <w:t>R</w:t>
      </w:r>
      <w:r w:rsidRPr="001E6370">
        <w:rPr>
          <w:rFonts w:ascii="PT Sans" w:hAnsi="PT Sans"/>
          <w:sz w:val="16"/>
          <w:szCs w:val="16"/>
        </w:rPr>
        <w:t xml:space="preserve"> analizę iš karto po </w:t>
      </w:r>
      <w:r w:rsidR="007F6910">
        <w:rPr>
          <w:rFonts w:ascii="PT Sans" w:hAnsi="PT Sans"/>
          <w:sz w:val="16"/>
          <w:szCs w:val="16"/>
        </w:rPr>
        <w:t xml:space="preserve">mišinio </w:t>
      </w:r>
      <w:r w:rsidRPr="001E6370">
        <w:rPr>
          <w:rFonts w:ascii="PT Sans" w:hAnsi="PT Sans"/>
          <w:sz w:val="16"/>
          <w:szCs w:val="16"/>
        </w:rPr>
        <w:t xml:space="preserve">paruošimo. Prieš atliekant analizę, </w:t>
      </w:r>
      <w:r w:rsidR="007F6910">
        <w:rPr>
          <w:rFonts w:ascii="PT Sans" w:hAnsi="PT Sans"/>
          <w:sz w:val="16"/>
          <w:szCs w:val="16"/>
        </w:rPr>
        <w:t>mišinius</w:t>
      </w:r>
      <w:r w:rsidRPr="001E6370">
        <w:rPr>
          <w:rFonts w:ascii="PT Sans" w:hAnsi="PT Sans"/>
          <w:sz w:val="16"/>
          <w:szCs w:val="16"/>
        </w:rPr>
        <w:t xml:space="preserve"> galima laikyti šaldytuve, bet ne ilgiau kaip vieną valandą.</w:t>
      </w:r>
    </w:p>
    <w:p w14:paraId="1A61DBAE" w14:textId="37356B44" w:rsidR="0003678E" w:rsidRDefault="0003678E" w:rsidP="00216232">
      <w:pPr>
        <w:spacing w:after="0" w:line="240" w:lineRule="auto"/>
        <w:jc w:val="both"/>
        <w:rPr>
          <w:rFonts w:ascii="PT Sans" w:hAnsi="PT Sans"/>
          <w:sz w:val="16"/>
          <w:szCs w:val="16"/>
        </w:rPr>
      </w:pPr>
    </w:p>
    <w:p w14:paraId="1760ED5E" w14:textId="05B8529C" w:rsidR="0003678E" w:rsidRPr="002A17CC" w:rsidRDefault="002A17CC" w:rsidP="00216232">
      <w:pPr>
        <w:spacing w:after="0" w:line="240" w:lineRule="auto"/>
        <w:jc w:val="both"/>
        <w:rPr>
          <w:rFonts w:ascii="PT Sans" w:hAnsi="PT Sans"/>
          <w:b/>
          <w:bCs/>
          <w:sz w:val="16"/>
          <w:szCs w:val="16"/>
        </w:rPr>
      </w:pPr>
      <w:r w:rsidRPr="002A17CC">
        <w:rPr>
          <w:rFonts w:ascii="PT Sans" w:hAnsi="PT Sans"/>
          <w:b/>
          <w:bCs/>
          <w:sz w:val="16"/>
          <w:szCs w:val="16"/>
        </w:rPr>
        <w:t>Terminio profilio nustatymai</w:t>
      </w:r>
    </w:p>
    <w:p w14:paraId="0B45CDAB" w14:textId="48597917" w:rsidR="002A17CC" w:rsidRDefault="002A17CC" w:rsidP="00216232">
      <w:pPr>
        <w:spacing w:after="0" w:line="240" w:lineRule="auto"/>
        <w:jc w:val="both"/>
        <w:rPr>
          <w:rFonts w:ascii="PT Sans" w:hAnsi="PT Sans"/>
          <w:sz w:val="16"/>
          <w:szCs w:val="16"/>
        </w:rPr>
      </w:pPr>
      <w:r w:rsidRPr="002A17CC">
        <w:rPr>
          <w:rFonts w:ascii="PT Sans" w:hAnsi="PT Sans"/>
          <w:sz w:val="16"/>
          <w:szCs w:val="16"/>
        </w:rPr>
        <w:t xml:space="preserve">Nustatykite </w:t>
      </w:r>
      <w:r>
        <w:rPr>
          <w:rFonts w:ascii="PT Sans" w:hAnsi="PT Sans"/>
          <w:sz w:val="16"/>
          <w:szCs w:val="16"/>
        </w:rPr>
        <w:t xml:space="preserve">terminių </w:t>
      </w:r>
      <w:r w:rsidRPr="002A17CC">
        <w:rPr>
          <w:rFonts w:ascii="PT Sans" w:hAnsi="PT Sans"/>
          <w:sz w:val="16"/>
          <w:szCs w:val="16"/>
        </w:rPr>
        <w:t>cikl</w:t>
      </w:r>
      <w:r>
        <w:rPr>
          <w:rFonts w:ascii="PT Sans" w:hAnsi="PT Sans"/>
          <w:sz w:val="16"/>
          <w:szCs w:val="16"/>
        </w:rPr>
        <w:t>ų</w:t>
      </w:r>
      <w:r w:rsidRPr="002A17CC">
        <w:rPr>
          <w:rFonts w:ascii="PT Sans" w:hAnsi="PT Sans"/>
          <w:sz w:val="16"/>
          <w:szCs w:val="16"/>
        </w:rPr>
        <w:t xml:space="preserve"> sąlygas realiojo laiko PGR cikle</w:t>
      </w:r>
      <w:r>
        <w:rPr>
          <w:rFonts w:ascii="PT Sans" w:hAnsi="PT Sans"/>
          <w:sz w:val="16"/>
          <w:szCs w:val="16"/>
        </w:rPr>
        <w:t>ryje</w:t>
      </w:r>
      <w:r w:rsidRPr="002A17CC">
        <w:rPr>
          <w:rFonts w:ascii="PT Sans" w:hAnsi="PT Sans"/>
          <w:sz w:val="16"/>
          <w:szCs w:val="16"/>
        </w:rPr>
        <w:t>. Rekomenduojama</w:t>
      </w:r>
      <w:r>
        <w:rPr>
          <w:rFonts w:ascii="PT Sans" w:hAnsi="PT Sans"/>
          <w:sz w:val="16"/>
          <w:szCs w:val="16"/>
        </w:rPr>
        <w:t xml:space="preserve">s terminis programos profilis </w:t>
      </w:r>
      <w:r w:rsidRPr="002A17CC">
        <w:rPr>
          <w:rFonts w:ascii="PT Sans" w:hAnsi="PT Sans"/>
          <w:sz w:val="16"/>
          <w:szCs w:val="16"/>
        </w:rPr>
        <w:t>yra toks:</w:t>
      </w:r>
    </w:p>
    <w:p w14:paraId="2B8735CF" w14:textId="6B6655E9" w:rsidR="002A17CC" w:rsidRPr="002A17CC" w:rsidRDefault="002A17CC" w:rsidP="00216232">
      <w:pPr>
        <w:spacing w:after="0" w:line="240" w:lineRule="auto"/>
        <w:jc w:val="both"/>
        <w:rPr>
          <w:rFonts w:ascii="PT Sans" w:hAnsi="PT Sans"/>
          <w:b/>
          <w:bCs/>
          <w:sz w:val="16"/>
          <w:szCs w:val="16"/>
        </w:rPr>
      </w:pPr>
      <w:r w:rsidRPr="002A17CC">
        <w:rPr>
          <w:rFonts w:ascii="PT Sans" w:hAnsi="PT Sans"/>
          <w:b/>
          <w:bCs/>
          <w:sz w:val="16"/>
          <w:szCs w:val="16"/>
        </w:rPr>
        <w:t>Amplifikacija:</w:t>
      </w:r>
    </w:p>
    <w:p w14:paraId="4FFABF42" w14:textId="14EE51F6" w:rsidR="002A17CC" w:rsidRDefault="002A17CC" w:rsidP="002A17CC">
      <w:pPr>
        <w:spacing w:after="0" w:line="240" w:lineRule="auto"/>
        <w:ind w:left="284"/>
        <w:jc w:val="both"/>
        <w:rPr>
          <w:rFonts w:ascii="PT Sans" w:hAnsi="PT Sans"/>
          <w:b/>
          <w:bCs/>
          <w:sz w:val="16"/>
          <w:szCs w:val="16"/>
        </w:rPr>
      </w:pPr>
      <w:r>
        <w:rPr>
          <w:rFonts w:ascii="PT Sans" w:hAnsi="PT Sans"/>
          <w:sz w:val="16"/>
          <w:szCs w:val="16"/>
        </w:rPr>
        <w:t xml:space="preserve">Pirminis </w:t>
      </w:r>
      <w:r w:rsidRPr="002A17CC">
        <w:rPr>
          <w:rFonts w:ascii="PT Sans" w:hAnsi="PT Sans"/>
          <w:sz w:val="16"/>
          <w:szCs w:val="16"/>
        </w:rPr>
        <w:t>denatūravimas</w:t>
      </w:r>
      <w:r>
        <w:rPr>
          <w:rFonts w:ascii="PT Sans" w:hAnsi="PT Sans"/>
          <w:sz w:val="16"/>
          <w:szCs w:val="16"/>
        </w:rPr>
        <w:tab/>
      </w:r>
      <w:r w:rsidRPr="002A17CC">
        <w:rPr>
          <w:rFonts w:ascii="PT Sans" w:hAnsi="PT Sans"/>
          <w:b/>
          <w:bCs/>
          <w:sz w:val="16"/>
          <w:szCs w:val="16"/>
        </w:rPr>
        <w:t>95 °C</w:t>
      </w:r>
      <w:r w:rsidRPr="002A17CC">
        <w:rPr>
          <w:rFonts w:ascii="PT Sans" w:hAnsi="PT Sans"/>
          <w:b/>
          <w:bCs/>
          <w:sz w:val="16"/>
          <w:szCs w:val="16"/>
        </w:rPr>
        <w:tab/>
        <w:t>3 min</w:t>
      </w:r>
    </w:p>
    <w:p w14:paraId="15CAFBD3" w14:textId="5ABA8780" w:rsidR="002A17CC" w:rsidRPr="00647304" w:rsidRDefault="002A17CC" w:rsidP="002A17CC">
      <w:pPr>
        <w:spacing w:after="0" w:line="240" w:lineRule="auto"/>
        <w:ind w:left="284"/>
        <w:jc w:val="both"/>
        <w:rPr>
          <w:rFonts w:ascii="PT Sans" w:hAnsi="PT Sans"/>
          <w:b/>
          <w:bCs/>
          <w:sz w:val="16"/>
          <w:szCs w:val="16"/>
        </w:rPr>
      </w:pPr>
      <w:r w:rsidRPr="00647304">
        <w:rPr>
          <w:rFonts w:ascii="PT Sans" w:hAnsi="PT Sans"/>
          <w:b/>
          <w:bCs/>
          <w:sz w:val="16"/>
          <w:szCs w:val="16"/>
        </w:rPr>
        <w:t>50 ciklų:</w:t>
      </w:r>
    </w:p>
    <w:p w14:paraId="40ED0E2B" w14:textId="46E5BE55" w:rsidR="002A17CC" w:rsidRDefault="002A17CC" w:rsidP="002A17CC">
      <w:pPr>
        <w:spacing w:after="0" w:line="240" w:lineRule="auto"/>
        <w:ind w:left="284"/>
        <w:jc w:val="both"/>
        <w:rPr>
          <w:rFonts w:ascii="PT Sans" w:hAnsi="PT Sans"/>
          <w:b/>
          <w:bCs/>
          <w:sz w:val="16"/>
          <w:szCs w:val="16"/>
        </w:rPr>
      </w:pPr>
      <w:r>
        <w:rPr>
          <w:rFonts w:ascii="PT Sans" w:hAnsi="PT Sans"/>
          <w:sz w:val="16"/>
          <w:szCs w:val="16"/>
        </w:rPr>
        <w:t>Denatūravimo</w:t>
      </w:r>
      <w:r>
        <w:rPr>
          <w:rFonts w:ascii="PT Sans" w:hAnsi="PT Sans"/>
          <w:sz w:val="16"/>
          <w:szCs w:val="16"/>
        </w:rPr>
        <w:tab/>
      </w:r>
      <w:r>
        <w:rPr>
          <w:rFonts w:ascii="PT Sans" w:hAnsi="PT Sans"/>
          <w:sz w:val="16"/>
          <w:szCs w:val="16"/>
        </w:rPr>
        <w:tab/>
      </w:r>
      <w:r w:rsidRPr="002A17CC">
        <w:rPr>
          <w:rFonts w:ascii="PT Sans" w:hAnsi="PT Sans"/>
          <w:b/>
          <w:bCs/>
          <w:sz w:val="16"/>
          <w:szCs w:val="16"/>
        </w:rPr>
        <w:t>95 °C</w:t>
      </w:r>
      <w:r w:rsidRPr="002A17CC">
        <w:rPr>
          <w:rFonts w:ascii="PT Sans" w:hAnsi="PT Sans"/>
          <w:b/>
          <w:bCs/>
          <w:sz w:val="16"/>
          <w:szCs w:val="16"/>
        </w:rPr>
        <w:tab/>
      </w:r>
      <w:r>
        <w:rPr>
          <w:rFonts w:ascii="PT Sans" w:hAnsi="PT Sans"/>
          <w:b/>
          <w:bCs/>
          <w:sz w:val="16"/>
          <w:szCs w:val="16"/>
        </w:rPr>
        <w:t>10 s</w:t>
      </w:r>
    </w:p>
    <w:p w14:paraId="76C3966C" w14:textId="46A11F6A" w:rsidR="002A17CC" w:rsidRDefault="00647304" w:rsidP="00A805DB">
      <w:pPr>
        <w:spacing w:after="0" w:line="240" w:lineRule="auto"/>
        <w:ind w:left="2594" w:right="-567" w:hanging="2310"/>
        <w:jc w:val="both"/>
        <w:rPr>
          <w:rFonts w:ascii="PT Sans" w:hAnsi="PT Sans"/>
          <w:b/>
          <w:bCs/>
          <w:sz w:val="16"/>
          <w:szCs w:val="16"/>
        </w:rPr>
      </w:pPr>
      <w:r>
        <w:rPr>
          <w:rFonts w:ascii="PT Sans" w:hAnsi="PT Sans"/>
          <w:sz w:val="16"/>
          <w:szCs w:val="16"/>
        </w:rPr>
        <w:t>Atkaitinimo</w:t>
      </w:r>
      <w:r w:rsidR="002A17CC">
        <w:rPr>
          <w:rFonts w:ascii="PT Sans" w:hAnsi="PT Sans"/>
          <w:sz w:val="16"/>
          <w:szCs w:val="16"/>
        </w:rPr>
        <w:tab/>
      </w:r>
      <w:r w:rsidR="002A17CC">
        <w:rPr>
          <w:rFonts w:ascii="PT Sans" w:hAnsi="PT Sans"/>
          <w:b/>
          <w:bCs/>
          <w:sz w:val="16"/>
          <w:szCs w:val="16"/>
        </w:rPr>
        <w:t>60</w:t>
      </w:r>
      <w:r w:rsidR="002A17CC" w:rsidRPr="002A17CC">
        <w:rPr>
          <w:rFonts w:ascii="PT Sans" w:hAnsi="PT Sans"/>
          <w:b/>
          <w:bCs/>
          <w:sz w:val="16"/>
          <w:szCs w:val="16"/>
        </w:rPr>
        <w:t xml:space="preserve"> °C</w:t>
      </w:r>
      <w:r w:rsidR="002A17CC" w:rsidRPr="002A17CC">
        <w:rPr>
          <w:rFonts w:ascii="PT Sans" w:hAnsi="PT Sans"/>
          <w:b/>
          <w:bCs/>
          <w:sz w:val="16"/>
          <w:szCs w:val="16"/>
        </w:rPr>
        <w:tab/>
      </w:r>
      <w:r w:rsidR="002A17CC">
        <w:rPr>
          <w:rFonts w:ascii="PT Sans" w:hAnsi="PT Sans"/>
          <w:b/>
          <w:bCs/>
          <w:sz w:val="16"/>
          <w:szCs w:val="16"/>
        </w:rPr>
        <w:t>10</w:t>
      </w:r>
      <w:r w:rsidR="00A805DB">
        <w:rPr>
          <w:rFonts w:ascii="PT Sans" w:hAnsi="PT Sans"/>
          <w:b/>
          <w:bCs/>
          <w:sz w:val="16"/>
          <w:szCs w:val="16"/>
        </w:rPr>
        <w:t xml:space="preserve"> </w:t>
      </w:r>
      <w:r w:rsidR="002A17CC">
        <w:rPr>
          <w:rFonts w:ascii="PT Sans" w:hAnsi="PT Sans"/>
          <w:b/>
          <w:bCs/>
          <w:sz w:val="16"/>
          <w:szCs w:val="16"/>
        </w:rPr>
        <w:t>s*</w:t>
      </w:r>
    </w:p>
    <w:p w14:paraId="60D4E6C9" w14:textId="19D897A4" w:rsidR="00A805DB" w:rsidRPr="00A805DB" w:rsidRDefault="00A805DB" w:rsidP="00647304">
      <w:pPr>
        <w:spacing w:after="0" w:line="240" w:lineRule="auto"/>
        <w:ind w:left="3544" w:right="-425"/>
        <w:jc w:val="both"/>
        <w:rPr>
          <w:rFonts w:ascii="PT Sans" w:hAnsi="PT Sans"/>
          <w:sz w:val="12"/>
          <w:szCs w:val="12"/>
        </w:rPr>
      </w:pPr>
      <w:r w:rsidRPr="00A805DB">
        <w:rPr>
          <w:rFonts w:ascii="PT Sans" w:hAnsi="PT Sans"/>
          <w:sz w:val="12"/>
          <w:szCs w:val="12"/>
        </w:rPr>
        <w:t>(fluorescencijos gavimas)</w:t>
      </w:r>
    </w:p>
    <w:p w14:paraId="40389778" w14:textId="05064DB7" w:rsidR="00A805DB" w:rsidRPr="00A805DB" w:rsidRDefault="00A805DB" w:rsidP="00A805DB">
      <w:pPr>
        <w:spacing w:after="0" w:line="240" w:lineRule="auto"/>
        <w:ind w:left="2594" w:hanging="2310"/>
        <w:jc w:val="both"/>
        <w:rPr>
          <w:rFonts w:ascii="PT Sans" w:hAnsi="PT Sans"/>
          <w:sz w:val="16"/>
          <w:szCs w:val="16"/>
        </w:rPr>
      </w:pPr>
      <w:r w:rsidRPr="00A805DB">
        <w:rPr>
          <w:rFonts w:ascii="PT Sans" w:hAnsi="PT Sans"/>
          <w:sz w:val="16"/>
          <w:szCs w:val="16"/>
        </w:rPr>
        <w:t>Pailginimo</w:t>
      </w:r>
      <w:r>
        <w:rPr>
          <w:rFonts w:ascii="PT Sans" w:hAnsi="PT Sans"/>
          <w:sz w:val="16"/>
          <w:szCs w:val="16"/>
        </w:rPr>
        <w:tab/>
      </w:r>
      <w:r w:rsidRPr="00A805DB">
        <w:rPr>
          <w:rFonts w:ascii="PT Sans" w:hAnsi="PT Sans"/>
          <w:b/>
          <w:bCs/>
          <w:sz w:val="16"/>
          <w:szCs w:val="16"/>
        </w:rPr>
        <w:t xml:space="preserve">72 </w:t>
      </w:r>
      <w:r w:rsidRPr="002A17CC">
        <w:rPr>
          <w:rFonts w:ascii="PT Sans" w:hAnsi="PT Sans"/>
          <w:b/>
          <w:bCs/>
          <w:sz w:val="16"/>
          <w:szCs w:val="16"/>
        </w:rPr>
        <w:t>°C</w:t>
      </w:r>
      <w:r>
        <w:rPr>
          <w:rFonts w:ascii="PT Sans" w:hAnsi="PT Sans"/>
          <w:b/>
          <w:bCs/>
          <w:sz w:val="16"/>
          <w:szCs w:val="16"/>
        </w:rPr>
        <w:tab/>
        <w:t>20 s</w:t>
      </w:r>
    </w:p>
    <w:p w14:paraId="4F03301C" w14:textId="398EDF71" w:rsidR="002A17CC" w:rsidRPr="00BE6926" w:rsidRDefault="00647304" w:rsidP="00216232">
      <w:pPr>
        <w:spacing w:after="0" w:line="240" w:lineRule="auto"/>
        <w:jc w:val="both"/>
        <w:rPr>
          <w:rFonts w:ascii="PT Sans" w:hAnsi="PT Sans"/>
          <w:b/>
          <w:bCs/>
          <w:sz w:val="16"/>
          <w:szCs w:val="16"/>
        </w:rPr>
      </w:pPr>
      <w:r w:rsidRPr="00BE6926">
        <w:rPr>
          <w:rFonts w:ascii="PT Sans" w:hAnsi="PT Sans"/>
          <w:b/>
          <w:bCs/>
          <w:sz w:val="16"/>
          <w:szCs w:val="16"/>
        </w:rPr>
        <w:t>Lydymosi analizė:</w:t>
      </w:r>
    </w:p>
    <w:p w14:paraId="6A2DE1C7" w14:textId="709815FD" w:rsidR="00647304" w:rsidRDefault="00647304" w:rsidP="00647304">
      <w:pPr>
        <w:spacing w:after="0" w:line="240" w:lineRule="auto"/>
        <w:ind w:left="284"/>
        <w:jc w:val="both"/>
        <w:rPr>
          <w:rFonts w:ascii="PT Sans" w:hAnsi="PT Sans"/>
          <w:b/>
          <w:bCs/>
          <w:sz w:val="16"/>
          <w:szCs w:val="16"/>
        </w:rPr>
      </w:pPr>
      <w:r>
        <w:rPr>
          <w:rFonts w:ascii="PT Sans" w:hAnsi="PT Sans"/>
          <w:sz w:val="16"/>
          <w:szCs w:val="16"/>
        </w:rPr>
        <w:t>Denatūravimo</w:t>
      </w:r>
      <w:r>
        <w:rPr>
          <w:rFonts w:ascii="PT Sans" w:hAnsi="PT Sans"/>
          <w:sz w:val="16"/>
          <w:szCs w:val="16"/>
        </w:rPr>
        <w:tab/>
      </w:r>
      <w:r>
        <w:rPr>
          <w:rFonts w:ascii="PT Sans" w:hAnsi="PT Sans"/>
          <w:sz w:val="16"/>
          <w:szCs w:val="16"/>
        </w:rPr>
        <w:tab/>
      </w:r>
      <w:r w:rsidRPr="002A17CC">
        <w:rPr>
          <w:rFonts w:ascii="PT Sans" w:hAnsi="PT Sans"/>
          <w:b/>
          <w:bCs/>
          <w:sz w:val="16"/>
          <w:szCs w:val="16"/>
        </w:rPr>
        <w:t>95 °C</w:t>
      </w:r>
      <w:r w:rsidRPr="002A17CC">
        <w:rPr>
          <w:rFonts w:ascii="PT Sans" w:hAnsi="PT Sans"/>
          <w:b/>
          <w:bCs/>
          <w:sz w:val="16"/>
          <w:szCs w:val="16"/>
        </w:rPr>
        <w:tab/>
      </w:r>
      <w:r>
        <w:rPr>
          <w:rFonts w:ascii="PT Sans" w:hAnsi="PT Sans"/>
          <w:b/>
          <w:bCs/>
          <w:sz w:val="16"/>
          <w:szCs w:val="16"/>
        </w:rPr>
        <w:t>1 min</w:t>
      </w:r>
    </w:p>
    <w:p w14:paraId="7D3B8740" w14:textId="513F6047" w:rsidR="00647304" w:rsidRDefault="00647304" w:rsidP="00647304">
      <w:pPr>
        <w:spacing w:after="0" w:line="240" w:lineRule="auto"/>
        <w:ind w:left="2594" w:right="-567" w:hanging="2310"/>
        <w:jc w:val="both"/>
        <w:rPr>
          <w:rFonts w:ascii="PT Sans" w:hAnsi="PT Sans"/>
          <w:b/>
          <w:bCs/>
          <w:sz w:val="16"/>
          <w:szCs w:val="16"/>
        </w:rPr>
      </w:pPr>
      <w:bookmarkStart w:id="0" w:name="_GoBack"/>
      <w:bookmarkEnd w:id="0"/>
      <w:r>
        <w:rPr>
          <w:rFonts w:ascii="PT Sans" w:hAnsi="PT Sans"/>
          <w:sz w:val="16"/>
          <w:szCs w:val="16"/>
        </w:rPr>
        <w:lastRenderedPageBreak/>
        <w:t>Hibridizavimo</w:t>
      </w:r>
      <w:r>
        <w:rPr>
          <w:rFonts w:ascii="PT Sans" w:hAnsi="PT Sans"/>
          <w:sz w:val="16"/>
          <w:szCs w:val="16"/>
        </w:rPr>
        <w:tab/>
      </w:r>
      <w:r>
        <w:rPr>
          <w:rFonts w:ascii="PT Sans" w:hAnsi="PT Sans"/>
          <w:b/>
          <w:bCs/>
          <w:sz w:val="16"/>
          <w:szCs w:val="16"/>
        </w:rPr>
        <w:t>35</w:t>
      </w:r>
      <w:r w:rsidRPr="002A17CC">
        <w:rPr>
          <w:rFonts w:ascii="PT Sans" w:hAnsi="PT Sans"/>
          <w:b/>
          <w:bCs/>
          <w:sz w:val="16"/>
          <w:szCs w:val="16"/>
        </w:rPr>
        <w:t xml:space="preserve"> °C</w:t>
      </w:r>
      <w:r w:rsidRPr="002A17CC">
        <w:rPr>
          <w:rFonts w:ascii="PT Sans" w:hAnsi="PT Sans"/>
          <w:b/>
          <w:bCs/>
          <w:sz w:val="16"/>
          <w:szCs w:val="16"/>
        </w:rPr>
        <w:tab/>
      </w:r>
      <w:r>
        <w:rPr>
          <w:rFonts w:ascii="PT Sans" w:hAnsi="PT Sans"/>
          <w:b/>
          <w:bCs/>
          <w:sz w:val="16"/>
          <w:szCs w:val="16"/>
        </w:rPr>
        <w:t>3 min</w:t>
      </w:r>
    </w:p>
    <w:p w14:paraId="4B087A9E" w14:textId="019E2F7A" w:rsidR="00647304" w:rsidRDefault="00647304" w:rsidP="00647304">
      <w:pPr>
        <w:spacing w:after="0" w:line="240" w:lineRule="auto"/>
        <w:ind w:left="2594" w:hanging="2310"/>
        <w:jc w:val="both"/>
        <w:rPr>
          <w:rFonts w:ascii="PT Sans" w:hAnsi="PT Sans"/>
          <w:b/>
          <w:bCs/>
          <w:sz w:val="16"/>
          <w:szCs w:val="16"/>
        </w:rPr>
      </w:pPr>
      <w:r>
        <w:rPr>
          <w:rFonts w:ascii="PT Sans" w:hAnsi="PT Sans"/>
          <w:sz w:val="16"/>
          <w:szCs w:val="16"/>
        </w:rPr>
        <w:t>Lydymosi</w:t>
      </w:r>
      <w:r>
        <w:rPr>
          <w:rFonts w:ascii="PT Sans" w:hAnsi="PT Sans"/>
          <w:sz w:val="16"/>
          <w:szCs w:val="16"/>
        </w:rPr>
        <w:tab/>
      </w:r>
      <w:r w:rsidRPr="00647304">
        <w:rPr>
          <w:rFonts w:ascii="PT Sans" w:hAnsi="PT Sans"/>
          <w:b/>
          <w:bCs/>
          <w:sz w:val="16"/>
          <w:szCs w:val="16"/>
        </w:rPr>
        <w:t>35-</w:t>
      </w:r>
      <w:r w:rsidRPr="00A805DB">
        <w:rPr>
          <w:rFonts w:ascii="PT Sans" w:hAnsi="PT Sans"/>
          <w:b/>
          <w:bCs/>
          <w:sz w:val="16"/>
          <w:szCs w:val="16"/>
        </w:rPr>
        <w:t>7</w:t>
      </w:r>
      <w:r>
        <w:rPr>
          <w:rFonts w:ascii="PT Sans" w:hAnsi="PT Sans"/>
          <w:b/>
          <w:bCs/>
          <w:sz w:val="16"/>
          <w:szCs w:val="16"/>
        </w:rPr>
        <w:t>0</w:t>
      </w:r>
      <w:r w:rsidRPr="00A805DB">
        <w:rPr>
          <w:rFonts w:ascii="PT Sans" w:hAnsi="PT Sans"/>
          <w:b/>
          <w:bCs/>
          <w:sz w:val="16"/>
          <w:szCs w:val="16"/>
        </w:rPr>
        <w:t xml:space="preserve"> </w:t>
      </w:r>
      <w:r w:rsidRPr="002A17CC">
        <w:rPr>
          <w:rFonts w:ascii="PT Sans" w:hAnsi="PT Sans"/>
          <w:b/>
          <w:bCs/>
          <w:sz w:val="16"/>
          <w:szCs w:val="16"/>
        </w:rPr>
        <w:t>°C</w:t>
      </w:r>
      <w:r>
        <w:rPr>
          <w:rFonts w:ascii="PT Sans" w:hAnsi="PT Sans"/>
          <w:b/>
          <w:bCs/>
          <w:sz w:val="16"/>
          <w:szCs w:val="16"/>
        </w:rPr>
        <w:tab/>
        <w:t xml:space="preserve">1 </w:t>
      </w:r>
      <w:r w:rsidRPr="002A17CC">
        <w:rPr>
          <w:rFonts w:ascii="PT Sans" w:hAnsi="PT Sans"/>
          <w:b/>
          <w:bCs/>
          <w:sz w:val="16"/>
          <w:szCs w:val="16"/>
        </w:rPr>
        <w:t>°C</w:t>
      </w:r>
      <w:r>
        <w:rPr>
          <w:rFonts w:ascii="PT Sans" w:hAnsi="PT Sans"/>
          <w:b/>
          <w:bCs/>
          <w:sz w:val="16"/>
          <w:szCs w:val="16"/>
        </w:rPr>
        <w:t>/5s**</w:t>
      </w:r>
    </w:p>
    <w:p w14:paraId="2BD6EDD4" w14:textId="77777777" w:rsidR="00647304" w:rsidRPr="00A805DB" w:rsidRDefault="00647304" w:rsidP="00647304">
      <w:pPr>
        <w:spacing w:after="0" w:line="240" w:lineRule="auto"/>
        <w:ind w:left="3544" w:right="-425"/>
        <w:jc w:val="both"/>
        <w:rPr>
          <w:rFonts w:ascii="PT Sans" w:hAnsi="PT Sans"/>
          <w:sz w:val="12"/>
          <w:szCs w:val="12"/>
        </w:rPr>
      </w:pPr>
      <w:r w:rsidRPr="00A805DB">
        <w:rPr>
          <w:rFonts w:ascii="PT Sans" w:hAnsi="PT Sans"/>
          <w:sz w:val="12"/>
          <w:szCs w:val="12"/>
        </w:rPr>
        <w:t>(fluorescencijos gavimas)</w:t>
      </w:r>
    </w:p>
    <w:p w14:paraId="2C90032F" w14:textId="58E1F57F" w:rsidR="00647304" w:rsidRDefault="00647304" w:rsidP="00647304">
      <w:pPr>
        <w:spacing w:after="0" w:line="240" w:lineRule="auto"/>
        <w:jc w:val="both"/>
        <w:rPr>
          <w:rFonts w:ascii="PT Sans" w:hAnsi="PT Sans"/>
          <w:sz w:val="16"/>
          <w:szCs w:val="16"/>
        </w:rPr>
      </w:pPr>
      <w:r>
        <w:rPr>
          <w:rFonts w:ascii="PT Sans" w:hAnsi="PT Sans"/>
          <w:sz w:val="16"/>
          <w:szCs w:val="16"/>
        </w:rPr>
        <w:t>*</w:t>
      </w:r>
      <w:r w:rsidR="00BE6926" w:rsidRPr="00BE6926">
        <w:rPr>
          <w:rFonts w:ascii="PT Sans" w:hAnsi="PT Sans"/>
          <w:sz w:val="16"/>
          <w:szCs w:val="16"/>
        </w:rPr>
        <w:t>cikleriui ABI 7500/7500 Fast (Applied Biosystems) nustatykite atkaitinimo laiką iki 30 s</w:t>
      </w:r>
    </w:p>
    <w:p w14:paraId="6F93DDF4" w14:textId="0FAB0EFB" w:rsidR="00BE6926" w:rsidRDefault="00BE6926" w:rsidP="00647304">
      <w:pPr>
        <w:spacing w:after="0" w:line="240" w:lineRule="auto"/>
        <w:jc w:val="both"/>
        <w:rPr>
          <w:rFonts w:ascii="PT Sans" w:hAnsi="PT Sans"/>
          <w:sz w:val="16"/>
          <w:szCs w:val="16"/>
        </w:rPr>
      </w:pPr>
      <w:r>
        <w:rPr>
          <w:rFonts w:ascii="PT Sans" w:hAnsi="PT Sans"/>
          <w:sz w:val="16"/>
          <w:szCs w:val="16"/>
        </w:rPr>
        <w:t>**</w:t>
      </w:r>
      <w:r w:rsidRPr="00BE6926">
        <w:rPr>
          <w:rFonts w:ascii="PT Sans" w:hAnsi="PT Sans"/>
          <w:sz w:val="16"/>
          <w:szCs w:val="16"/>
        </w:rPr>
        <w:t>cikleriui CFX 96™ (BioRad) būtina sureguliuoti lydymosi analizės jautrumą</w:t>
      </w:r>
      <w:r>
        <w:rPr>
          <w:rFonts w:ascii="PT Sans" w:hAnsi="PT Sans"/>
          <w:sz w:val="16"/>
          <w:szCs w:val="16"/>
        </w:rPr>
        <w:t xml:space="preserve"> iki</w:t>
      </w:r>
      <w:r w:rsidRPr="00BE6926">
        <w:rPr>
          <w:rFonts w:ascii="PT Sans" w:hAnsi="PT Sans"/>
          <w:sz w:val="16"/>
          <w:szCs w:val="16"/>
        </w:rPr>
        <w:t xml:space="preserve"> 0,5 °C / 5 s.</w:t>
      </w:r>
    </w:p>
    <w:p w14:paraId="306A6DB4" w14:textId="09D7909E" w:rsidR="00BE6926" w:rsidRDefault="00BE6926" w:rsidP="00647304">
      <w:pPr>
        <w:spacing w:after="0" w:line="240" w:lineRule="auto"/>
        <w:jc w:val="both"/>
        <w:rPr>
          <w:rFonts w:ascii="PT Sans" w:hAnsi="PT Sans"/>
          <w:sz w:val="16"/>
          <w:szCs w:val="16"/>
        </w:rPr>
      </w:pPr>
      <w:r>
        <w:rPr>
          <w:rFonts w:ascii="PT Sans" w:hAnsi="PT Sans"/>
          <w:sz w:val="16"/>
          <w:szCs w:val="16"/>
        </w:rPr>
        <w:t>**</w:t>
      </w:r>
      <w:r w:rsidRPr="00BE6926">
        <w:rPr>
          <w:rFonts w:ascii="PT Sans" w:hAnsi="PT Sans"/>
          <w:sz w:val="16"/>
          <w:szCs w:val="16"/>
        </w:rPr>
        <w:t>cikleriui AriaMx (Agilent Technologies) nustatykite lydymosi temperatūrą 40–70 °C</w:t>
      </w:r>
    </w:p>
    <w:p w14:paraId="2DD3A20A" w14:textId="799FB351" w:rsidR="00BE6926" w:rsidRDefault="00BE6926" w:rsidP="00647304">
      <w:pPr>
        <w:spacing w:after="0" w:line="240" w:lineRule="auto"/>
        <w:jc w:val="both"/>
        <w:rPr>
          <w:rFonts w:ascii="PT Sans" w:hAnsi="PT Sans"/>
          <w:sz w:val="16"/>
          <w:szCs w:val="16"/>
        </w:rPr>
      </w:pPr>
      <w:r w:rsidRPr="00BE6926">
        <w:rPr>
          <w:rFonts w:ascii="PT Sans" w:hAnsi="PT Sans"/>
          <w:sz w:val="16"/>
          <w:szCs w:val="16"/>
        </w:rPr>
        <w:t xml:space="preserve">Fluorescencija gaunama atkaitinimo fazės metu (tačiau tai nėra būtina, nes fluorescencinis signalas nesikeičia </w:t>
      </w:r>
      <w:r>
        <w:rPr>
          <w:rFonts w:ascii="PT Sans" w:hAnsi="PT Sans"/>
          <w:sz w:val="16"/>
          <w:szCs w:val="16"/>
        </w:rPr>
        <w:t>amplifikacijos</w:t>
      </w:r>
      <w:r w:rsidRPr="00BE6926">
        <w:rPr>
          <w:rFonts w:ascii="PT Sans" w:hAnsi="PT Sans"/>
          <w:sz w:val="16"/>
          <w:szCs w:val="16"/>
        </w:rPr>
        <w:t xml:space="preserve"> fazės metu) ir lydymosi analizės metu FAM/Sybr kanale (sužadinimo bangos ilgis 495 nm, emisijos bangos ilgis 520 nm). </w:t>
      </w:r>
      <w:r w:rsidR="008F2114">
        <w:rPr>
          <w:rFonts w:ascii="PT Sans" w:hAnsi="PT Sans"/>
          <w:sz w:val="16"/>
          <w:szCs w:val="16"/>
        </w:rPr>
        <w:t>Prieš pradedant tyrimą</w:t>
      </w:r>
      <w:r w:rsidRPr="00BE6926">
        <w:rPr>
          <w:rFonts w:ascii="PT Sans" w:hAnsi="PT Sans"/>
          <w:sz w:val="16"/>
          <w:szCs w:val="16"/>
        </w:rPr>
        <w:t xml:space="preserve"> </w:t>
      </w:r>
      <w:r w:rsidR="008F2114" w:rsidRPr="00BE6926">
        <w:rPr>
          <w:rFonts w:ascii="PT Sans" w:hAnsi="PT Sans"/>
          <w:sz w:val="16"/>
          <w:szCs w:val="16"/>
        </w:rPr>
        <w:t xml:space="preserve">būtina sukalibruoti </w:t>
      </w:r>
      <w:r w:rsidRPr="00BE6926">
        <w:rPr>
          <w:rFonts w:ascii="PT Sans" w:hAnsi="PT Sans"/>
          <w:sz w:val="16"/>
          <w:szCs w:val="16"/>
        </w:rPr>
        <w:t xml:space="preserve">Rotor-Gene </w:t>
      </w:r>
      <w:r w:rsidR="008F2114">
        <w:rPr>
          <w:rFonts w:ascii="PT Sans" w:hAnsi="PT Sans"/>
          <w:sz w:val="16"/>
          <w:szCs w:val="16"/>
        </w:rPr>
        <w:t xml:space="preserve">ciklerio </w:t>
      </w:r>
      <w:r w:rsidRPr="00BE6926">
        <w:rPr>
          <w:rFonts w:ascii="PT Sans" w:hAnsi="PT Sans"/>
          <w:sz w:val="16"/>
          <w:szCs w:val="16"/>
        </w:rPr>
        <w:t>jautrumą. Nustatykite stiprinimą taip, kad mėginių fluorescencija 60 °C temperatūroje būtų nuo 30 iki 60 RFU.</w:t>
      </w:r>
    </w:p>
    <w:p w14:paraId="2F775890" w14:textId="77777777" w:rsidR="008F03D7" w:rsidRDefault="008F03D7" w:rsidP="00647304">
      <w:pPr>
        <w:spacing w:after="0" w:line="240" w:lineRule="auto"/>
        <w:jc w:val="both"/>
        <w:rPr>
          <w:rFonts w:ascii="PT Sans" w:hAnsi="PT Sans"/>
          <w:sz w:val="16"/>
          <w:szCs w:val="16"/>
        </w:rPr>
      </w:pPr>
    </w:p>
    <w:p w14:paraId="194A523A" w14:textId="77777777" w:rsidR="008F03D7" w:rsidRDefault="008F03D7" w:rsidP="00647304">
      <w:pPr>
        <w:spacing w:after="0" w:line="240" w:lineRule="auto"/>
        <w:jc w:val="both"/>
        <w:rPr>
          <w:rFonts w:ascii="PT Sans" w:hAnsi="PT Sans"/>
          <w:sz w:val="16"/>
          <w:szCs w:val="16"/>
        </w:rPr>
      </w:pPr>
    </w:p>
    <w:p w14:paraId="7EAF17F8" w14:textId="51A87664" w:rsidR="008F03D7" w:rsidRDefault="008F03D7" w:rsidP="00647304">
      <w:pPr>
        <w:spacing w:after="0" w:line="240" w:lineRule="auto"/>
        <w:jc w:val="both"/>
        <w:rPr>
          <w:rFonts w:ascii="PT Sans" w:hAnsi="PT Sans"/>
          <w:color w:val="AA113F"/>
          <w:sz w:val="16"/>
          <w:szCs w:val="16"/>
        </w:rPr>
      </w:pPr>
      <w:r w:rsidRPr="008F03D7">
        <w:rPr>
          <w:rFonts w:ascii="PT Sans" w:hAnsi="PT Sans"/>
          <w:sz w:val="16"/>
          <w:szCs w:val="16"/>
        </w:rPr>
        <w:t xml:space="preserve">Realaus laiko ciklo nustatymų instrukcijas galima rasti adresu </w:t>
      </w:r>
      <w:hyperlink r:id="rId32" w:history="1">
        <w:r w:rsidRPr="008F03D7">
          <w:rPr>
            <w:rStyle w:val="Hyperlink"/>
            <w:rFonts w:ascii="PT Sans" w:hAnsi="PT Sans"/>
            <w:color w:val="AA113F"/>
            <w:sz w:val="16"/>
            <w:szCs w:val="16"/>
          </w:rPr>
          <w:t>http://www.generibiotech.com/manuals-for-setting-cyclers</w:t>
        </w:r>
      </w:hyperlink>
      <w:r w:rsidRPr="008F03D7">
        <w:rPr>
          <w:rFonts w:ascii="PT Sans" w:hAnsi="PT Sans"/>
          <w:color w:val="AA113F"/>
          <w:sz w:val="16"/>
          <w:szCs w:val="16"/>
        </w:rPr>
        <w:t xml:space="preserve">  (Real-time PCR ciklerio nustatymai).</w:t>
      </w:r>
    </w:p>
    <w:p w14:paraId="46D2C88C" w14:textId="1F64841E" w:rsidR="008F03D7" w:rsidRDefault="008F03D7" w:rsidP="00647304">
      <w:pPr>
        <w:spacing w:after="0" w:line="240" w:lineRule="auto"/>
        <w:jc w:val="both"/>
        <w:rPr>
          <w:rFonts w:ascii="PT Sans" w:hAnsi="PT Sans"/>
          <w:color w:val="AA113F"/>
          <w:sz w:val="16"/>
          <w:szCs w:val="16"/>
        </w:rPr>
      </w:pPr>
    </w:p>
    <w:p w14:paraId="6E2D43E5" w14:textId="779D6B5D" w:rsidR="008F03D7" w:rsidRPr="008F03D7" w:rsidRDefault="008F03D7" w:rsidP="00647304">
      <w:pPr>
        <w:spacing w:after="0" w:line="240" w:lineRule="auto"/>
        <w:jc w:val="both"/>
        <w:rPr>
          <w:rFonts w:ascii="PT Sans" w:hAnsi="PT Sans"/>
          <w:b/>
          <w:bCs/>
          <w:color w:val="AA113F"/>
          <w:sz w:val="16"/>
          <w:szCs w:val="16"/>
        </w:rPr>
      </w:pPr>
      <w:r w:rsidRPr="008F03D7">
        <w:rPr>
          <w:rFonts w:ascii="PT Sans" w:hAnsi="PT Sans"/>
          <w:b/>
          <w:bCs/>
          <w:color w:val="AA113F"/>
          <w:sz w:val="16"/>
          <w:szCs w:val="16"/>
        </w:rPr>
        <w:t>REZULTATŲ AIŠKINIMAS</w:t>
      </w:r>
    </w:p>
    <w:p w14:paraId="7A43DD7E" w14:textId="77777777" w:rsidR="00EC0849" w:rsidRDefault="008F03D7" w:rsidP="008F03D7">
      <w:pPr>
        <w:pStyle w:val="ListParagraph"/>
        <w:numPr>
          <w:ilvl w:val="0"/>
          <w:numId w:val="8"/>
        </w:numPr>
        <w:spacing w:after="0" w:line="240" w:lineRule="auto"/>
        <w:ind w:left="426"/>
        <w:jc w:val="both"/>
        <w:rPr>
          <w:rFonts w:ascii="PT Sans" w:hAnsi="PT Sans"/>
          <w:sz w:val="16"/>
          <w:szCs w:val="16"/>
        </w:rPr>
      </w:pPr>
      <w:r w:rsidRPr="008F03D7">
        <w:rPr>
          <w:rFonts w:ascii="PT Sans" w:hAnsi="PT Sans"/>
          <w:sz w:val="16"/>
          <w:szCs w:val="16"/>
        </w:rPr>
        <w:t>Norėdami įvertinti, ar tiriamajame mėginyje yra mutacijos, naudokite realaus laiko PGR programinę įrangą lydymosi kreivių analizei.</w:t>
      </w:r>
    </w:p>
    <w:p w14:paraId="1396AE55" w14:textId="77777777" w:rsidR="00EC0849" w:rsidRDefault="008F03D7" w:rsidP="008F03D7">
      <w:pPr>
        <w:pStyle w:val="ListParagraph"/>
        <w:numPr>
          <w:ilvl w:val="0"/>
          <w:numId w:val="8"/>
        </w:numPr>
        <w:spacing w:after="0" w:line="240" w:lineRule="auto"/>
        <w:ind w:left="426"/>
        <w:jc w:val="both"/>
        <w:rPr>
          <w:rFonts w:ascii="PT Sans" w:hAnsi="PT Sans"/>
          <w:sz w:val="16"/>
          <w:szCs w:val="16"/>
        </w:rPr>
      </w:pPr>
      <w:r w:rsidRPr="00EC0849">
        <w:rPr>
          <w:rFonts w:ascii="PT Sans" w:hAnsi="PT Sans"/>
          <w:sz w:val="16"/>
          <w:szCs w:val="16"/>
        </w:rPr>
        <w:t>Analizės rezultatas yra kreivė su viena ar daugiau smailių Tm srityje. Gautą kreivių formą ir lydymosi temperatūrą reikia palyginti su teigiamų kontrolinių bandinių kreivėmis.</w:t>
      </w:r>
    </w:p>
    <w:p w14:paraId="7C678CFE" w14:textId="4F52C615" w:rsidR="001F3EA9" w:rsidRDefault="008F03D7" w:rsidP="008F03D7">
      <w:pPr>
        <w:pStyle w:val="ListParagraph"/>
        <w:numPr>
          <w:ilvl w:val="0"/>
          <w:numId w:val="8"/>
        </w:numPr>
        <w:spacing w:after="0" w:line="240" w:lineRule="auto"/>
        <w:ind w:left="426"/>
        <w:jc w:val="both"/>
        <w:rPr>
          <w:rFonts w:ascii="PT Sans" w:hAnsi="PT Sans"/>
          <w:sz w:val="16"/>
          <w:szCs w:val="16"/>
        </w:rPr>
      </w:pPr>
      <w:r w:rsidRPr="00EC0849">
        <w:rPr>
          <w:rFonts w:ascii="PT Sans" w:hAnsi="PT Sans"/>
          <w:sz w:val="16"/>
          <w:szCs w:val="16"/>
        </w:rPr>
        <w:t xml:space="preserve">Lydymosi kreivės analizės grafikas dažniausiai parodo fluorescencijos sumažėjimą priklausomai nuo temperatūros padidėjimo (-df/dT). Šiame rodinyje kreivės rodo neigiamą orientaciją. Jei programinė įranga neanalizuoja neigiamų smailių, kreives reikia konvertuoti taip, kad būtų parodytas fluorescencijos padidėjimas, priklausomai nuo temperatūros padidėjimo (dF/dT). Šiai operacijai </w:t>
      </w:r>
      <w:r w:rsidR="001F3EA9">
        <w:rPr>
          <w:rFonts w:ascii="PT Sans" w:hAnsi="PT Sans"/>
          <w:sz w:val="16"/>
          <w:szCs w:val="16"/>
        </w:rPr>
        <w:t xml:space="preserve">atlikti </w:t>
      </w:r>
      <w:r w:rsidRPr="00EC0849">
        <w:rPr>
          <w:rFonts w:ascii="PT Sans" w:hAnsi="PT Sans"/>
          <w:sz w:val="16"/>
          <w:szCs w:val="16"/>
        </w:rPr>
        <w:t xml:space="preserve">Rotor-Gene </w:t>
      </w:r>
      <w:r w:rsidR="001F3EA9">
        <w:rPr>
          <w:rFonts w:ascii="PT Sans" w:hAnsi="PT Sans"/>
          <w:sz w:val="16"/>
          <w:szCs w:val="16"/>
        </w:rPr>
        <w:t xml:space="preserve">ciklerio </w:t>
      </w:r>
      <w:r w:rsidRPr="00EC0849">
        <w:rPr>
          <w:rFonts w:ascii="PT Sans" w:hAnsi="PT Sans"/>
          <w:sz w:val="16"/>
          <w:szCs w:val="16"/>
        </w:rPr>
        <w:t xml:space="preserve">programinėje įrangoje naudojama </w:t>
      </w:r>
      <w:r w:rsidR="001F3EA9">
        <w:rPr>
          <w:rFonts w:ascii="PT Sans" w:hAnsi="PT Sans"/>
          <w:sz w:val="16"/>
          <w:szCs w:val="16"/>
        </w:rPr>
        <w:t>„</w:t>
      </w:r>
      <w:r w:rsidR="001F3EA9" w:rsidRPr="00EC0849">
        <w:rPr>
          <w:rFonts w:ascii="PT Sans" w:hAnsi="PT Sans"/>
          <w:sz w:val="16"/>
          <w:szCs w:val="16"/>
        </w:rPr>
        <w:t>Flip</w:t>
      </w:r>
      <w:r w:rsidR="001F3EA9">
        <w:rPr>
          <w:rFonts w:ascii="PT Sans" w:hAnsi="PT Sans"/>
          <w:sz w:val="16"/>
          <w:szCs w:val="16"/>
        </w:rPr>
        <w:t>“</w:t>
      </w:r>
      <w:r w:rsidR="001F3EA9" w:rsidRPr="00EC0849">
        <w:rPr>
          <w:rFonts w:ascii="PT Sans" w:hAnsi="PT Sans"/>
          <w:sz w:val="16"/>
          <w:szCs w:val="16"/>
        </w:rPr>
        <w:t xml:space="preserve"> </w:t>
      </w:r>
      <w:r w:rsidRPr="00EC0849">
        <w:rPr>
          <w:rFonts w:ascii="PT Sans" w:hAnsi="PT Sans"/>
          <w:sz w:val="16"/>
          <w:szCs w:val="16"/>
        </w:rPr>
        <w:t>funkcij</w:t>
      </w:r>
      <w:r w:rsidR="001F3EA9">
        <w:rPr>
          <w:rFonts w:ascii="PT Sans" w:hAnsi="PT Sans"/>
          <w:sz w:val="16"/>
          <w:szCs w:val="16"/>
        </w:rPr>
        <w:t>os</w:t>
      </w:r>
      <w:r w:rsidRPr="00EC0849">
        <w:rPr>
          <w:rFonts w:ascii="PT Sans" w:hAnsi="PT Sans"/>
          <w:sz w:val="16"/>
          <w:szCs w:val="16"/>
        </w:rPr>
        <w:t xml:space="preserve"> dF/dT. Šią funkciją būtina išjungti, kad analizė būtų sėkminga.</w:t>
      </w:r>
    </w:p>
    <w:p w14:paraId="2CC33683" w14:textId="73D4D46C" w:rsidR="001F3EA9" w:rsidRDefault="008F03D7" w:rsidP="008F03D7">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t>Norint teisingai interpretuoti rezultatus, būtina išanalizuoti teigiamą kontrolę. Pirmiausia p</w:t>
      </w:r>
      <w:r w:rsidR="00D13DDA">
        <w:rPr>
          <w:rFonts w:ascii="PT Sans" w:hAnsi="PT Sans"/>
          <w:sz w:val="16"/>
          <w:szCs w:val="16"/>
        </w:rPr>
        <w:t>atikrinkite</w:t>
      </w:r>
      <w:r w:rsidRPr="001F3EA9">
        <w:rPr>
          <w:rFonts w:ascii="PT Sans" w:hAnsi="PT Sans"/>
          <w:sz w:val="16"/>
          <w:szCs w:val="16"/>
        </w:rPr>
        <w:t xml:space="preserve"> tik visų teigiamų kontrolinių mėgini</w:t>
      </w:r>
      <w:r w:rsidR="00D13DDA">
        <w:rPr>
          <w:rFonts w:ascii="PT Sans" w:hAnsi="PT Sans"/>
          <w:sz w:val="16"/>
          <w:szCs w:val="16"/>
        </w:rPr>
        <w:t>us</w:t>
      </w:r>
      <w:r w:rsidRPr="001F3EA9">
        <w:rPr>
          <w:rFonts w:ascii="PT Sans" w:hAnsi="PT Sans"/>
          <w:sz w:val="16"/>
          <w:szCs w:val="16"/>
        </w:rPr>
        <w:t xml:space="preserve"> (WT, MUT ir HET) ir neigiam</w:t>
      </w:r>
      <w:r w:rsidR="00D13DDA">
        <w:rPr>
          <w:rFonts w:ascii="PT Sans" w:hAnsi="PT Sans"/>
          <w:sz w:val="16"/>
          <w:szCs w:val="16"/>
        </w:rPr>
        <w:t>ą</w:t>
      </w:r>
      <w:r w:rsidRPr="001F3EA9">
        <w:rPr>
          <w:rFonts w:ascii="PT Sans" w:hAnsi="PT Sans"/>
          <w:sz w:val="16"/>
          <w:szCs w:val="16"/>
        </w:rPr>
        <w:t xml:space="preserve"> kontrol</w:t>
      </w:r>
      <w:r w:rsidR="00D13DDA">
        <w:rPr>
          <w:rFonts w:ascii="PT Sans" w:hAnsi="PT Sans"/>
          <w:sz w:val="16"/>
          <w:szCs w:val="16"/>
        </w:rPr>
        <w:t>ę</w:t>
      </w:r>
      <w:r w:rsidRPr="001F3EA9">
        <w:rPr>
          <w:rFonts w:ascii="PT Sans" w:hAnsi="PT Sans"/>
          <w:sz w:val="16"/>
          <w:szCs w:val="16"/>
        </w:rPr>
        <w:t>.</w:t>
      </w:r>
    </w:p>
    <w:p w14:paraId="1C30A242" w14:textId="3220F236" w:rsidR="001F3EA9" w:rsidRDefault="008F03D7" w:rsidP="008F03D7">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t>Nustatykite slenkstį</w:t>
      </w:r>
      <w:r w:rsidR="00D13DDA">
        <w:rPr>
          <w:rFonts w:ascii="PT Sans" w:hAnsi="PT Sans"/>
          <w:sz w:val="16"/>
          <w:szCs w:val="16"/>
        </w:rPr>
        <w:t xml:space="preserve"> (angl. </w:t>
      </w:r>
      <w:r w:rsidR="00D13DDA" w:rsidRPr="00D13DDA">
        <w:rPr>
          <w:rFonts w:ascii="PT Sans" w:hAnsi="PT Sans"/>
          <w:i/>
          <w:iCs/>
          <w:sz w:val="16"/>
          <w:szCs w:val="16"/>
        </w:rPr>
        <w:t>threshold</w:t>
      </w:r>
      <w:r w:rsidR="00D13DDA">
        <w:rPr>
          <w:rFonts w:ascii="PT Sans" w:hAnsi="PT Sans"/>
          <w:sz w:val="16"/>
          <w:szCs w:val="16"/>
        </w:rPr>
        <w:t>)</w:t>
      </w:r>
      <w:r w:rsidRPr="001F3EA9">
        <w:rPr>
          <w:rFonts w:ascii="PT Sans" w:hAnsi="PT Sans"/>
          <w:sz w:val="16"/>
          <w:szCs w:val="16"/>
        </w:rPr>
        <w:t xml:space="preserve"> į padėtį, kai teisingai nustatomi genotipai (žr. 1 </w:t>
      </w:r>
      <w:r w:rsidR="00A508A8">
        <w:rPr>
          <w:rFonts w:ascii="PT Sans" w:hAnsi="PT Sans"/>
          <w:sz w:val="16"/>
          <w:szCs w:val="16"/>
        </w:rPr>
        <w:t>P</w:t>
      </w:r>
      <w:r w:rsidRPr="001F3EA9">
        <w:rPr>
          <w:rFonts w:ascii="PT Sans" w:hAnsi="PT Sans"/>
          <w:sz w:val="16"/>
          <w:szCs w:val="16"/>
        </w:rPr>
        <w:t>av.).</w:t>
      </w:r>
    </w:p>
    <w:p w14:paraId="4BC65D75" w14:textId="77777777" w:rsidR="001F3EA9" w:rsidRDefault="008F03D7" w:rsidP="008F03D7">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t>Nustatykite standartų 6TA ir 7TA Tm. Šablono 7TA lydymosi temperatūra yra cikleryje Rotor-Gene 3000 apie 56,5 °C, o šablono 6TA apie 52 °C. Tarp ciklerių Tm gali skirtis.</w:t>
      </w:r>
    </w:p>
    <w:p w14:paraId="38E8184D" w14:textId="77777777" w:rsidR="001F3EA9" w:rsidRDefault="008F03D7" w:rsidP="008F03D7">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t>Patikrinkite HET etalonų nustatymo teisingumą, kreivė turi parodyti dvi subalansuotas smailes 6TA ir 7TA genotipų Tm srityje.</w:t>
      </w:r>
    </w:p>
    <w:p w14:paraId="284042A1" w14:textId="6797156D" w:rsidR="001F3EA9" w:rsidRDefault="008F03D7" w:rsidP="008F03D7">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t>Kai kuri</w:t>
      </w:r>
      <w:r w:rsidR="00EC0084">
        <w:rPr>
          <w:rFonts w:ascii="PT Sans" w:hAnsi="PT Sans"/>
          <w:sz w:val="16"/>
          <w:szCs w:val="16"/>
        </w:rPr>
        <w:t>uose</w:t>
      </w:r>
      <w:r w:rsidRPr="001F3EA9">
        <w:rPr>
          <w:rFonts w:ascii="PT Sans" w:hAnsi="PT Sans"/>
          <w:sz w:val="16"/>
          <w:szCs w:val="16"/>
        </w:rPr>
        <w:t xml:space="preserve"> </w:t>
      </w:r>
      <w:r w:rsidR="00EC0084">
        <w:rPr>
          <w:rFonts w:ascii="PT Sans" w:hAnsi="PT Sans"/>
          <w:sz w:val="16"/>
          <w:szCs w:val="16"/>
        </w:rPr>
        <w:t>termocikleriuose</w:t>
      </w:r>
      <w:r w:rsidRPr="001F3EA9">
        <w:rPr>
          <w:rFonts w:ascii="PT Sans" w:hAnsi="PT Sans"/>
          <w:sz w:val="16"/>
          <w:szCs w:val="16"/>
        </w:rPr>
        <w:t xml:space="preserve"> MUT 7TA standart</w:t>
      </w:r>
      <w:r w:rsidR="00EC0084">
        <w:rPr>
          <w:rFonts w:ascii="PT Sans" w:hAnsi="PT Sans"/>
          <w:sz w:val="16"/>
          <w:szCs w:val="16"/>
        </w:rPr>
        <w:t>o kontrolei</w:t>
      </w:r>
      <w:r w:rsidRPr="001F3EA9">
        <w:rPr>
          <w:rFonts w:ascii="PT Sans" w:hAnsi="PT Sans"/>
          <w:sz w:val="16"/>
          <w:szCs w:val="16"/>
        </w:rPr>
        <w:t xml:space="preserve"> gali atsirasti nedidelis smailės 6TA regione. Šiuo atveju mėginiai negali būti automatiškai įvertinti pagal gautą Tm. Mėginiai turi būti įvertinti lyginant lydymosi kreivės formą su teigiama kontrole.</w:t>
      </w:r>
    </w:p>
    <w:p w14:paraId="7D6BFEFE" w14:textId="584450D2" w:rsidR="001F3EA9" w:rsidRDefault="008F03D7" w:rsidP="008F03D7">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lastRenderedPageBreak/>
        <w:t>Išanalizuo</w:t>
      </w:r>
      <w:r w:rsidR="00EC0084">
        <w:rPr>
          <w:rFonts w:ascii="PT Sans" w:hAnsi="PT Sans"/>
          <w:sz w:val="16"/>
          <w:szCs w:val="16"/>
        </w:rPr>
        <w:t>kite</w:t>
      </w:r>
      <w:r w:rsidRPr="001F3EA9">
        <w:rPr>
          <w:rFonts w:ascii="PT Sans" w:hAnsi="PT Sans"/>
          <w:sz w:val="16"/>
          <w:szCs w:val="16"/>
        </w:rPr>
        <w:t xml:space="preserve"> DNR mėginį. Analizuojant rekomenduojamą DNR kiekį, smailės turėtų viršyti pakoreguotą slenkstį ir analizę galima įvertinti automatiškai, naudojant modulį </w:t>
      </w:r>
      <w:r w:rsidR="00EC0084">
        <w:rPr>
          <w:rFonts w:ascii="PT Sans" w:hAnsi="PT Sans"/>
          <w:sz w:val="16"/>
          <w:szCs w:val="16"/>
        </w:rPr>
        <w:t>„</w:t>
      </w:r>
      <w:r w:rsidRPr="001F3EA9">
        <w:rPr>
          <w:rFonts w:ascii="PT Sans" w:hAnsi="PT Sans"/>
          <w:sz w:val="16"/>
          <w:szCs w:val="16"/>
        </w:rPr>
        <w:t>Genotipai</w:t>
      </w:r>
      <w:r w:rsidR="00EC0084">
        <w:rPr>
          <w:rFonts w:ascii="PT Sans" w:hAnsi="PT Sans"/>
          <w:sz w:val="16"/>
          <w:szCs w:val="16"/>
        </w:rPr>
        <w:t>“</w:t>
      </w:r>
      <w:r w:rsidRPr="001F3EA9">
        <w:rPr>
          <w:rFonts w:ascii="PT Sans" w:hAnsi="PT Sans"/>
          <w:sz w:val="16"/>
          <w:szCs w:val="16"/>
        </w:rPr>
        <w:t>. Kitu atveju reikia išanalizuoti mėginius su sumažinta slenksne verte, tada vizualiai apžiūrėti kreivių bangos formą ir nustatyti panašumą su atitinkamais standartais. Turi būti atlikta vizualinė kreivių apžiūra.</w:t>
      </w:r>
    </w:p>
    <w:p w14:paraId="2B10FBDE" w14:textId="4FDD70F7" w:rsidR="001F3EA9" w:rsidRDefault="008F03D7" w:rsidP="008F03D7">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t>Alelio 5TA atveju didžiausias Tm yra maždaug 3 °C mažesnis, palyginti su šablonu 6TA. 8TA alelio negalima atskirti Tm nuo 6TA alelio.</w:t>
      </w:r>
    </w:p>
    <w:p w14:paraId="391EB5B6" w14:textId="7D43840D" w:rsidR="00647304" w:rsidRDefault="001F3EA9" w:rsidP="001F3EA9">
      <w:pPr>
        <w:pStyle w:val="ListParagraph"/>
        <w:numPr>
          <w:ilvl w:val="0"/>
          <w:numId w:val="8"/>
        </w:numPr>
        <w:spacing w:after="0" w:line="240" w:lineRule="auto"/>
        <w:ind w:left="426"/>
        <w:jc w:val="both"/>
        <w:rPr>
          <w:rFonts w:ascii="PT Sans" w:hAnsi="PT Sans"/>
          <w:sz w:val="16"/>
          <w:szCs w:val="16"/>
        </w:rPr>
      </w:pPr>
      <w:r w:rsidRPr="001F3EA9">
        <w:rPr>
          <w:rFonts w:ascii="PT Sans" w:hAnsi="PT Sans"/>
          <w:sz w:val="16"/>
          <w:szCs w:val="16"/>
        </w:rPr>
        <w:t>Jei visų teigiamų ir neigiamų kontrolinių mėginių rezultatai yra teisingi, tačiau tiriamajame mėginyje matuojamas silpnas signalas, būtina išanalizuoti naują DNR izoliatą. Jei kontrolinių mėginių rezultatai yra neteisingi, pakartokite visų šios serijos mėginių PGR analizę.</w:t>
      </w:r>
    </w:p>
    <w:p w14:paraId="222DDC23" w14:textId="37B3F2A6" w:rsidR="00EC0084" w:rsidRDefault="00EC0084" w:rsidP="00EC0084">
      <w:pPr>
        <w:spacing w:after="0" w:line="240" w:lineRule="auto"/>
        <w:jc w:val="both"/>
        <w:rPr>
          <w:rFonts w:ascii="PT Sans" w:hAnsi="PT Sans"/>
          <w:sz w:val="16"/>
          <w:szCs w:val="16"/>
        </w:rPr>
      </w:pPr>
    </w:p>
    <w:p w14:paraId="0D708BCC" w14:textId="3AF1F37F" w:rsidR="00EC0084" w:rsidRDefault="00EC0084" w:rsidP="00EC0084">
      <w:pPr>
        <w:spacing w:after="0" w:line="240" w:lineRule="auto"/>
        <w:jc w:val="both"/>
        <w:rPr>
          <w:rFonts w:ascii="PT Sans" w:hAnsi="PT Sans"/>
          <w:sz w:val="16"/>
          <w:szCs w:val="16"/>
        </w:rPr>
      </w:pPr>
      <w:r>
        <w:rPr>
          <w:noProof/>
          <w:lang w:val="en-US"/>
        </w:rPr>
        <w:drawing>
          <wp:inline distT="0" distB="0" distL="0" distR="0" wp14:anchorId="04ACBC21" wp14:editId="42DA579B">
            <wp:extent cx="2970530" cy="1207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70530" cy="1207770"/>
                    </a:xfrm>
                    <a:prstGeom prst="rect">
                      <a:avLst/>
                    </a:prstGeom>
                  </pic:spPr>
                </pic:pic>
              </a:graphicData>
            </a:graphic>
          </wp:inline>
        </w:drawing>
      </w:r>
    </w:p>
    <w:p w14:paraId="6F17344A" w14:textId="6FFC8BD9" w:rsidR="00A508A8" w:rsidRPr="00EC0084" w:rsidRDefault="00A508A8" w:rsidP="00A508A8">
      <w:pPr>
        <w:spacing w:after="0" w:line="240" w:lineRule="auto"/>
        <w:jc w:val="center"/>
        <w:rPr>
          <w:rFonts w:ascii="PT Sans" w:hAnsi="PT Sans"/>
          <w:sz w:val="16"/>
          <w:szCs w:val="16"/>
        </w:rPr>
      </w:pPr>
      <w:r w:rsidRPr="00A508A8">
        <w:rPr>
          <w:rFonts w:ascii="PT Sans" w:hAnsi="PT Sans"/>
          <w:b/>
          <w:bCs/>
          <w:sz w:val="16"/>
          <w:szCs w:val="16"/>
        </w:rPr>
        <w:t>1 Pav.</w:t>
      </w:r>
      <w:r w:rsidRPr="00A508A8">
        <w:rPr>
          <w:rFonts w:ascii="PT Sans" w:hAnsi="PT Sans"/>
          <w:sz w:val="16"/>
          <w:szCs w:val="16"/>
        </w:rPr>
        <w:t xml:space="preserve"> Lydymosi kreivės UGT1A1 Rotor-Gene 3000 programinėje įrangoje WT (6TA) mėlyna, MUT (7TA) raudona, HET (6TA/7TA) žalia, NTC juoda. Slenkstis </w:t>
      </w:r>
      <w:r>
        <w:rPr>
          <w:rFonts w:ascii="PT Sans" w:hAnsi="PT Sans"/>
          <w:sz w:val="16"/>
          <w:szCs w:val="16"/>
        </w:rPr>
        <w:t>pažymėtas mėlyna linija</w:t>
      </w:r>
      <w:r w:rsidRPr="00A508A8">
        <w:rPr>
          <w:rFonts w:ascii="PT Sans" w:hAnsi="PT Sans"/>
          <w:sz w:val="16"/>
          <w:szCs w:val="16"/>
        </w:rPr>
        <w:t>.</w:t>
      </w:r>
    </w:p>
    <w:sectPr w:rsidR="00A508A8" w:rsidRPr="00EC0084" w:rsidSect="009E0E3F">
      <w:headerReference w:type="default" r:id="rId34"/>
      <w:pgSz w:w="16838" w:h="11906" w:orient="landscape"/>
      <w:pgMar w:top="426" w:right="678" w:bottom="567" w:left="567" w:header="424" w:footer="567" w:gutter="0"/>
      <w:cols w:num="3" w:space="77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FB286" w14:textId="77777777" w:rsidR="003512DE" w:rsidRDefault="003512DE" w:rsidP="00FD41B6">
      <w:pPr>
        <w:spacing w:after="0" w:line="240" w:lineRule="auto"/>
      </w:pPr>
      <w:r>
        <w:separator/>
      </w:r>
    </w:p>
  </w:endnote>
  <w:endnote w:type="continuationSeparator" w:id="0">
    <w:p w14:paraId="77A9B397" w14:textId="77777777" w:rsidR="003512DE" w:rsidRDefault="003512DE" w:rsidP="00FD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altName w:val="Arial"/>
    <w:charset w:val="BA"/>
    <w:family w:val="swiss"/>
    <w:pitch w:val="variable"/>
    <w:sig w:usb0="A00002EF" w:usb1="5000204B" w:usb2="00000000" w:usb3="00000000" w:csb0="00000097" w:csb1="00000000"/>
  </w:font>
  <w:font w:name="PT Sans Narrow">
    <w:altName w:val="Arial"/>
    <w:charset w:val="BA"/>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76616" w14:textId="77777777" w:rsidR="003512DE" w:rsidRDefault="003512DE" w:rsidP="00FD41B6">
      <w:pPr>
        <w:spacing w:after="0" w:line="240" w:lineRule="auto"/>
      </w:pPr>
      <w:r>
        <w:separator/>
      </w:r>
    </w:p>
  </w:footnote>
  <w:footnote w:type="continuationSeparator" w:id="0">
    <w:p w14:paraId="05C1B64B" w14:textId="77777777" w:rsidR="003512DE" w:rsidRDefault="003512DE" w:rsidP="00FD4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E52B" w14:textId="401549F6" w:rsidR="00FD41B6" w:rsidRPr="00FD41B6" w:rsidRDefault="00FD41B6">
    <w:pPr>
      <w:pStyle w:val="Header"/>
      <w:rPr>
        <w:rFonts w:ascii="Times New Roman" w:hAnsi="Times New Roman" w:cs="Times New Roman"/>
        <w:i/>
        <w:iCs/>
      </w:rPr>
    </w:pPr>
    <w:r w:rsidRPr="00FD41B6">
      <w:rPr>
        <w:rFonts w:ascii="Times New Roman" w:hAnsi="Times New Roman" w:cs="Times New Roman"/>
        <w:i/>
        <w:iCs/>
      </w:rPr>
      <w:t>/Vertimas iš anglų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043D"/>
    <w:multiLevelType w:val="hybridMultilevel"/>
    <w:tmpl w:val="86D2CF68"/>
    <w:lvl w:ilvl="0" w:tplc="5B52EE6A">
      <w:start w:val="1"/>
      <w:numFmt w:val="bullet"/>
      <w:lvlText w:val=""/>
      <w:lvlJc w:val="left"/>
      <w:pPr>
        <w:ind w:left="720" w:hanging="360"/>
      </w:pPr>
      <w:rPr>
        <w:rFonts w:ascii="Symbol" w:hAnsi="Symbol" w:hint="default"/>
        <w:color w:val="AA113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9D7DD5"/>
    <w:multiLevelType w:val="hybridMultilevel"/>
    <w:tmpl w:val="56AC6896"/>
    <w:lvl w:ilvl="0" w:tplc="5B52EE6A">
      <w:start w:val="1"/>
      <w:numFmt w:val="bullet"/>
      <w:lvlText w:val=""/>
      <w:lvlJc w:val="left"/>
      <w:pPr>
        <w:ind w:left="720" w:hanging="360"/>
      </w:pPr>
      <w:rPr>
        <w:rFonts w:ascii="Symbol" w:hAnsi="Symbol" w:hint="default"/>
        <w:color w:val="AA113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C14A3C"/>
    <w:multiLevelType w:val="hybridMultilevel"/>
    <w:tmpl w:val="08923316"/>
    <w:lvl w:ilvl="0" w:tplc="5B52EE6A">
      <w:start w:val="1"/>
      <w:numFmt w:val="bullet"/>
      <w:lvlText w:val=""/>
      <w:lvlJc w:val="left"/>
      <w:pPr>
        <w:ind w:left="720" w:hanging="360"/>
      </w:pPr>
      <w:rPr>
        <w:rFonts w:ascii="Symbol" w:hAnsi="Symbol" w:hint="default"/>
        <w:color w:val="AA113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AE7E81"/>
    <w:multiLevelType w:val="hybridMultilevel"/>
    <w:tmpl w:val="D2A6A058"/>
    <w:lvl w:ilvl="0" w:tplc="5B52EE6A">
      <w:start w:val="1"/>
      <w:numFmt w:val="bullet"/>
      <w:lvlText w:val=""/>
      <w:lvlJc w:val="left"/>
      <w:pPr>
        <w:ind w:left="786" w:hanging="360"/>
      </w:pPr>
      <w:rPr>
        <w:rFonts w:ascii="Symbol" w:hAnsi="Symbol" w:hint="default"/>
        <w:color w:val="AA113F"/>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4CB9283D"/>
    <w:multiLevelType w:val="hybridMultilevel"/>
    <w:tmpl w:val="EBA23DEC"/>
    <w:lvl w:ilvl="0" w:tplc="5B52EE6A">
      <w:start w:val="1"/>
      <w:numFmt w:val="bullet"/>
      <w:lvlText w:val=""/>
      <w:lvlJc w:val="left"/>
      <w:pPr>
        <w:ind w:left="720" w:hanging="360"/>
      </w:pPr>
      <w:rPr>
        <w:rFonts w:ascii="Symbol" w:hAnsi="Symbol" w:hint="default"/>
        <w:color w:val="AA113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5F3082"/>
    <w:multiLevelType w:val="hybridMultilevel"/>
    <w:tmpl w:val="398C1610"/>
    <w:lvl w:ilvl="0" w:tplc="5B52EE6A">
      <w:start w:val="1"/>
      <w:numFmt w:val="bullet"/>
      <w:lvlText w:val=""/>
      <w:lvlJc w:val="left"/>
      <w:pPr>
        <w:ind w:left="720" w:hanging="360"/>
      </w:pPr>
      <w:rPr>
        <w:rFonts w:ascii="Symbol" w:hAnsi="Symbol" w:hint="default"/>
        <w:color w:val="AA113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A64846"/>
    <w:multiLevelType w:val="hybridMultilevel"/>
    <w:tmpl w:val="C6B49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DCA204B"/>
    <w:multiLevelType w:val="hybridMultilevel"/>
    <w:tmpl w:val="F244A8DE"/>
    <w:lvl w:ilvl="0" w:tplc="5B52EE6A">
      <w:start w:val="1"/>
      <w:numFmt w:val="bullet"/>
      <w:lvlText w:val=""/>
      <w:lvlJc w:val="left"/>
      <w:pPr>
        <w:ind w:left="720" w:hanging="360"/>
      </w:pPr>
      <w:rPr>
        <w:rFonts w:ascii="Symbol" w:hAnsi="Symbol" w:hint="default"/>
        <w:color w:val="AA113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E874D3"/>
    <w:multiLevelType w:val="hybridMultilevel"/>
    <w:tmpl w:val="27A8E1D8"/>
    <w:lvl w:ilvl="0" w:tplc="5B52EE6A">
      <w:start w:val="1"/>
      <w:numFmt w:val="bullet"/>
      <w:lvlText w:val=""/>
      <w:lvlJc w:val="left"/>
      <w:pPr>
        <w:ind w:left="720" w:hanging="360"/>
      </w:pPr>
      <w:rPr>
        <w:rFonts w:ascii="Symbol" w:hAnsi="Symbol" w:hint="default"/>
        <w:color w:val="AA113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4"/>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2E"/>
    <w:rsid w:val="0003678E"/>
    <w:rsid w:val="0012430D"/>
    <w:rsid w:val="00161FA9"/>
    <w:rsid w:val="001A213A"/>
    <w:rsid w:val="001E6370"/>
    <w:rsid w:val="001F3EA9"/>
    <w:rsid w:val="00215658"/>
    <w:rsid w:val="00216232"/>
    <w:rsid w:val="002553F2"/>
    <w:rsid w:val="00261403"/>
    <w:rsid w:val="002622CB"/>
    <w:rsid w:val="002A17CC"/>
    <w:rsid w:val="002B372F"/>
    <w:rsid w:val="002F70A4"/>
    <w:rsid w:val="003512DE"/>
    <w:rsid w:val="004C5CF8"/>
    <w:rsid w:val="004C7456"/>
    <w:rsid w:val="00525945"/>
    <w:rsid w:val="00534466"/>
    <w:rsid w:val="0053798C"/>
    <w:rsid w:val="005458DC"/>
    <w:rsid w:val="005923CC"/>
    <w:rsid w:val="005C3819"/>
    <w:rsid w:val="005D2469"/>
    <w:rsid w:val="005D2F85"/>
    <w:rsid w:val="00647304"/>
    <w:rsid w:val="007430ED"/>
    <w:rsid w:val="007F6910"/>
    <w:rsid w:val="0084554D"/>
    <w:rsid w:val="0084592E"/>
    <w:rsid w:val="008C49B3"/>
    <w:rsid w:val="008F03D7"/>
    <w:rsid w:val="008F2114"/>
    <w:rsid w:val="009A5972"/>
    <w:rsid w:val="009E0E3F"/>
    <w:rsid w:val="00A508A8"/>
    <w:rsid w:val="00A805DB"/>
    <w:rsid w:val="00AC3297"/>
    <w:rsid w:val="00AD551B"/>
    <w:rsid w:val="00B048D3"/>
    <w:rsid w:val="00B70796"/>
    <w:rsid w:val="00B75647"/>
    <w:rsid w:val="00BB05D2"/>
    <w:rsid w:val="00BD712F"/>
    <w:rsid w:val="00BE6926"/>
    <w:rsid w:val="00C41EB6"/>
    <w:rsid w:val="00C45AC8"/>
    <w:rsid w:val="00CA1C38"/>
    <w:rsid w:val="00CF252E"/>
    <w:rsid w:val="00D13DDA"/>
    <w:rsid w:val="00D3446F"/>
    <w:rsid w:val="00D671A4"/>
    <w:rsid w:val="00D9111C"/>
    <w:rsid w:val="00DA5553"/>
    <w:rsid w:val="00DB49BC"/>
    <w:rsid w:val="00DC0C09"/>
    <w:rsid w:val="00DC421C"/>
    <w:rsid w:val="00E46441"/>
    <w:rsid w:val="00E5652A"/>
    <w:rsid w:val="00EC0084"/>
    <w:rsid w:val="00EC0849"/>
    <w:rsid w:val="00ED405B"/>
    <w:rsid w:val="00F15BC0"/>
    <w:rsid w:val="00FB28AB"/>
    <w:rsid w:val="00FD3CBB"/>
    <w:rsid w:val="00FD41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4E9EC"/>
  <w15:chartTrackingRefBased/>
  <w15:docId w15:val="{17C69E1F-1594-44AE-8E07-5BB00AF3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C3297"/>
    <w:rPr>
      <w:rFonts w:ascii="PT Sans" w:hAnsi="PT Sans" w:hint="default"/>
      <w:b w:val="0"/>
      <w:bCs w:val="0"/>
      <w:i w:val="0"/>
      <w:iCs w:val="0"/>
      <w:color w:val="000000"/>
      <w:sz w:val="28"/>
      <w:szCs w:val="28"/>
    </w:rPr>
  </w:style>
  <w:style w:type="character" w:customStyle="1" w:styleId="fontstyle11">
    <w:name w:val="fontstyle11"/>
    <w:basedOn w:val="DefaultParagraphFont"/>
    <w:rsid w:val="00AC3297"/>
    <w:rPr>
      <w:rFonts w:ascii="PT Sans" w:hAnsi="PT Sans" w:hint="default"/>
      <w:b/>
      <w:bCs/>
      <w:i w:val="0"/>
      <w:iCs w:val="0"/>
      <w:color w:val="AA113F"/>
      <w:sz w:val="28"/>
      <w:szCs w:val="28"/>
    </w:rPr>
  </w:style>
  <w:style w:type="paragraph" w:styleId="Header">
    <w:name w:val="header"/>
    <w:basedOn w:val="Normal"/>
    <w:link w:val="HeaderChar"/>
    <w:uiPriority w:val="99"/>
    <w:unhideWhenUsed/>
    <w:rsid w:val="00FD41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41B6"/>
  </w:style>
  <w:style w:type="paragraph" w:styleId="Footer">
    <w:name w:val="footer"/>
    <w:basedOn w:val="Normal"/>
    <w:link w:val="FooterChar"/>
    <w:uiPriority w:val="99"/>
    <w:unhideWhenUsed/>
    <w:rsid w:val="00FD41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41B6"/>
  </w:style>
  <w:style w:type="table" w:styleId="TableGrid">
    <w:name w:val="Table Grid"/>
    <w:basedOn w:val="TableNormal"/>
    <w:uiPriority w:val="39"/>
    <w:rsid w:val="009A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403"/>
    <w:pPr>
      <w:ind w:left="720"/>
      <w:contextualSpacing/>
    </w:pPr>
  </w:style>
  <w:style w:type="character" w:styleId="Hyperlink">
    <w:name w:val="Hyperlink"/>
    <w:basedOn w:val="DefaultParagraphFont"/>
    <w:uiPriority w:val="99"/>
    <w:unhideWhenUsed/>
    <w:rsid w:val="00BB05D2"/>
    <w:rPr>
      <w:color w:val="0563C1" w:themeColor="hyperlink"/>
      <w:u w:val="single"/>
    </w:rPr>
  </w:style>
  <w:style w:type="character" w:customStyle="1" w:styleId="UnresolvedMention">
    <w:name w:val="Unresolved Mention"/>
    <w:basedOn w:val="DefaultParagraphFont"/>
    <w:uiPriority w:val="99"/>
    <w:semiHidden/>
    <w:unhideWhenUsed/>
    <w:rsid w:val="00BB0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4.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oleObject" Target="embeddings/oleObject6.bin"/><Relationship Id="rId33"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www.generi-biotech.com" TargetMode="External"/><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www.generibiotech.com/manuals-for-setting-cyclers"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5.bin"/><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info@generibiotech.com" TargetMode="External"/><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image" Target="media/image10.png"/><Relationship Id="rId27" Type="http://schemas.openxmlformats.org/officeDocument/2006/relationships/oleObject" Target="embeddings/oleObject7.bin"/><Relationship Id="rId30" Type="http://schemas.openxmlformats.org/officeDocument/2006/relationships/image" Target="media/image1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Ulevič</dc:creator>
  <cp:keywords/>
  <dc:description/>
  <cp:lastModifiedBy>Lina Glebė</cp:lastModifiedBy>
  <cp:revision>2</cp:revision>
  <dcterms:created xsi:type="dcterms:W3CDTF">2023-10-20T15:01:00Z</dcterms:created>
  <dcterms:modified xsi:type="dcterms:W3CDTF">2023-10-20T15:01:00Z</dcterms:modified>
</cp:coreProperties>
</file>