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030FE4" w:rsidRDefault="008029F1"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0CC3A47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030FE4" w:rsidRPr="00030FE4">
        <w:rPr>
          <w:rFonts w:ascii="Arial" w:hAnsi="Arial" w:cs="Arial"/>
          <w:sz w:val="18"/>
          <w:szCs w:val="18"/>
          <w:lang w:val="lt-LT"/>
        </w:rPr>
        <w:t>lapkričio</w:t>
      </w:r>
      <w:r w:rsidR="002F60BD" w:rsidRPr="00030FE4">
        <w:rPr>
          <w:rFonts w:ascii="Arial" w:hAnsi="Arial" w:cs="Arial"/>
          <w:sz w:val="18"/>
          <w:szCs w:val="18"/>
          <w:lang w:val="lt-LT"/>
        </w:rPr>
        <w:t xml:space="preserve">  </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9"/>
          <w:footerReference w:type="default" r:id="rId10"/>
          <w:footerReference w:type="first" r:id="rId11"/>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000000"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000000"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000000"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000000"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000000"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000000"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000000"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000000"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000000"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000000"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000000"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000000"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000000"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000000"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000000"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000000"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000000"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000000"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000000"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000000"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000000"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000000"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000000"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000000"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000000"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000000"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000000"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000000"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000000"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000000"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000000"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000000"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000000"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000000"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000000"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000000"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000000"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000000"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000000"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000000"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000000"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000000"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000000"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000000"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000000"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000000"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000000"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000000"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000000"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000000"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000000"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000000"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000000"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000000"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000000"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000000"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000000"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000000"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000000"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000000"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000000"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000000"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000000"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000000"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000000"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000000"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000000"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000000"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000000"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000000"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000000"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000000"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000000"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000000"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000000"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000000"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000000"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000000"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000000"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000000"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000000"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000000"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000000"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000000"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000000"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000000"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11344E">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11344E">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11344E">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11344E">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11344E">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11344E">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11344E">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11344E">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11344E">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11344E">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11344E">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11344E">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11344E">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11344E">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11344E">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11344E">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11344E">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11344E">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11344E">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11344E">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11344E">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11344E">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11344E">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11344E">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11344E">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11344E">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11344E">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11344E">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11344E">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11344E">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11344E">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11344E">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11344E">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11344E">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11344E">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11344E">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11344E">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11344E">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11344E">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11344E">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11344E">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11344E">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11344E">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11344E">
      <w:pPr>
        <w:pStyle w:val="ListParagraph"/>
      </w:pPr>
      <w:r w:rsidRPr="00030FE4">
        <w:t xml:space="preserve">Grafikas derinimui turi būti pateiktas skaitmeniniu *.mpp </w:t>
      </w:r>
      <w:r w:rsidR="009229BA" w:rsidRPr="00030FE4">
        <w:t>ir *.pdf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11344E">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11344E">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11344E">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11344E">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11344E">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11344E">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11344E">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11344E">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11344E">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11344E">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11344E">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11344E">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11344E">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11344E">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11344E">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11344E">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11344E">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11344E">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11344E">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11344E">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11344E">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11344E">
      <w:pPr>
        <w:pStyle w:val="ListParagraph"/>
      </w:pPr>
      <w:r w:rsidRPr="00030FE4">
        <w:t>Techninio projekto sprendinius Užsakovo peržiūrai, derinimui ir (arba) pastaboms Rangovas pateikia skaitmeniniu *.pdf</w:t>
      </w:r>
      <w:r w:rsidR="00104460" w:rsidRPr="00030FE4">
        <w:t xml:space="preserve">, </w:t>
      </w:r>
      <w:r w:rsidR="00872C29" w:rsidRPr="00030FE4">
        <w:t xml:space="preserve"> *.tif</w:t>
      </w:r>
      <w:r w:rsidR="00C03CB9" w:rsidRPr="00030FE4">
        <w:t>,</w:t>
      </w:r>
      <w:r w:rsidR="00872C29" w:rsidRPr="00030FE4">
        <w:t xml:space="preserve"> </w:t>
      </w:r>
      <w:r w:rsidR="00C03CB9" w:rsidRPr="00030FE4">
        <w:t>*</w:t>
      </w:r>
      <w:r w:rsidR="00104460" w:rsidRPr="00030FE4">
        <w:t>.dwg</w:t>
      </w:r>
      <w:r w:rsidR="00382269" w:rsidRPr="00030FE4">
        <w:t xml:space="preserve"> (brėžinius ir schemas)</w:t>
      </w:r>
      <w:r w:rsidR="00104460" w:rsidRPr="00030FE4">
        <w:t xml:space="preserve">, *.docx, </w:t>
      </w:r>
      <w:r w:rsidR="00C03CB9" w:rsidRPr="00030FE4">
        <w:t xml:space="preserve">arba </w:t>
      </w:r>
      <w:r w:rsidR="00104460" w:rsidRPr="00030FE4">
        <w:t>*.xlsx.</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11344E">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11344E">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11344E">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11344E">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11344E">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11344E">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11344E">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11344E">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11344E">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11344E">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11344E">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11344E">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11344E">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*.pdf, *.tif, bei *</w:t>
      </w:r>
      <w:r w:rsidR="00C11374" w:rsidRPr="00030FE4">
        <w:t>.</w:t>
      </w:r>
      <w:r w:rsidR="008A5384" w:rsidRPr="00030FE4">
        <w:t>doc</w:t>
      </w:r>
      <w:r w:rsidR="00B40352" w:rsidRPr="00030FE4">
        <w:t>x</w:t>
      </w:r>
      <w:r w:rsidR="008A5384" w:rsidRPr="00030FE4">
        <w:t xml:space="preserve"> ir *</w:t>
      </w:r>
      <w:r w:rsidR="00C11374" w:rsidRPr="00030FE4">
        <w:t>.</w:t>
      </w:r>
      <w:r w:rsidR="008A5384" w:rsidRPr="00030FE4">
        <w:t>xls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11344E">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11344E">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11344E">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11344E">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11344E">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11344E">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*.pdf</w:t>
      </w:r>
      <w:r w:rsidR="000E74C9" w:rsidRPr="00030FE4">
        <w:t xml:space="preserve">, </w:t>
      </w:r>
      <w:r w:rsidR="00A6472E" w:rsidRPr="00030FE4">
        <w:t xml:space="preserve"> ir</w:t>
      </w:r>
      <w:r w:rsidR="002626E1" w:rsidRPr="00030FE4">
        <w:t xml:space="preserve"> *</w:t>
      </w:r>
      <w:r w:rsidR="000E74C9" w:rsidRPr="00030FE4">
        <w:t>.docx</w:t>
      </w:r>
      <w:r w:rsidR="00B00806" w:rsidRPr="00030FE4">
        <w:t xml:space="preserve"> arba *.tif formatu, brėžiniai ir schemos – *.dwg formatu, o sąnaudų kiekių žiniaraščiai – *.xls formatu.</w:t>
      </w:r>
    </w:p>
    <w:p w14:paraId="4B4497D4" w14:textId="77F07B46" w:rsidR="00B00806" w:rsidRPr="00030FE4" w:rsidRDefault="00E1333A" w:rsidP="0011344E">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*.pdf, ir *.docx arba *.tif formatu, brėžiniai ir schemos – *.dwg formatu, o sąnaudų kiekių žiniaraščiai – *.xls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11344E">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11344E">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11344E">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(-us)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„Infostatyba“</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„Infostatyba“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11344E">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11344E">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11344E">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„Infostatyba“.</w:t>
      </w:r>
    </w:p>
    <w:p w14:paraId="72ADD378" w14:textId="17514FA6" w:rsidR="00B05D8A" w:rsidRPr="00030FE4" w:rsidRDefault="00B05D8A" w:rsidP="0011344E">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11344E">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11344E">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11344E">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11344E">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11344E">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11344E">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 xml:space="preserve">(-us)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 xml:space="preserve">(-ius)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(-us).</w:t>
      </w:r>
    </w:p>
    <w:p w14:paraId="05BB8937" w14:textId="77777777" w:rsidR="00A8737F" w:rsidRPr="00030FE4" w:rsidRDefault="002934C9" w:rsidP="0011344E">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11344E">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11344E">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11344E">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11344E">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11344E">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11344E">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11344E">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11344E">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11344E">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11344E">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11344E">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11344E">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11344E">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11344E">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11344E">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11344E">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11344E">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11344E">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11344E">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11344E">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11344E">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11344E">
      <w:pPr>
        <w:pStyle w:val="ListParagraph"/>
      </w:pPr>
      <w:r w:rsidRPr="00030FE4">
        <w:t>Visi Darbams atlikti reikalingi elektros įrenginių atjungimai Rangovui suteikiami Užsakovo nustatyta tvarka.</w:t>
      </w:r>
    </w:p>
    <w:p w14:paraId="393CED42" w14:textId="77777777" w:rsidR="004C24EB" w:rsidRPr="00030FE4" w:rsidRDefault="004C24EB" w:rsidP="0011344E">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11344E">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11344E">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660BF150" w:rsidR="006A07B4" w:rsidRPr="00030FE4" w:rsidRDefault="006A07B4" w:rsidP="0011344E">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9505EF">
        <w:t>6</w:t>
      </w:r>
      <w:r w:rsidRPr="00030FE4">
        <w:t xml:space="preserve"> 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11344E">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11344E">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11344E">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11344E">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11344E">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11344E">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11344E">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11344E">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11344E">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11344E">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11344E">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030FE4" w:rsidRDefault="00151992" w:rsidP="0011344E">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11344E">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11344E">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11344E">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11344E">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11344E">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11344E">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11344E">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11344E">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11344E">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11344E">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11344E">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11344E">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11344E">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11344E">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11344E">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11344E">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11344E">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11344E">
      <w:pPr>
        <w:pStyle w:val="ListParagraph"/>
      </w:pPr>
      <w:r w:rsidRPr="00030FE4">
        <w:t>Rangovas gali užsakyti ir montuoti tik tuos Pagrindinius įrenginius, kuriems pritarė Užsakovas.</w:t>
      </w:r>
    </w:p>
    <w:p w14:paraId="26E15F45" w14:textId="366ADA69" w:rsidR="005A736A" w:rsidRPr="00030FE4" w:rsidRDefault="005A736A" w:rsidP="0011344E">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11344E">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11344E">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11344E">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11344E">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11344E">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11344E">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11344E">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11344E">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11344E">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.jpeg, .bmp, .png ar kitu su Užsakovu suderintu formatu ne mažesne kaip 2560x1920 px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11344E">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11344E">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11344E">
      <w:pPr>
        <w:pStyle w:val="ListParagraph"/>
      </w:pPr>
      <w:r w:rsidRPr="00030FE4">
        <w:t xml:space="preserve">Iki dokumentų pateikimo Objekto Statybos užbaigimo aktui (-ams)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11344E">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11344E">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11344E">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11344E">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11344E">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11344E">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11344E">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11344E">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11344E">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11344E">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11344E">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11344E">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11344E">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11344E">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11344E">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11344E">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11344E">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11344E">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11344E">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11344E">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11344E">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000000">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11344E">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11344E">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11344E">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11344E">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11344E">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11344E">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11344E">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11344E">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11344E">
      <w:pPr>
        <w:pStyle w:val="ListParagraph"/>
      </w:pPr>
      <w:r w:rsidRPr="00030FE4">
        <w:t xml:space="preserve">Rangovui </w:t>
      </w:r>
      <w:r w:rsidR="00F51611" w:rsidRPr="00030FE4">
        <w:t>pagal</w:t>
      </w:r>
      <w:r w:rsidR="00EB10FE" w:rsidRPr="00030FE4">
        <w:t xml:space="preserve"> </w:t>
      </w:r>
      <w:r w:rsidR="00F51611" w:rsidRPr="00030FE4">
        <w:t xml:space="preserve">Sutartį mokėtina suma bus mažinama ta dalimi, kuri bus sumokėta pagal Trišalę(-es) sutartį(-is) tiesiogiai </w:t>
      </w:r>
      <w:r w:rsidR="006022FB" w:rsidRPr="00030FE4">
        <w:t>Subrangovui</w:t>
      </w:r>
      <w:r w:rsidR="00F51611" w:rsidRPr="00030FE4">
        <w:t xml:space="preserve">(-ams). Sumos, sumokėtos tiesiogiai </w:t>
      </w:r>
      <w:r w:rsidR="001F27F8" w:rsidRPr="00030FE4">
        <w:t>Subrangovui</w:t>
      </w:r>
      <w:r w:rsidR="00F51611" w:rsidRPr="00030FE4">
        <w:t xml:space="preserve">(-ams) pagal Trišalę(-es) sutartį(-is),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11344E">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11344E">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11344E">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11344E">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11344E">
      <w:pPr>
        <w:pStyle w:val="ListParagraph"/>
      </w:pPr>
      <w:r w:rsidRPr="00030FE4">
        <w:t>Rangovas privalo pakeisti nurodytą Specialistą arba paskirti pavaduojantį Specialistą, kai:</w:t>
      </w:r>
    </w:p>
    <w:p w14:paraId="303FDBF0" w14:textId="77777777" w:rsidR="004072DC" w:rsidRPr="00030FE4" w:rsidRDefault="004072DC" w:rsidP="0011344E">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11344E">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11344E">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11344E">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11344E">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11344E">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11344E">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.jpeg, .bmp, .png ar kitu su Užsakovu suderintu formatu ne mažesne kaip</w:t>
      </w:r>
      <w:r w:rsidR="000D655C" w:rsidRPr="00030FE4">
        <w:t xml:space="preserve"> 2560x1920 px</w:t>
      </w:r>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11344E">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11344E">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11344E">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exel, word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11344E">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11344E">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11344E">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11344E">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11344E">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11344E">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11344E">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11344E">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11344E">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11344E">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11344E">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11344E">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11344E">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i(-os)</w:t>
      </w:r>
      <w:r w:rsidRPr="00030FE4">
        <w:rPr>
          <w:rFonts w:ascii="Arial" w:hAnsi="Arial" w:cs="Arial"/>
          <w:sz w:val="18"/>
          <w:szCs w:val="18"/>
          <w:lang w:val="lt-LT"/>
        </w:rPr>
        <w:t>, perleist</w:t>
      </w:r>
      <w:r w:rsidR="00350300" w:rsidRPr="00030FE4">
        <w:rPr>
          <w:rFonts w:ascii="Arial" w:hAnsi="Arial" w:cs="Arial"/>
          <w:sz w:val="18"/>
          <w:szCs w:val="18"/>
          <w:lang w:val="lt-LT"/>
        </w:rPr>
        <w:t>i(-os)</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i(-os)</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11344E">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11344E">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11344E">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11344E">
      <w:pPr>
        <w:pStyle w:val="ListParagraph"/>
      </w:pPr>
      <w:r w:rsidRPr="00030FE4">
        <w:t>Rangovas</w:t>
      </w:r>
      <w:r w:rsidR="00504575" w:rsidRPr="00030FE4">
        <w:t>,</w:t>
      </w:r>
      <w:r w:rsidRPr="00030FE4">
        <w:t xml:space="preserve"> atlikęs Darbus arba jų dalį ir parengęs </w:t>
      </w:r>
      <w:r w:rsidR="00F54468" w:rsidRPr="00030FE4">
        <w:t>Įrenginį (-</w:t>
      </w:r>
      <w:r w:rsidR="00C32DC2" w:rsidRPr="00030FE4">
        <w:t>i</w:t>
      </w:r>
      <w:r w:rsidR="00F54468" w:rsidRPr="00030FE4">
        <w:t>us)</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11344E">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11344E">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11344E">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 xml:space="preserve">Įrenginys (-iai)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(-ių)</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11344E">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11344E">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11344E">
      <w:pPr>
        <w:pStyle w:val="ListParagraph"/>
      </w:pPr>
      <w:r w:rsidRPr="00030FE4">
        <w:t>Darbų ar jų dalies</w:t>
      </w:r>
      <w:r w:rsidR="001B0D4F" w:rsidRPr="00030FE4">
        <w:t xml:space="preserve"> </w:t>
      </w:r>
      <w:r w:rsidR="000D77E5" w:rsidRPr="00030FE4">
        <w:t>(</w:t>
      </w:r>
      <w:r w:rsidR="00DA6A41" w:rsidRPr="00030FE4">
        <w:t xml:space="preserve">Įrenginio (-ių)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11344E">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11344E">
      <w:pPr>
        <w:pStyle w:val="ListParagraph"/>
      </w:pPr>
      <w:r w:rsidRPr="00030FE4">
        <w:t xml:space="preserve">Bandomoji eksploatacija laikoma baigta, kai </w:t>
      </w:r>
      <w:r w:rsidR="001B0D4F" w:rsidRPr="00030FE4">
        <w:t>atlikti Darbai (</w:t>
      </w:r>
      <w:r w:rsidR="00613CFA" w:rsidRPr="00030FE4">
        <w:t>Įrenginys (-iai)</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11344E">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 xml:space="preserve">išbandytą (-us) Įrenginį (-ius)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11344E">
      <w:pPr>
        <w:pStyle w:val="ListParagraph"/>
      </w:pPr>
      <w:r w:rsidRPr="00030FE4">
        <w:t>Rangovo atlikti Darbai arba jų dalis</w:t>
      </w:r>
      <w:r w:rsidR="004D7F99" w:rsidRPr="00030FE4">
        <w:t xml:space="preserve"> (</w:t>
      </w:r>
      <w:r w:rsidR="006C11DE" w:rsidRPr="00030FE4">
        <w:t>Įrenginys (-iai)</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 xml:space="preserve">Įrenginio (-ių)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11344E">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11344E">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(-iai)</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 xml:space="preserve">Įrenginio (-ių)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11344E">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 xml:space="preserve">Įrenginio (-ių)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11344E">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11344E">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11344E">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11344E">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11344E">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11344E">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11344E">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11344E">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11344E">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11344E">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11344E">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11344E">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11344E">
      <w:pPr>
        <w:pStyle w:val="ListParagraph"/>
      </w:pPr>
      <w:r w:rsidRPr="00030FE4">
        <w:t>Rangovo išrašomoje PVM sąskaitoje faktūroje turi būti nurodytas šios Sutarties numeris.</w:t>
      </w:r>
    </w:p>
    <w:p w14:paraId="1573343C" w14:textId="1A100B3C" w:rsidR="00574032" w:rsidRPr="00030FE4" w:rsidRDefault="004500FF" w:rsidP="0011344E">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11344E">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11344E">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11344E">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11344E">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556F049D"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1B3473" w:rsidRPr="00030FE4">
        <w:rPr>
          <w:rFonts w:ascii="Arial" w:hAnsi="Arial" w:cs="Arial"/>
          <w:sz w:val="18"/>
          <w:szCs w:val="18"/>
          <w:lang w:val="lt-LT"/>
        </w:rPr>
        <w:t>1</w:t>
      </w:r>
      <w:r w:rsidR="00BB2FEE" w:rsidRPr="00030FE4">
        <w:rPr>
          <w:rFonts w:ascii="Arial" w:hAnsi="Arial" w:cs="Arial"/>
          <w:sz w:val="18"/>
          <w:szCs w:val="18"/>
          <w:lang w:val="lt-LT"/>
        </w:rPr>
        <w:t>1</w:t>
      </w:r>
      <w:r w:rsidR="00F84624" w:rsidRPr="00030FE4">
        <w:rPr>
          <w:rFonts w:ascii="Arial" w:hAnsi="Arial" w:cs="Arial"/>
          <w:sz w:val="18"/>
          <w:szCs w:val="18"/>
          <w:lang w:val="lt-LT"/>
        </w:rPr>
        <w:t>.3.</w:t>
      </w:r>
      <w:r w:rsidR="00312326" w:rsidRPr="00030FE4">
        <w:rPr>
          <w:rFonts w:ascii="Arial" w:hAnsi="Arial" w:cs="Arial"/>
          <w:sz w:val="18"/>
          <w:szCs w:val="18"/>
          <w:lang w:val="lt-LT"/>
        </w:rPr>
        <w:t xml:space="preserve">8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11344E">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11344E">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11344E">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11344E">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11344E">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11344E">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11344E">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11344E">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11344E">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11344E">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11344E">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11344E">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11344E">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11344E">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11344E">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11344E">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11344E">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11344E">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K = IPb / IPr</w:t>
      </w:r>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IPb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11344E">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11344E">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11344E">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11344E">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11344E">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11344E">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11344E">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11344E">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11344E">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11344E">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11344E">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11344E">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11344E">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11344E">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11344E">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11344E">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11344E">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11344E">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11344E">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11344E">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11344E">
      <w:pPr>
        <w:pStyle w:val="ListParagraph"/>
      </w:pPr>
      <w:r w:rsidRPr="00030FE4">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11344E">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11344E">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11344E">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11344E">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11344E">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11344E">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(-us)</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r w:rsidR="00810BEB" w:rsidRPr="00030FE4">
        <w:rPr>
          <w:rFonts w:ascii="Arial" w:hAnsi="Arial" w:cs="Arial"/>
          <w:sz w:val="18"/>
          <w:szCs w:val="18"/>
          <w:lang w:val="lt-LT"/>
        </w:rPr>
        <w:t>us</w:t>
      </w:r>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11344E">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11344E">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11344E">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11344E">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11344E">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11344E">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11344E">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11344E">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11344E">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11344E">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11344E">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11344E">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11344E">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11344E">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11344E">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11344E">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11344E">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11344E">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63C39A91" w:rsidR="007446EC" w:rsidRPr="00030FE4" w:rsidRDefault="007446EC" w:rsidP="0011344E">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B045CD">
        <w:t>8</w:t>
      </w:r>
      <w:r w:rsidR="00661C90" w:rsidRPr="00030FE4">
        <w:t xml:space="preserve"> 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11344E">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11344E">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11344E">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11344E">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11344E">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11344E">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11344E">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11344E">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11344E">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11344E">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11344E">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a) Sutarties įvykdymo užtikrinimą – Banko garantiją;</w:t>
      </w:r>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b) projektuotojo civilinės atsakomybės privalomojo draudimo liudijimo (poliso) kopiją.</w:t>
      </w:r>
    </w:p>
    <w:p w14:paraId="5ED99865" w14:textId="32A45402" w:rsidR="00FC476E" w:rsidRPr="00030FE4" w:rsidRDefault="008952B2" w:rsidP="0011344E">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11344E">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11344E">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11344E">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11344E">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11344E">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11344E">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11344E">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11344E">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11344E">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11344E">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11344E">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11344E">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11344E">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11344E">
      <w:pPr>
        <w:pStyle w:val="ListParagraph"/>
      </w:pPr>
      <w:r w:rsidRPr="00030FE4">
        <w:t>Sutartis gali būti nutraukta abipusiu Šalių rašytiniu susitarimu.</w:t>
      </w:r>
    </w:p>
    <w:p w14:paraId="2FA91418" w14:textId="77777777" w:rsidR="007A234D" w:rsidRPr="00030FE4" w:rsidRDefault="00C413D6" w:rsidP="0011344E">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11344E">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11344E">
      <w:pPr>
        <w:pStyle w:val="ListParagraph"/>
      </w:pPr>
      <w:r w:rsidRPr="00030FE4">
        <w:t xml:space="preserve">Sutarčiai yra taikomi ir ji yra aiškinama pagal Lietuvos Respublikos įstatymus. </w:t>
      </w:r>
    </w:p>
    <w:p w14:paraId="7C6F5D09" w14:textId="77777777" w:rsidR="00B6395C" w:rsidRPr="00030FE4" w:rsidRDefault="00B6395C" w:rsidP="0011344E">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11344E">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11344E">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11344E">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11344E">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11344E">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11344E">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27046B6C" w:rsidR="00842DA5" w:rsidRPr="00030FE4" w:rsidRDefault="00842DA5" w:rsidP="0011344E">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EC15A3" w:rsidRPr="00030FE4">
        <w:t>4</w:t>
      </w:r>
      <w:r w:rsidRPr="00030FE4">
        <w:t xml:space="preserve"> punkto i) papunktyje nurodyta bauda.</w:t>
      </w:r>
    </w:p>
    <w:p w14:paraId="373E75B3" w14:textId="6F99D5B7" w:rsidR="00F455B3" w:rsidRPr="00030FE4" w:rsidRDefault="00F455B3" w:rsidP="0011344E">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11344E">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11344E">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11344E">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Karlo Gustavo Emilio Manerheimo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11344E">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11344E">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11344E">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11344E">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11344E">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11344E">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11344E">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11344E">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11344E">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11344E">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11344E">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11344E">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464597">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11344E">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11344E">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11344E">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11344E">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11344E">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11344E">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11344E">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11344E">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11344E">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11344E">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11344E">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11344E">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11344E">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11344E">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11344E">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11344E">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11344E">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11344E">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11344E">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11344E">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11344E">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11344E">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11344E">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11344E">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11344E">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 xml:space="preserve">(-čius) </w:t>
      </w:r>
      <w:r w:rsidRPr="00030FE4">
        <w:t>stendą</w:t>
      </w:r>
      <w:r w:rsidR="00482247" w:rsidRPr="00030FE4">
        <w:t xml:space="preserve"> (-us)</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2" w:history="1">
        <w:r w:rsidR="00C62DFB" w:rsidRPr="00030FE4">
          <w:t>www.esinvesticijos.lt</w:t>
        </w:r>
      </w:hyperlink>
      <w:r w:rsidR="00C62DFB" w:rsidRPr="00030FE4">
        <w:t>.</w:t>
      </w:r>
    </w:p>
    <w:p w14:paraId="448060B5" w14:textId="20BD9C8B" w:rsidR="00C547D6" w:rsidRPr="00030FE4" w:rsidRDefault="00C547D6" w:rsidP="0011344E">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11344E">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11344E">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11344E">
      <w:pPr>
        <w:pStyle w:val="ListParagraph"/>
      </w:pPr>
      <w:r w:rsidRPr="00030FE4">
        <w:t>Banko garantija turi būti pirmo pareikalavimo, besąlyginė ir neatšaukiama.</w:t>
      </w:r>
    </w:p>
    <w:p w14:paraId="5BD3CA09" w14:textId="77777777" w:rsidR="009B2430" w:rsidRPr="00030FE4" w:rsidRDefault="009B2430" w:rsidP="0011344E">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11344E">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r w:rsidR="009B2430" w:rsidRPr="00030FE4">
        <w:rPr>
          <w:rFonts w:ascii="Arial" w:hAnsi="Arial" w:cs="Arial"/>
          <w:sz w:val="18"/>
          <w:szCs w:val="18"/>
          <w:lang w:val="lt-LT"/>
        </w:rPr>
        <w:t xml:space="preserve">Uniform </w:t>
      </w:r>
      <w:r w:rsidR="006A1846" w:rsidRPr="00030FE4">
        <w:rPr>
          <w:rFonts w:ascii="Arial" w:hAnsi="Arial" w:cs="Arial"/>
          <w:sz w:val="18"/>
          <w:szCs w:val="18"/>
          <w:lang w:val="lt-LT"/>
        </w:rPr>
        <w:t>R</w:t>
      </w:r>
      <w:r w:rsidR="009B2430" w:rsidRPr="00030FE4">
        <w:rPr>
          <w:rFonts w:ascii="Arial" w:hAnsi="Arial" w:cs="Arial"/>
          <w:sz w:val="18"/>
          <w:szCs w:val="18"/>
          <w:lang w:val="lt-LT"/>
        </w:rPr>
        <w:t xml:space="preserve">ules for </w:t>
      </w:r>
      <w:r w:rsidR="006A1846" w:rsidRPr="00030FE4">
        <w:rPr>
          <w:rFonts w:ascii="Arial" w:hAnsi="Arial" w:cs="Arial"/>
          <w:sz w:val="18"/>
          <w:szCs w:val="18"/>
          <w:lang w:val="lt-LT"/>
        </w:rPr>
        <w:t>D</w:t>
      </w:r>
      <w:r w:rsidR="009B2430" w:rsidRPr="00030FE4">
        <w:rPr>
          <w:rFonts w:ascii="Arial" w:hAnsi="Arial" w:cs="Arial"/>
          <w:sz w:val="18"/>
          <w:szCs w:val="18"/>
          <w:lang w:val="lt-LT"/>
        </w:rPr>
        <w:t xml:space="preserve">emand </w:t>
      </w:r>
      <w:r w:rsidR="006A1846" w:rsidRPr="00030FE4">
        <w:rPr>
          <w:rFonts w:ascii="Arial" w:hAnsi="Arial" w:cs="Arial"/>
          <w:sz w:val="18"/>
          <w:szCs w:val="18"/>
          <w:lang w:val="lt-LT"/>
        </w:rPr>
        <w:t>G</w:t>
      </w:r>
      <w:r w:rsidR="009B2430" w:rsidRPr="00030FE4">
        <w:rPr>
          <w:rFonts w:ascii="Arial" w:hAnsi="Arial" w:cs="Arial"/>
          <w:sz w:val="18"/>
          <w:szCs w:val="18"/>
          <w:lang w:val="lt-LT"/>
        </w:rPr>
        <w:t>uarantees</w:t>
      </w:r>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Publication No.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11344E">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11344E">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11344E">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11344E">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11344E">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11344E">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11344E">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11344E">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3"/>
      <w:footerReference w:type="first" r:id="rId14"/>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A6A9" w14:textId="77777777" w:rsidR="00362840" w:rsidRDefault="00362840" w:rsidP="00217DF0">
      <w:r>
        <w:separator/>
      </w:r>
    </w:p>
  </w:endnote>
  <w:endnote w:type="continuationSeparator" w:id="0">
    <w:p w14:paraId="42915813" w14:textId="77777777" w:rsidR="00362840" w:rsidRDefault="00362840" w:rsidP="00217DF0">
      <w:r>
        <w:continuationSeparator/>
      </w:r>
    </w:p>
  </w:endnote>
  <w:endnote w:type="continuationNotice" w:id="1">
    <w:p w14:paraId="7FDA7B9F" w14:textId="77777777" w:rsidR="00362840" w:rsidRDefault="00362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096F" w14:textId="77777777" w:rsidR="00362840" w:rsidRDefault="00362840" w:rsidP="00217DF0">
      <w:r>
        <w:separator/>
      </w:r>
    </w:p>
  </w:footnote>
  <w:footnote w:type="continuationSeparator" w:id="0">
    <w:p w14:paraId="619673FB" w14:textId="77777777" w:rsidR="00362840" w:rsidRDefault="00362840" w:rsidP="00217DF0">
      <w:r>
        <w:continuationSeparator/>
      </w:r>
    </w:p>
  </w:footnote>
  <w:footnote w:type="continuationNotice" w:id="1">
    <w:p w14:paraId="79593ABF" w14:textId="77777777" w:rsidR="00362840" w:rsidRDefault="0036284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840"/>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1E14"/>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5EF"/>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5CD"/>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90"/>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26698</Words>
  <Characters>152184</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178525</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2023-11-29T06:18:00Z</dcterms:created>
  <dcterms:modified xsi:type="dcterms:W3CDTF">2024-08-02T10:25:00Z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ies>
</file>